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eastAsia="黑体"/>
          <w:color w:val="000000" w:themeColor="text1"/>
          <w:sz w:val="44"/>
          <w:szCs w:val="44"/>
          <w:highlight w:val="none"/>
          <w14:textFill>
            <w14:solidFill>
              <w14:schemeClr w14:val="tx1"/>
            </w14:solidFill>
          </w14:textFill>
        </w:rPr>
      </w:pPr>
    </w:p>
    <w:p>
      <w:pPr>
        <w:ind w:left="1566" w:hanging="1728" w:hangingChars="300"/>
        <w:jc w:val="left"/>
        <w:rPr>
          <w:rFonts w:ascii="黑体" w:hAnsi="宋体" w:eastAsia="黑体"/>
          <w:color w:val="000000" w:themeColor="text1"/>
          <w:w w:val="80"/>
          <w:sz w:val="72"/>
          <w:szCs w:val="72"/>
          <w:highlight w:val="none"/>
          <w14:textFill>
            <w14:solidFill>
              <w14:schemeClr w14:val="tx1"/>
            </w14:solidFill>
          </w14:textFill>
        </w:rPr>
      </w:pPr>
      <w:r>
        <w:rPr>
          <w:rFonts w:hint="eastAsia" w:ascii="黑体" w:hAnsi="宋体" w:eastAsia="黑体"/>
          <w:color w:val="000000" w:themeColor="text1"/>
          <w:w w:val="80"/>
          <w:sz w:val="72"/>
          <w:szCs w:val="72"/>
          <w:highlight w:val="none"/>
          <w14:textFill>
            <w14:solidFill>
              <w14:schemeClr w14:val="tx1"/>
            </w14:solidFill>
          </w14:textFill>
        </w:rPr>
        <w:t xml:space="preserve"> </w:t>
      </w:r>
      <w:r>
        <w:rPr>
          <w:rFonts w:ascii="黑体" w:hAnsi="宋体" w:eastAsia="黑体"/>
          <w:color w:val="000000" w:themeColor="text1"/>
          <w:w w:val="80"/>
          <w:sz w:val="72"/>
          <w:szCs w:val="72"/>
          <w:highlight w:val="none"/>
          <w14:textFill>
            <w14:solidFill>
              <w14:schemeClr w14:val="tx1"/>
            </w14:solidFill>
          </w14:textFill>
        </w:rPr>
        <w:t xml:space="preserve">     </w:t>
      </w:r>
    </w:p>
    <w:p>
      <w:pPr>
        <w:ind w:left="1721" w:hanging="1728" w:hangingChars="300"/>
        <w:jc w:val="left"/>
        <w:rPr>
          <w:rFonts w:ascii="黑体" w:hAnsi="宋体" w:eastAsia="黑体"/>
          <w:color w:val="000000" w:themeColor="text1"/>
          <w:w w:val="80"/>
          <w:sz w:val="72"/>
          <w:szCs w:val="72"/>
          <w:highlight w:val="none"/>
          <w14:textFill>
            <w14:solidFill>
              <w14:schemeClr w14:val="tx1"/>
            </w14:solidFill>
          </w14:textFill>
        </w:rPr>
      </w:pPr>
    </w:p>
    <w:p>
      <w:pPr>
        <w:spacing w:line="1200" w:lineRule="exact"/>
        <w:ind w:left="2295" w:hanging="2304" w:hangingChars="300"/>
        <w:jc w:val="center"/>
        <w:rPr>
          <w:rFonts w:ascii="黑体" w:hAnsi="宋体" w:eastAsia="黑体"/>
          <w:color w:val="000000" w:themeColor="text1"/>
          <w:w w:val="80"/>
          <w:sz w:val="96"/>
          <w:szCs w:val="96"/>
          <w:highlight w:val="none"/>
          <w14:textFill>
            <w14:solidFill>
              <w14:schemeClr w14:val="tx1"/>
            </w14:solidFill>
          </w14:textFill>
        </w:rPr>
      </w:pPr>
      <w:r>
        <w:rPr>
          <w:rFonts w:hint="eastAsia" w:ascii="黑体" w:hAnsi="宋体" w:eastAsia="黑体"/>
          <w:color w:val="000000" w:themeColor="text1"/>
          <w:w w:val="80"/>
          <w:sz w:val="96"/>
          <w:szCs w:val="96"/>
          <w:highlight w:val="none"/>
          <w14:textFill>
            <w14:solidFill>
              <w14:schemeClr w14:val="tx1"/>
            </w14:solidFill>
          </w14:textFill>
        </w:rPr>
        <w:t>询比文件</w:t>
      </w:r>
    </w:p>
    <w:p>
      <w:pPr>
        <w:autoSpaceDE w:val="0"/>
        <w:autoSpaceDN w:val="0"/>
        <w:adjustRightInd w:val="0"/>
        <w:jc w:val="left"/>
        <w:rPr>
          <w:rFonts w:ascii="仿宋" w:hAnsi="仿宋" w:eastAsia="仿宋" w:cs="Calibri"/>
          <w:color w:val="000000" w:themeColor="text1"/>
          <w:kern w:val="0"/>
          <w:sz w:val="36"/>
          <w:szCs w:val="36"/>
          <w:highlight w:val="none"/>
          <w14:textFill>
            <w14:solidFill>
              <w14:schemeClr w14:val="tx1"/>
            </w14:solidFill>
          </w14:textFill>
        </w:rPr>
      </w:pPr>
    </w:p>
    <w:p>
      <w:pPr>
        <w:autoSpaceDE w:val="0"/>
        <w:autoSpaceDN w:val="0"/>
        <w:adjustRightInd w:val="0"/>
        <w:jc w:val="left"/>
        <w:rPr>
          <w:rFonts w:ascii="仿宋" w:hAnsi="仿宋" w:eastAsia="仿宋" w:cs="Calibri"/>
          <w:color w:val="000000" w:themeColor="text1"/>
          <w:kern w:val="0"/>
          <w:sz w:val="36"/>
          <w:szCs w:val="36"/>
          <w:highlight w:val="none"/>
          <w14:textFill>
            <w14:solidFill>
              <w14:schemeClr w14:val="tx1"/>
            </w14:solidFill>
          </w14:textFill>
        </w:rPr>
      </w:pPr>
    </w:p>
    <w:p>
      <w:pPr>
        <w:autoSpaceDE w:val="0"/>
        <w:autoSpaceDN w:val="0"/>
        <w:adjustRightInd w:val="0"/>
        <w:jc w:val="left"/>
        <w:rPr>
          <w:rFonts w:ascii="仿宋" w:hAnsi="仿宋" w:eastAsia="仿宋" w:cs="Calibri"/>
          <w:color w:val="000000" w:themeColor="text1"/>
          <w:kern w:val="0"/>
          <w:sz w:val="36"/>
          <w:szCs w:val="36"/>
          <w:highlight w:val="none"/>
          <w14:textFill>
            <w14:solidFill>
              <w14:schemeClr w14:val="tx1"/>
            </w14:solidFill>
          </w14:textFill>
        </w:rPr>
      </w:pPr>
    </w:p>
    <w:p>
      <w:pPr>
        <w:autoSpaceDE w:val="0"/>
        <w:autoSpaceDN w:val="0"/>
        <w:adjustRightInd w:val="0"/>
        <w:jc w:val="left"/>
        <w:rPr>
          <w:rFonts w:ascii="仿宋" w:hAnsi="仿宋" w:eastAsia="仿宋" w:cs="Calibri"/>
          <w:color w:val="000000" w:themeColor="text1"/>
          <w:kern w:val="0"/>
          <w:sz w:val="36"/>
          <w:szCs w:val="36"/>
          <w:highlight w:val="none"/>
          <w14:textFill>
            <w14:solidFill>
              <w14:schemeClr w14:val="tx1"/>
            </w14:solidFill>
          </w14:textFill>
        </w:rPr>
      </w:pPr>
    </w:p>
    <w:p>
      <w:pPr>
        <w:autoSpaceDE w:val="0"/>
        <w:autoSpaceDN w:val="0"/>
        <w:adjustRightInd w:val="0"/>
        <w:jc w:val="left"/>
        <w:rPr>
          <w:rFonts w:ascii="仿宋" w:hAnsi="仿宋" w:eastAsia="仿宋" w:cs="Calibri"/>
          <w:color w:val="000000" w:themeColor="text1"/>
          <w:kern w:val="0"/>
          <w:sz w:val="36"/>
          <w:szCs w:val="36"/>
          <w:highlight w:val="none"/>
          <w14:textFill>
            <w14:solidFill>
              <w14:schemeClr w14:val="tx1"/>
            </w14:solidFill>
          </w14:textFill>
        </w:rPr>
      </w:pPr>
    </w:p>
    <w:p>
      <w:pPr>
        <w:keepNext w:val="0"/>
        <w:keepLines w:val="0"/>
        <w:widowControl/>
        <w:suppressLineNumbers w:val="0"/>
        <w:jc w:val="left"/>
        <w:rPr>
          <w:rFonts w:hint="eastAsia" w:ascii="楷体_GB2312" w:hAnsi="Times New Roman" w:eastAsia="楷体_GB2312" w:cs="Times New Roman"/>
          <w:b/>
          <w:color w:val="000000" w:themeColor="text1"/>
          <w:sz w:val="30"/>
          <w:szCs w:val="30"/>
          <w:highlight w:val="none"/>
          <w:lang w:val="en-US" w:eastAsia="zh-CN"/>
          <w14:textFill>
            <w14:solidFill>
              <w14:schemeClr w14:val="tx1"/>
            </w14:solidFill>
          </w14:textFill>
        </w:rPr>
      </w:pPr>
      <w:r>
        <w:rPr>
          <w:rFonts w:hint="eastAsia" w:ascii="楷体_GB2312" w:eastAsia="楷体_GB2312"/>
          <w:b/>
          <w:color w:val="000000" w:themeColor="text1"/>
          <w:sz w:val="30"/>
          <w:szCs w:val="30"/>
          <w:highlight w:val="none"/>
          <w14:textFill>
            <w14:solidFill>
              <w14:schemeClr w14:val="tx1"/>
            </w14:solidFill>
          </w14:textFill>
        </w:rPr>
        <w:t>项目名称</w:t>
      </w:r>
      <w:r>
        <w:rPr>
          <w:rFonts w:hint="eastAsia" w:ascii="楷体_GB2312" w:hAnsi="Times New Roman" w:eastAsia="楷体_GB2312" w:cs="Times New Roman"/>
          <w:b/>
          <w:color w:val="000000" w:themeColor="text1"/>
          <w:sz w:val="30"/>
          <w:szCs w:val="30"/>
          <w:highlight w:val="none"/>
          <w:lang w:eastAsia="zh-CN"/>
          <w14:textFill>
            <w14:solidFill>
              <w14:schemeClr w14:val="tx1"/>
            </w14:solidFill>
          </w14:textFill>
        </w:rPr>
        <w:t>：</w:t>
      </w:r>
      <w:r>
        <w:rPr>
          <w:rFonts w:hint="eastAsia" w:ascii="楷体_GB2312" w:eastAsia="楷体_GB2312" w:cs="Times New Roman"/>
          <w:b/>
          <w:color w:val="000000" w:themeColor="text1"/>
          <w:sz w:val="30"/>
          <w:szCs w:val="30"/>
          <w:highlight w:val="none"/>
          <w:lang w:val="en-US" w:eastAsia="zh-CN"/>
          <w14:textFill>
            <w14:solidFill>
              <w14:schemeClr w14:val="tx1"/>
            </w14:solidFill>
          </w14:textFill>
        </w:rPr>
        <w:t>甘德县高原美丽乡村建设项目</w:t>
      </w:r>
    </w:p>
    <w:p>
      <w:pPr>
        <w:spacing w:line="700" w:lineRule="exact"/>
        <w:rPr>
          <w:rFonts w:hint="default" w:ascii="楷体_GB2312" w:eastAsia="楷体_GB2312"/>
          <w:b/>
          <w:color w:val="000000" w:themeColor="text1"/>
          <w:sz w:val="30"/>
          <w:szCs w:val="30"/>
          <w:highlight w:val="none"/>
          <w:lang w:val="en-US" w:eastAsia="zh-CN"/>
          <w14:textFill>
            <w14:solidFill>
              <w14:schemeClr w14:val="tx1"/>
            </w14:solidFill>
          </w14:textFill>
        </w:rPr>
      </w:pPr>
      <w:r>
        <w:rPr>
          <w:rFonts w:hint="eastAsia" w:ascii="楷体_GB2312" w:eastAsia="楷体_GB2312"/>
          <w:b/>
          <w:color w:val="000000" w:themeColor="text1"/>
          <w:sz w:val="30"/>
          <w:szCs w:val="30"/>
          <w:highlight w:val="none"/>
          <w14:textFill>
            <w14:solidFill>
              <w14:schemeClr w14:val="tx1"/>
            </w14:solidFill>
          </w14:textFill>
        </w:rPr>
        <w:t>项目编号：</w:t>
      </w:r>
      <w:r>
        <w:rPr>
          <w:rFonts w:hint="eastAsia" w:ascii="楷体_GB2312" w:hAnsi="Times New Roman" w:eastAsia="楷体_GB2312" w:cs="Times New Roman"/>
          <w:b/>
          <w:color w:val="000000" w:themeColor="text1"/>
          <w:sz w:val="30"/>
          <w:szCs w:val="30"/>
          <w:highlight w:val="none"/>
          <w:lang w:val="en-US" w:eastAsia="zh-CN"/>
          <w14:textFill>
            <w14:solidFill>
              <w14:schemeClr w14:val="tx1"/>
            </w14:solidFill>
          </w14:textFill>
        </w:rPr>
        <w:t>QHHMZB-2021-046</w:t>
      </w:r>
    </w:p>
    <w:p>
      <w:pPr>
        <w:keepNext w:val="0"/>
        <w:keepLines w:val="0"/>
        <w:widowControl/>
        <w:suppressLineNumbers w:val="0"/>
        <w:jc w:val="left"/>
        <w:rPr>
          <w:rFonts w:hint="eastAsia" w:ascii="楷体_GB2312" w:eastAsia="楷体_GB2312"/>
          <w:b/>
          <w:color w:val="000000" w:themeColor="text1"/>
          <w:sz w:val="30"/>
          <w:szCs w:val="30"/>
          <w:highlight w:val="none"/>
          <w14:textFill>
            <w14:solidFill>
              <w14:schemeClr w14:val="tx1"/>
            </w14:solidFill>
          </w14:textFill>
        </w:rPr>
      </w:pPr>
    </w:p>
    <w:p>
      <w:pPr>
        <w:keepNext w:val="0"/>
        <w:keepLines w:val="0"/>
        <w:widowControl/>
        <w:suppressLineNumbers w:val="0"/>
        <w:jc w:val="left"/>
        <w:rPr>
          <w:rFonts w:hint="eastAsia" w:ascii="楷体_GB2312" w:hAnsi="Times New Roman" w:eastAsia="楷体_GB2312" w:cs="Times New Roman"/>
          <w:b/>
          <w:color w:val="000000" w:themeColor="text1"/>
          <w:sz w:val="30"/>
          <w:szCs w:val="30"/>
          <w:highlight w:val="none"/>
          <w:lang w:eastAsia="zh-CN"/>
          <w14:textFill>
            <w14:solidFill>
              <w14:schemeClr w14:val="tx1"/>
            </w14:solidFill>
          </w14:textFill>
        </w:rPr>
      </w:pPr>
      <w:r>
        <w:rPr>
          <w:rFonts w:hint="eastAsia" w:ascii="楷体_GB2312" w:eastAsia="楷体_GB2312"/>
          <w:b/>
          <w:color w:val="000000" w:themeColor="text1"/>
          <w:sz w:val="30"/>
          <w:szCs w:val="30"/>
          <w:highlight w:val="none"/>
          <w14:textFill>
            <w14:solidFill>
              <w14:schemeClr w14:val="tx1"/>
            </w14:solidFill>
          </w14:textFill>
        </w:rPr>
        <w:t>采</w:t>
      </w:r>
      <w:r>
        <w:rPr>
          <w:rFonts w:hint="eastAsia" w:ascii="楷体_GB2312" w:hAnsi="Times New Roman" w:eastAsia="楷体_GB2312" w:cs="Times New Roman"/>
          <w:b/>
          <w:color w:val="000000" w:themeColor="text1"/>
          <w:sz w:val="30"/>
          <w:szCs w:val="30"/>
          <w:highlight w:val="none"/>
          <w:lang w:eastAsia="zh-CN"/>
          <w14:textFill>
            <w14:solidFill>
              <w14:schemeClr w14:val="tx1"/>
            </w14:solidFill>
          </w14:textFill>
        </w:rPr>
        <w:t xml:space="preserve"> 购 人：</w:t>
      </w:r>
      <w:r>
        <w:rPr>
          <w:rFonts w:hint="eastAsia" w:ascii="楷体_GB2312" w:eastAsia="楷体_GB2312" w:cs="Times New Roman"/>
          <w:b/>
          <w:color w:val="000000" w:themeColor="text1"/>
          <w:sz w:val="30"/>
          <w:szCs w:val="30"/>
          <w:highlight w:val="none"/>
          <w:lang w:eastAsia="zh-CN"/>
          <w14:textFill>
            <w14:solidFill>
              <w14:schemeClr w14:val="tx1"/>
            </w14:solidFill>
          </w14:textFill>
        </w:rPr>
        <w:t>甘德县住房和城乡建设局</w:t>
      </w:r>
    </w:p>
    <w:p>
      <w:pPr>
        <w:spacing w:line="700" w:lineRule="exact"/>
        <w:rPr>
          <w:rFonts w:hint="eastAsia" w:ascii="楷体_GB2312" w:hAnsi="Times New Roman" w:eastAsia="楷体_GB2312" w:cs="Times New Roman"/>
          <w:b/>
          <w:color w:val="000000" w:themeColor="text1"/>
          <w:sz w:val="30"/>
          <w:szCs w:val="30"/>
          <w:highlight w:val="none"/>
          <w:lang w:eastAsia="zh-CN"/>
          <w14:textFill>
            <w14:solidFill>
              <w14:schemeClr w14:val="tx1"/>
            </w14:solidFill>
          </w14:textFill>
        </w:rPr>
      </w:pPr>
      <w:r>
        <w:rPr>
          <w:rFonts w:hint="eastAsia" w:ascii="楷体_GB2312" w:eastAsia="楷体_GB2312"/>
          <w:b/>
          <w:color w:val="000000" w:themeColor="text1"/>
          <w:sz w:val="30"/>
          <w:szCs w:val="30"/>
          <w:highlight w:val="none"/>
          <w14:textFill>
            <w14:solidFill>
              <w14:schemeClr w14:val="tx1"/>
            </w14:solidFill>
          </w14:textFill>
        </w:rPr>
        <w:t>招标代理机</w:t>
      </w:r>
      <w:r>
        <w:rPr>
          <w:rFonts w:hint="eastAsia" w:ascii="楷体_GB2312" w:hAnsi="Times New Roman" w:eastAsia="楷体_GB2312" w:cs="Times New Roman"/>
          <w:b/>
          <w:color w:val="000000" w:themeColor="text1"/>
          <w:sz w:val="30"/>
          <w:szCs w:val="30"/>
          <w:highlight w:val="none"/>
          <w:lang w:eastAsia="zh-CN"/>
          <w14:textFill>
            <w14:solidFill>
              <w14:schemeClr w14:val="tx1"/>
            </w14:solidFill>
          </w14:textFill>
        </w:rPr>
        <w:t>构：</w:t>
      </w:r>
      <w:r>
        <w:rPr>
          <w:rFonts w:hint="eastAsia" w:ascii="楷体_GB2312" w:eastAsia="楷体_GB2312" w:cs="Times New Roman"/>
          <w:b/>
          <w:color w:val="000000" w:themeColor="text1"/>
          <w:sz w:val="30"/>
          <w:szCs w:val="30"/>
          <w:highlight w:val="none"/>
          <w:lang w:eastAsia="zh-CN"/>
          <w14:textFill>
            <w14:solidFill>
              <w14:schemeClr w14:val="tx1"/>
            </w14:solidFill>
          </w14:textFill>
        </w:rPr>
        <w:t>青海华茂</w:t>
      </w:r>
      <w:r>
        <w:rPr>
          <w:rFonts w:hint="eastAsia" w:ascii="楷体_GB2312" w:hAnsi="Times New Roman" w:eastAsia="楷体_GB2312" w:cs="Times New Roman"/>
          <w:b/>
          <w:color w:val="000000" w:themeColor="text1"/>
          <w:sz w:val="30"/>
          <w:szCs w:val="30"/>
          <w:highlight w:val="none"/>
          <w:lang w:eastAsia="zh-CN"/>
          <w14:textFill>
            <w14:solidFill>
              <w14:schemeClr w14:val="tx1"/>
            </w14:solidFill>
          </w14:textFill>
        </w:rPr>
        <w:t>工程项目管理有限公司</w:t>
      </w:r>
    </w:p>
    <w:p>
      <w:pPr>
        <w:spacing w:line="700" w:lineRule="exact"/>
        <w:jc w:val="center"/>
        <w:rPr>
          <w:rFonts w:ascii="楷体_GB2312" w:eastAsia="楷体_GB2312"/>
          <w:b/>
          <w:color w:val="000000" w:themeColor="text1"/>
          <w:sz w:val="30"/>
          <w:szCs w:val="30"/>
          <w:highlight w:val="none"/>
          <w14:textFill>
            <w14:solidFill>
              <w14:schemeClr w14:val="tx1"/>
            </w14:solidFill>
          </w14:textFill>
        </w:rPr>
      </w:pPr>
      <w:r>
        <w:rPr>
          <w:rFonts w:hint="eastAsia" w:ascii="楷体_GB2312" w:eastAsia="楷体_GB2312"/>
          <w:b/>
          <w:color w:val="000000" w:themeColor="text1"/>
          <w:sz w:val="30"/>
          <w:szCs w:val="30"/>
          <w:highlight w:val="none"/>
          <w14:textFill>
            <w14:solidFill>
              <w14:schemeClr w14:val="tx1"/>
            </w14:solidFill>
          </w14:textFill>
        </w:rPr>
        <w:t>20</w:t>
      </w:r>
      <w:r>
        <w:rPr>
          <w:rFonts w:hint="eastAsia" w:ascii="楷体_GB2312" w:eastAsia="楷体_GB2312"/>
          <w:b/>
          <w:color w:val="000000" w:themeColor="text1"/>
          <w:sz w:val="30"/>
          <w:szCs w:val="30"/>
          <w:highlight w:val="none"/>
          <w:lang w:val="en-US" w:eastAsia="zh-CN"/>
          <w14:textFill>
            <w14:solidFill>
              <w14:schemeClr w14:val="tx1"/>
            </w14:solidFill>
          </w14:textFill>
        </w:rPr>
        <w:t>21</w:t>
      </w:r>
      <w:r>
        <w:rPr>
          <w:rFonts w:hint="eastAsia" w:ascii="楷体_GB2312" w:eastAsia="楷体_GB2312"/>
          <w:b/>
          <w:color w:val="000000" w:themeColor="text1"/>
          <w:sz w:val="30"/>
          <w:szCs w:val="30"/>
          <w:highlight w:val="none"/>
          <w14:textFill>
            <w14:solidFill>
              <w14:schemeClr w14:val="tx1"/>
            </w14:solidFill>
          </w14:textFill>
        </w:rPr>
        <w:t>年</w:t>
      </w:r>
      <w:r>
        <w:rPr>
          <w:rFonts w:hint="eastAsia" w:ascii="楷体_GB2312" w:eastAsia="楷体_GB2312"/>
          <w:b/>
          <w:color w:val="000000" w:themeColor="text1"/>
          <w:sz w:val="30"/>
          <w:szCs w:val="30"/>
          <w:highlight w:val="none"/>
          <w:lang w:val="en-US" w:eastAsia="zh-CN"/>
          <w14:textFill>
            <w14:solidFill>
              <w14:schemeClr w14:val="tx1"/>
            </w14:solidFill>
          </w14:textFill>
        </w:rPr>
        <w:t>8</w:t>
      </w:r>
      <w:r>
        <w:rPr>
          <w:rFonts w:hint="eastAsia" w:ascii="楷体_GB2312" w:eastAsia="楷体_GB2312"/>
          <w:b/>
          <w:color w:val="000000" w:themeColor="text1"/>
          <w:sz w:val="30"/>
          <w:szCs w:val="30"/>
          <w:highlight w:val="none"/>
          <w14:textFill>
            <w14:solidFill>
              <w14:schemeClr w14:val="tx1"/>
            </w14:solidFill>
          </w14:textFill>
        </w:rPr>
        <w:t>月</w:t>
      </w:r>
    </w:p>
    <w:p>
      <w:pPr>
        <w:spacing w:line="700" w:lineRule="exact"/>
        <w:jc w:val="center"/>
        <w:rPr>
          <w:rFonts w:ascii="楷体_GB2312" w:eastAsia="楷体_GB2312"/>
          <w:b/>
          <w:color w:val="000000" w:themeColor="text1"/>
          <w:sz w:val="30"/>
          <w:szCs w:val="30"/>
          <w:highlight w:val="none"/>
          <w14:textFill>
            <w14:solidFill>
              <w14:schemeClr w14:val="tx1"/>
            </w14:solidFill>
          </w14:textFill>
        </w:rPr>
      </w:pPr>
    </w:p>
    <w:p>
      <w:pPr>
        <w:spacing w:line="700" w:lineRule="exact"/>
        <w:jc w:val="center"/>
        <w:rPr>
          <w:rFonts w:ascii="楷体_GB2312" w:eastAsia="楷体_GB2312"/>
          <w:b/>
          <w:color w:val="000000" w:themeColor="text1"/>
          <w:sz w:val="30"/>
          <w:szCs w:val="30"/>
          <w:highlight w:val="none"/>
          <w14:textFill>
            <w14:solidFill>
              <w14:schemeClr w14:val="tx1"/>
            </w14:solidFill>
          </w14:textFill>
        </w:rPr>
      </w:pPr>
    </w:p>
    <w:p>
      <w:pPr>
        <w:pStyle w:val="5"/>
        <w:rPr>
          <w:rFonts w:ascii="楷体_GB2312" w:eastAsia="楷体_GB2312"/>
          <w:b/>
          <w:color w:val="000000" w:themeColor="text1"/>
          <w:sz w:val="30"/>
          <w:szCs w:val="30"/>
          <w:highlight w:val="none"/>
          <w14:textFill>
            <w14:solidFill>
              <w14:schemeClr w14:val="tx1"/>
            </w14:solidFill>
          </w14:textFill>
        </w:rPr>
      </w:pPr>
    </w:p>
    <w:p/>
    <w:p>
      <w:pPr>
        <w:spacing w:line="700" w:lineRule="exact"/>
        <w:jc w:val="center"/>
        <w:rPr>
          <w:rFonts w:ascii="楷体_GB2312" w:eastAsia="楷体_GB2312"/>
          <w:b/>
          <w:color w:val="000000" w:themeColor="text1"/>
          <w:sz w:val="30"/>
          <w:szCs w:val="30"/>
          <w:highlight w:val="none"/>
          <w14:textFill>
            <w14:solidFill>
              <w14:schemeClr w14:val="tx1"/>
            </w14:solidFill>
          </w14:textFill>
        </w:rPr>
      </w:pPr>
    </w:p>
    <w:p>
      <w:pPr>
        <w:spacing w:line="700" w:lineRule="exact"/>
        <w:jc w:val="center"/>
        <w:rPr>
          <w:rFonts w:ascii="楷体_GB2312" w:eastAsia="楷体_GB2312"/>
          <w:b/>
          <w:color w:val="000000" w:themeColor="text1"/>
          <w:sz w:val="30"/>
          <w:szCs w:val="30"/>
          <w:highlight w:val="none"/>
          <w14:textFill>
            <w14:solidFill>
              <w14:schemeClr w14:val="tx1"/>
            </w14:solidFill>
          </w14:textFill>
        </w:rPr>
      </w:pPr>
    </w:p>
    <w:p>
      <w:pPr>
        <w:widowControl/>
        <w:spacing w:line="480" w:lineRule="auto"/>
        <w:ind w:firstLine="3240" w:firstLineChars="900"/>
        <w:rPr>
          <w:rFonts w:hint="default" w:ascii="黑体" w:hAnsi="黑体" w:eastAsia="黑体" w:cs="黑体"/>
          <w:b/>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color w:val="000000" w:themeColor="text1"/>
          <w:sz w:val="36"/>
          <w:szCs w:val="36"/>
          <w:highlight w:val="none"/>
          <w14:textFill>
            <w14:solidFill>
              <w14:schemeClr w14:val="tx1"/>
            </w14:solidFill>
          </w14:textFill>
        </w:rPr>
        <w:t>说  明</w:t>
      </w:r>
      <w:r>
        <w:rPr>
          <w:rFonts w:hint="eastAsia" w:ascii="黑体" w:hAnsi="黑体" w:eastAsia="黑体" w:cs="黑体"/>
          <w:color w:val="000000" w:themeColor="text1"/>
          <w:sz w:val="36"/>
          <w:szCs w:val="36"/>
          <w:highlight w:val="none"/>
          <w:lang w:val="en-US" w:eastAsia="zh-CN"/>
          <w14:textFill>
            <w14:solidFill>
              <w14:schemeClr w14:val="tx1"/>
            </w14:solidFill>
          </w14:textFill>
        </w:rPr>
        <w:t xml:space="preserve">                                                                            </w:t>
      </w:r>
    </w:p>
    <w:p>
      <w:pPr>
        <w:widowControl/>
        <w:spacing w:line="480" w:lineRule="auto"/>
        <w:ind w:firstLine="480"/>
        <w:jc w:val="left"/>
        <w:rPr>
          <w:rFonts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为加强</w:t>
      </w:r>
      <w:r>
        <w:rPr>
          <w:rFonts w:hint="eastAsia" w:ascii="仿宋" w:hAnsi="仿宋" w:eastAsia="仿宋" w:cs="仿宋"/>
          <w:color w:val="000000" w:themeColor="text1"/>
          <w:sz w:val="24"/>
          <w:szCs w:val="24"/>
          <w:highlight w:val="none"/>
          <w14:textFill>
            <w14:solidFill>
              <w14:schemeClr w14:val="tx1"/>
            </w14:solidFill>
          </w14:textFill>
        </w:rPr>
        <w:t>我省招标</w:t>
      </w:r>
      <w:r>
        <w:rPr>
          <w:rFonts w:hint="eastAsia" w:ascii="仿宋" w:hAnsi="仿宋" w:eastAsia="仿宋" w:cs="仿宋"/>
          <w:color w:val="000000" w:themeColor="text1"/>
          <w:sz w:val="24"/>
          <w:szCs w:val="24"/>
          <w:highlight w:val="none"/>
          <w:lang w:val="zh-CN"/>
          <w14:textFill>
            <w14:solidFill>
              <w14:schemeClr w14:val="tx1"/>
            </w14:solidFill>
          </w14:textFill>
        </w:rPr>
        <w:t>采购</w:t>
      </w:r>
      <w:r>
        <w:rPr>
          <w:rFonts w:hint="eastAsia" w:ascii="仿宋" w:hAnsi="仿宋" w:eastAsia="仿宋" w:cs="仿宋"/>
          <w:color w:val="000000" w:themeColor="text1"/>
          <w:sz w:val="24"/>
          <w:szCs w:val="24"/>
          <w:highlight w:val="none"/>
          <w14:textFill>
            <w14:solidFill>
              <w14:schemeClr w14:val="tx1"/>
            </w14:solidFill>
          </w14:textFill>
        </w:rPr>
        <w:t>代理机构</w:t>
      </w:r>
      <w:r>
        <w:rPr>
          <w:rFonts w:hint="eastAsia" w:ascii="仿宋" w:hAnsi="仿宋" w:eastAsia="仿宋" w:cs="仿宋"/>
          <w:color w:val="000000" w:themeColor="text1"/>
          <w:sz w:val="24"/>
          <w:szCs w:val="24"/>
          <w:highlight w:val="none"/>
          <w:lang w:val="zh-CN"/>
          <w14:textFill>
            <w14:solidFill>
              <w14:schemeClr w14:val="tx1"/>
            </w14:solidFill>
          </w14:textFill>
        </w:rPr>
        <w:t>行业自律，促进</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采购代理专业化、精细化、系统化、规范化和标准化，指导实施和评价非招标方式</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采购代理工作，根据</w:t>
      </w:r>
      <w:r>
        <w:rPr>
          <w:rFonts w:hint="eastAsia" w:ascii="仿宋" w:hAnsi="仿宋" w:eastAsia="仿宋" w:cs="仿宋"/>
          <w:color w:val="000000" w:themeColor="text1"/>
          <w:sz w:val="24"/>
          <w:szCs w:val="24"/>
          <w:highlight w:val="none"/>
          <w14:textFill>
            <w14:solidFill>
              <w14:schemeClr w14:val="tx1"/>
            </w14:solidFill>
          </w14:textFill>
        </w:rPr>
        <w:t>中国招标投标协会《非招标方式采购代理服务规范》的要求，青海省</w:t>
      </w:r>
      <w:r>
        <w:rPr>
          <w:rFonts w:hint="eastAsia" w:ascii="仿宋" w:hAnsi="仿宋" w:eastAsia="仿宋" w:cs="仿宋"/>
          <w:color w:val="000000" w:themeColor="text1"/>
          <w:sz w:val="24"/>
          <w:szCs w:val="24"/>
          <w:highlight w:val="none"/>
          <w:lang w:val="zh-CN"/>
          <w14:textFill>
            <w14:solidFill>
              <w14:schemeClr w14:val="tx1"/>
            </w14:solidFill>
          </w14:textFill>
        </w:rPr>
        <w:t>招标投标协会</w:t>
      </w:r>
      <w:r>
        <w:rPr>
          <w:rFonts w:hint="eastAsia" w:ascii="仿宋" w:hAnsi="仿宋" w:eastAsia="仿宋" w:cs="仿宋"/>
          <w:color w:val="000000" w:themeColor="text1"/>
          <w:sz w:val="24"/>
          <w:szCs w:val="24"/>
          <w:highlight w:val="none"/>
          <w14:textFill>
            <w14:solidFill>
              <w14:schemeClr w14:val="tx1"/>
            </w14:solidFill>
          </w14:textFill>
        </w:rPr>
        <w:t>受青海省发展和改革委员会的委托，结合我省实际，</w:t>
      </w:r>
      <w:r>
        <w:rPr>
          <w:rFonts w:hint="eastAsia" w:ascii="仿宋" w:hAnsi="仿宋" w:eastAsia="仿宋" w:cs="仿宋"/>
          <w:color w:val="000000" w:themeColor="text1"/>
          <w:sz w:val="24"/>
          <w:szCs w:val="24"/>
          <w:highlight w:val="none"/>
          <w:lang w:val="zh-CN"/>
          <w14:textFill>
            <w14:solidFill>
              <w14:schemeClr w14:val="tx1"/>
            </w14:solidFill>
          </w14:textFill>
        </w:rPr>
        <w:t>组织编制了《</w:t>
      </w:r>
      <w:r>
        <w:rPr>
          <w:rFonts w:hint="eastAsia" w:ascii="仿宋" w:hAnsi="仿宋" w:eastAsia="仿宋" w:cs="仿宋"/>
          <w:color w:val="000000" w:themeColor="text1"/>
          <w:sz w:val="24"/>
          <w:szCs w:val="24"/>
          <w:highlight w:val="none"/>
          <w14:textFill>
            <w14:solidFill>
              <w14:schemeClr w14:val="tx1"/>
            </w14:solidFill>
          </w14:textFill>
        </w:rPr>
        <w:t>青海省</w:t>
      </w:r>
      <w:r>
        <w:rPr>
          <w:rFonts w:hint="eastAsia" w:ascii="仿宋" w:hAnsi="仿宋" w:eastAsia="仿宋" w:cs="仿宋"/>
          <w:color w:val="000000" w:themeColor="text1"/>
          <w:sz w:val="24"/>
          <w:szCs w:val="24"/>
          <w:highlight w:val="none"/>
          <w:lang w:val="zh-CN"/>
          <w14:textFill>
            <w14:solidFill>
              <w14:schemeClr w14:val="tx1"/>
            </w14:solidFill>
          </w14:textFill>
        </w:rPr>
        <w:t>非招标方式</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采购代理规范》。</w:t>
      </w:r>
    </w:p>
    <w:p>
      <w:pPr>
        <w:widowControl/>
        <w:spacing w:line="480" w:lineRule="auto"/>
        <w:ind w:firstLine="480"/>
        <w:jc w:val="left"/>
        <w:rPr>
          <w:rFonts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本规范根据招标采购行业具有普遍实践基础的采购方式，总结形成了谈判采购、询比采购、竞价采购、直接采购四种采购方式以及框架协议采购组织形式。本规范采用了通则加分则的体例：通则对各</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采购方式共性的服务程序、服务内容和服务标准作了规定；分则对四种不同的</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采购方式以及</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采购组织形式中的特殊要求分别做出了相应规定，是对通则的补充和完善。</w:t>
      </w:r>
    </w:p>
    <w:p>
      <w:pPr>
        <w:widowControl/>
        <w:spacing w:line="480" w:lineRule="auto"/>
        <w:ind w:firstLine="480"/>
        <w:jc w:val="left"/>
        <w:rPr>
          <w:rFonts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本规范属于</w:t>
      </w:r>
      <w:r>
        <w:rPr>
          <w:rFonts w:hint="eastAsia" w:ascii="仿宋" w:hAnsi="仿宋" w:eastAsia="仿宋" w:cs="仿宋"/>
          <w:color w:val="000000" w:themeColor="text1"/>
          <w:sz w:val="24"/>
          <w:szCs w:val="24"/>
          <w:highlight w:val="none"/>
          <w14:textFill>
            <w14:solidFill>
              <w14:schemeClr w14:val="tx1"/>
            </w14:solidFill>
          </w14:textFill>
        </w:rPr>
        <w:t>我省招标投标</w:t>
      </w:r>
      <w:r>
        <w:rPr>
          <w:rFonts w:hint="eastAsia" w:ascii="仿宋" w:hAnsi="仿宋" w:eastAsia="仿宋" w:cs="仿宋"/>
          <w:color w:val="000000" w:themeColor="text1"/>
          <w:sz w:val="24"/>
          <w:szCs w:val="24"/>
          <w:highlight w:val="none"/>
          <w:lang w:val="zh-CN"/>
          <w14:textFill>
            <w14:solidFill>
              <w14:schemeClr w14:val="tx1"/>
            </w14:solidFill>
          </w14:textFill>
        </w:rPr>
        <w:t>行业推荐性</w:t>
      </w:r>
      <w:r>
        <w:rPr>
          <w:rFonts w:hint="eastAsia" w:ascii="仿宋" w:hAnsi="仿宋" w:eastAsia="仿宋" w:cs="仿宋"/>
          <w:color w:val="000000" w:themeColor="text1"/>
          <w:sz w:val="24"/>
          <w:szCs w:val="24"/>
          <w:highlight w:val="none"/>
          <w14:textFill>
            <w14:solidFill>
              <w14:schemeClr w14:val="tx1"/>
            </w14:solidFill>
          </w14:textFill>
        </w:rPr>
        <w:t>标准</w:t>
      </w:r>
      <w:r>
        <w:rPr>
          <w:rFonts w:hint="eastAsia" w:ascii="仿宋" w:hAnsi="仿宋" w:eastAsia="仿宋" w:cs="仿宋"/>
          <w:color w:val="000000" w:themeColor="text1"/>
          <w:sz w:val="24"/>
          <w:szCs w:val="24"/>
          <w:highlight w:val="none"/>
          <w:lang w:val="zh-CN"/>
          <w14:textFill>
            <w14:solidFill>
              <w14:schemeClr w14:val="tx1"/>
            </w14:solidFill>
          </w14:textFill>
        </w:rPr>
        <w:t>，适用于</w:t>
      </w:r>
      <w:r>
        <w:rPr>
          <w:rFonts w:hint="eastAsia" w:ascii="仿宋" w:hAnsi="仿宋" w:eastAsia="仿宋" w:cs="仿宋"/>
          <w:color w:val="000000" w:themeColor="text1"/>
          <w:sz w:val="24"/>
          <w:szCs w:val="24"/>
          <w:highlight w:val="none"/>
          <w14:textFill>
            <w14:solidFill>
              <w14:schemeClr w14:val="tx1"/>
            </w14:solidFill>
          </w14:textFill>
        </w:rPr>
        <w:t>我省招标</w:t>
      </w:r>
      <w:r>
        <w:rPr>
          <w:rFonts w:hint="eastAsia" w:ascii="仿宋" w:hAnsi="仿宋" w:eastAsia="仿宋" w:cs="仿宋"/>
          <w:color w:val="000000" w:themeColor="text1"/>
          <w:sz w:val="24"/>
          <w:szCs w:val="24"/>
          <w:highlight w:val="none"/>
          <w:lang w:val="zh-CN"/>
          <w14:textFill>
            <w14:solidFill>
              <w14:schemeClr w14:val="tx1"/>
            </w14:solidFill>
          </w14:textFill>
        </w:rPr>
        <w:t>采购代理机构及其从业人员，为企业等采购人提供的非招标方式</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采购代理服务，也适用于</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采购人自行组织实施的非招标方式</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采购活动。同时，依法必须进行招标的工程、货物和服务，符合法定条件可不招标，或招标失败后依法不再招标的，可采用本规范中的非招标方式采购。</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采购代理机构可依据</w:t>
      </w:r>
      <w:r>
        <w:rPr>
          <w:rFonts w:hint="eastAsia" w:ascii="仿宋" w:hAnsi="仿宋" w:eastAsia="仿宋" w:cs="仿宋"/>
          <w:color w:val="000000" w:themeColor="text1"/>
          <w:sz w:val="24"/>
          <w:szCs w:val="24"/>
          <w:highlight w:val="none"/>
          <w14:textFill>
            <w14:solidFill>
              <w14:schemeClr w14:val="tx1"/>
            </w14:solidFill>
          </w14:textFill>
        </w:rPr>
        <w:t>有</w:t>
      </w:r>
      <w:r>
        <w:rPr>
          <w:rFonts w:hint="eastAsia" w:ascii="仿宋" w:hAnsi="仿宋" w:eastAsia="仿宋" w:cs="仿宋"/>
          <w:color w:val="000000" w:themeColor="text1"/>
          <w:sz w:val="24"/>
          <w:szCs w:val="24"/>
          <w:highlight w:val="none"/>
          <w:lang w:val="zh-CN"/>
          <w14:textFill>
            <w14:solidFill>
              <w14:schemeClr w14:val="tx1"/>
            </w14:solidFill>
          </w14:textFill>
        </w:rPr>
        <w:t>关法律法规和本规范，结合本企业和采购项目专业特点以及采购方式需要，分类制定项目采购代理服务的工作规程。</w:t>
      </w:r>
    </w:p>
    <w:p>
      <w:pPr>
        <w:widowControl/>
        <w:jc w:val="center"/>
        <w:rPr>
          <w:rFonts w:ascii="黑体" w:hAnsi="黑体" w:eastAsia="黑体" w:cs="黑体"/>
          <w:color w:val="000000" w:themeColor="text1"/>
          <w:sz w:val="32"/>
          <w:szCs w:val="32"/>
          <w:highlight w:val="none"/>
          <w:lang w:val="zh-CN"/>
          <w14:textFill>
            <w14:solidFill>
              <w14:schemeClr w14:val="tx1"/>
            </w14:solidFill>
          </w14:textFill>
        </w:rPr>
      </w:pPr>
    </w:p>
    <w:p>
      <w:pPr>
        <w:widowControl/>
        <w:jc w:val="center"/>
        <w:rPr>
          <w:rFonts w:ascii="黑体" w:hAnsi="黑体" w:eastAsia="黑体"/>
          <w:color w:val="000000" w:themeColor="text1"/>
          <w:sz w:val="32"/>
          <w:szCs w:val="32"/>
          <w:highlight w:val="none"/>
          <w:lang w:val="zh-CN"/>
          <w14:textFill>
            <w14:solidFill>
              <w14:schemeClr w14:val="tx1"/>
            </w14:solidFill>
          </w14:textFill>
        </w:rPr>
      </w:pPr>
    </w:p>
    <w:p>
      <w:pPr>
        <w:widowControl/>
        <w:rPr>
          <w:rFonts w:ascii="黑体" w:hAnsi="黑体" w:eastAsia="黑体"/>
          <w:color w:val="000000" w:themeColor="text1"/>
          <w:sz w:val="32"/>
          <w:szCs w:val="32"/>
          <w:highlight w:val="none"/>
          <w:lang w:val="zh-CN"/>
          <w14:textFill>
            <w14:solidFill>
              <w14:schemeClr w14:val="tx1"/>
            </w14:solidFill>
          </w14:textFill>
        </w:rPr>
      </w:pPr>
    </w:p>
    <w:p>
      <w:pPr>
        <w:spacing w:line="700" w:lineRule="exact"/>
        <w:jc w:val="center"/>
        <w:rPr>
          <w:rFonts w:ascii="楷体_GB2312" w:eastAsia="楷体_GB2312"/>
          <w:b/>
          <w:color w:val="000000" w:themeColor="text1"/>
          <w:sz w:val="30"/>
          <w:szCs w:val="30"/>
          <w:highlight w:val="none"/>
          <w14:textFill>
            <w14:solidFill>
              <w14:schemeClr w14:val="tx1"/>
            </w14:solidFill>
          </w14:textFill>
        </w:rPr>
        <w:sectPr>
          <w:headerReference r:id="rId5" w:type="first"/>
          <w:footerReference r:id="rId8" w:type="first"/>
          <w:headerReference r:id="rId3" w:type="default"/>
          <w:footerReference r:id="rId6" w:type="default"/>
          <w:headerReference r:id="rId4" w:type="even"/>
          <w:footerReference r:id="rId7" w:type="even"/>
          <w:pgSz w:w="11907" w:h="16840"/>
          <w:pgMar w:top="1421" w:right="1842" w:bottom="1559" w:left="1588" w:header="851" w:footer="992" w:gutter="0"/>
          <w:cols w:space="720" w:num="1"/>
          <w:titlePg/>
          <w:docGrid w:linePitch="312" w:charSpace="0"/>
        </w:sectPr>
      </w:pPr>
    </w:p>
    <w:p>
      <w:pPr>
        <w:spacing w:line="348" w:lineRule="auto"/>
        <w:jc w:val="center"/>
        <w:rPr>
          <w:rFonts w:ascii="仿宋" w:hAnsi="仿宋" w:eastAsia="仿宋"/>
          <w:b/>
          <w:color w:val="000000" w:themeColor="text1"/>
          <w:sz w:val="40"/>
          <w:szCs w:val="40"/>
          <w:highlight w:val="none"/>
          <w14:textFill>
            <w14:solidFill>
              <w14:schemeClr w14:val="tx1"/>
            </w14:solidFill>
          </w14:textFill>
        </w:rPr>
      </w:pPr>
      <w:r>
        <w:rPr>
          <w:rFonts w:hint="eastAsia" w:ascii="仿宋" w:hAnsi="仿宋" w:eastAsia="仿宋" w:cs="宋体"/>
          <w:b/>
          <w:color w:val="000000" w:themeColor="text1"/>
          <w:sz w:val="40"/>
          <w:szCs w:val="40"/>
          <w:highlight w:val="none"/>
          <w14:textFill>
            <w14:solidFill>
              <w14:schemeClr w14:val="tx1"/>
            </w14:solidFill>
          </w14:textFill>
        </w:rPr>
        <w:t>目  录</w:t>
      </w:r>
    </w:p>
    <w:p>
      <w:pPr>
        <w:pStyle w:val="19"/>
        <w:tabs>
          <w:tab w:val="right" w:leader="dot" w:pos="9073"/>
          <w:tab w:val="clear" w:pos="8720"/>
        </w:tabs>
      </w:pPr>
      <w:r>
        <w:rPr>
          <w:rFonts w:ascii="仿宋" w:hAnsi="仿宋" w:eastAsia="仿宋" w:cs="宋体"/>
          <w:b/>
          <w:bCs/>
          <w:color w:val="000000" w:themeColor="text1"/>
          <w:sz w:val="28"/>
          <w:szCs w:val="28"/>
          <w:highlight w:val="none"/>
          <w14:textFill>
            <w14:solidFill>
              <w14:schemeClr w14:val="tx1"/>
            </w14:solidFill>
          </w14:textFill>
        </w:rPr>
        <w:fldChar w:fldCharType="begin"/>
      </w:r>
      <w:r>
        <w:rPr>
          <w:rFonts w:ascii="仿宋" w:hAnsi="仿宋" w:eastAsia="仿宋" w:cs="宋体"/>
          <w:b/>
          <w:bCs/>
          <w:color w:val="000000" w:themeColor="text1"/>
          <w:sz w:val="28"/>
          <w:szCs w:val="28"/>
          <w:highlight w:val="none"/>
          <w14:textFill>
            <w14:solidFill>
              <w14:schemeClr w14:val="tx1"/>
            </w14:solidFill>
          </w14:textFill>
        </w:rPr>
        <w:instrText xml:space="preserve"> TOC \o "1-3" \h \z \u </w:instrText>
      </w:r>
      <w:r>
        <w:rPr>
          <w:rFonts w:ascii="仿宋" w:hAnsi="仿宋" w:eastAsia="仿宋" w:cs="宋体"/>
          <w:b/>
          <w:bCs/>
          <w:color w:val="000000" w:themeColor="text1"/>
          <w:sz w:val="28"/>
          <w:szCs w:val="28"/>
          <w:highlight w:val="none"/>
          <w14:textFill>
            <w14:solidFill>
              <w14:schemeClr w14:val="tx1"/>
            </w14:solidFill>
          </w14:textFill>
        </w:rPr>
        <w:fldChar w:fldCharType="separate"/>
      </w:r>
      <w:r>
        <w:rPr>
          <w:rFonts w:ascii="仿宋" w:hAnsi="仿宋" w:eastAsia="仿宋" w:cs="宋体"/>
          <w:bCs/>
          <w:color w:val="000000" w:themeColor="text1"/>
          <w:szCs w:val="28"/>
          <w:highlight w:val="none"/>
          <w14:textFill>
            <w14:solidFill>
              <w14:schemeClr w14:val="tx1"/>
            </w14:solidFill>
          </w14:textFill>
        </w:rPr>
        <w:fldChar w:fldCharType="begin"/>
      </w:r>
      <w:r>
        <w:rPr>
          <w:rFonts w:ascii="仿宋" w:hAnsi="仿宋" w:eastAsia="仿宋" w:cs="宋体"/>
          <w:bCs/>
          <w:szCs w:val="28"/>
          <w:highlight w:val="none"/>
        </w:rPr>
        <w:instrText xml:space="preserve"> HYPERLINK \l _Toc26611 </w:instrText>
      </w:r>
      <w:r>
        <w:rPr>
          <w:rFonts w:ascii="仿宋" w:hAnsi="仿宋" w:eastAsia="仿宋" w:cs="宋体"/>
          <w:bCs/>
          <w:szCs w:val="28"/>
          <w:highlight w:val="none"/>
        </w:rPr>
        <w:fldChar w:fldCharType="separate"/>
      </w:r>
      <w:r>
        <w:rPr>
          <w:rFonts w:hint="eastAsia" w:ascii="仿宋" w:hAnsi="仿宋" w:eastAsia="仿宋" w:cs="Times New Roman"/>
          <w:highlight w:val="none"/>
          <w:lang w:val="zh-CN"/>
        </w:rPr>
        <w:t>第一部分招标公告</w:t>
      </w:r>
      <w:r>
        <w:tab/>
      </w:r>
      <w:r>
        <w:rPr>
          <w:rFonts w:hint="eastAsia"/>
          <w:lang w:val="en-US" w:eastAsia="zh-CN"/>
        </w:rPr>
        <w:t>4</w:t>
      </w:r>
      <w:r>
        <w:rPr>
          <w:rFonts w:ascii="仿宋" w:hAnsi="仿宋" w:eastAsia="仿宋" w:cs="宋体"/>
          <w:bCs/>
          <w:color w:val="000000" w:themeColor="text1"/>
          <w:szCs w:val="28"/>
          <w:highlight w:val="none"/>
          <w14:textFill>
            <w14:solidFill>
              <w14:schemeClr w14:val="tx1"/>
            </w14:solidFill>
          </w14:textFill>
        </w:rPr>
        <w:fldChar w:fldCharType="end"/>
      </w:r>
    </w:p>
    <w:p>
      <w:pPr>
        <w:pStyle w:val="19"/>
        <w:tabs>
          <w:tab w:val="right" w:leader="dot" w:pos="9073"/>
          <w:tab w:val="clear" w:pos="8720"/>
        </w:tabs>
      </w:pPr>
      <w:r>
        <w:rPr>
          <w:rFonts w:ascii="仿宋" w:hAnsi="仿宋" w:eastAsia="仿宋" w:cs="宋体"/>
          <w:bCs/>
          <w:color w:val="000000" w:themeColor="text1"/>
          <w:szCs w:val="28"/>
          <w:highlight w:val="none"/>
          <w14:textFill>
            <w14:solidFill>
              <w14:schemeClr w14:val="tx1"/>
            </w14:solidFill>
          </w14:textFill>
        </w:rPr>
        <w:fldChar w:fldCharType="begin"/>
      </w:r>
      <w:r>
        <w:rPr>
          <w:rFonts w:ascii="仿宋" w:hAnsi="仿宋" w:eastAsia="仿宋" w:cs="宋体"/>
          <w:bCs/>
          <w:szCs w:val="28"/>
          <w:highlight w:val="none"/>
        </w:rPr>
        <w:instrText xml:space="preserve"> HYPERLINK \l _Toc24046 </w:instrText>
      </w:r>
      <w:r>
        <w:rPr>
          <w:rFonts w:ascii="仿宋" w:hAnsi="仿宋" w:eastAsia="仿宋" w:cs="宋体"/>
          <w:bCs/>
          <w:szCs w:val="28"/>
          <w:highlight w:val="none"/>
        </w:rPr>
        <w:fldChar w:fldCharType="separate"/>
      </w:r>
      <w:r>
        <w:rPr>
          <w:rFonts w:hint="eastAsia" w:ascii="仿宋" w:hAnsi="仿宋" w:eastAsia="仿宋" w:cs="Times New Roman"/>
          <w:highlight w:val="none"/>
          <w:lang w:val="zh-CN"/>
        </w:rPr>
        <w:t>第二部分</w:t>
      </w:r>
      <w:r>
        <w:rPr>
          <w:rFonts w:ascii="仿宋" w:hAnsi="仿宋" w:eastAsia="仿宋" w:cs="宋体"/>
          <w:bCs/>
          <w:color w:val="000000" w:themeColor="text1"/>
          <w:szCs w:val="28"/>
          <w:highlight w:val="none"/>
          <w14:textFill>
            <w14:solidFill>
              <w14:schemeClr w14:val="tx1"/>
            </w14:solidFill>
          </w14:textFill>
        </w:rPr>
        <w:fldChar w:fldCharType="end"/>
      </w:r>
      <w:r>
        <w:rPr>
          <w:rFonts w:ascii="仿宋" w:hAnsi="仿宋" w:eastAsia="仿宋" w:cs="宋体"/>
          <w:bCs/>
          <w:color w:val="000000" w:themeColor="text1"/>
          <w:szCs w:val="28"/>
          <w:highlight w:val="none"/>
          <w14:textFill>
            <w14:solidFill>
              <w14:schemeClr w14:val="tx1"/>
            </w14:solidFill>
          </w14:textFill>
        </w:rPr>
        <w:fldChar w:fldCharType="begin"/>
      </w:r>
      <w:r>
        <w:rPr>
          <w:rFonts w:ascii="仿宋" w:hAnsi="仿宋" w:eastAsia="仿宋" w:cs="宋体"/>
          <w:bCs/>
          <w:szCs w:val="28"/>
          <w:highlight w:val="none"/>
        </w:rPr>
        <w:instrText xml:space="preserve"> HYPERLINK \l _Toc12448 </w:instrText>
      </w:r>
      <w:r>
        <w:rPr>
          <w:rFonts w:ascii="仿宋" w:hAnsi="仿宋" w:eastAsia="仿宋" w:cs="宋体"/>
          <w:bCs/>
          <w:szCs w:val="28"/>
          <w:highlight w:val="none"/>
        </w:rPr>
        <w:fldChar w:fldCharType="separate"/>
      </w:r>
      <w:r>
        <w:rPr>
          <w:rFonts w:hint="eastAsia" w:ascii="仿宋" w:hAnsi="仿宋" w:eastAsia="仿宋" w:cs="Times New Roman"/>
          <w:highlight w:val="none"/>
          <w:lang w:val="zh-CN"/>
        </w:rPr>
        <w:t>响应人须知前附表</w:t>
      </w:r>
      <w:r>
        <w:tab/>
      </w:r>
      <w:r>
        <w:rPr>
          <w:rFonts w:hint="eastAsia"/>
          <w:lang w:val="en-US" w:eastAsia="zh-CN"/>
        </w:rPr>
        <w:t>6</w:t>
      </w:r>
      <w:r>
        <w:rPr>
          <w:rFonts w:ascii="仿宋" w:hAnsi="仿宋" w:eastAsia="仿宋" w:cs="宋体"/>
          <w:bCs/>
          <w:color w:val="000000" w:themeColor="text1"/>
          <w:szCs w:val="28"/>
          <w:highlight w:val="none"/>
          <w14:textFill>
            <w14:solidFill>
              <w14:schemeClr w14:val="tx1"/>
            </w14:solidFill>
          </w14:textFill>
        </w:rPr>
        <w:fldChar w:fldCharType="end"/>
      </w:r>
    </w:p>
    <w:p>
      <w:pPr>
        <w:pStyle w:val="19"/>
        <w:tabs>
          <w:tab w:val="right" w:leader="dot" w:pos="9073"/>
          <w:tab w:val="clear" w:pos="8720"/>
        </w:tabs>
      </w:pPr>
      <w:r>
        <w:rPr>
          <w:rFonts w:ascii="仿宋" w:hAnsi="仿宋" w:eastAsia="仿宋" w:cs="宋体"/>
          <w:bCs/>
          <w:color w:val="000000" w:themeColor="text1"/>
          <w:szCs w:val="28"/>
          <w:highlight w:val="none"/>
          <w14:textFill>
            <w14:solidFill>
              <w14:schemeClr w14:val="tx1"/>
            </w14:solidFill>
          </w14:textFill>
        </w:rPr>
        <w:fldChar w:fldCharType="begin"/>
      </w:r>
      <w:r>
        <w:rPr>
          <w:rFonts w:ascii="仿宋" w:hAnsi="仿宋" w:eastAsia="仿宋" w:cs="宋体"/>
          <w:bCs/>
          <w:szCs w:val="28"/>
          <w:highlight w:val="none"/>
        </w:rPr>
        <w:instrText xml:space="preserve"> HYPERLINK \l _Toc13701 </w:instrText>
      </w:r>
      <w:r>
        <w:rPr>
          <w:rFonts w:ascii="仿宋" w:hAnsi="仿宋" w:eastAsia="仿宋" w:cs="宋体"/>
          <w:bCs/>
          <w:szCs w:val="28"/>
          <w:highlight w:val="none"/>
        </w:rPr>
        <w:fldChar w:fldCharType="separate"/>
      </w:r>
      <w:r>
        <w:rPr>
          <w:rFonts w:hint="eastAsia" w:ascii="仿宋" w:hAnsi="仿宋" w:eastAsia="仿宋" w:cs="Times New Roman"/>
          <w:highlight w:val="none"/>
          <w:lang w:val="zh-CN"/>
        </w:rPr>
        <w:t xml:space="preserve">第三部分 </w:t>
      </w:r>
      <w:r>
        <w:rPr>
          <w:rFonts w:ascii="仿宋" w:hAnsi="仿宋" w:eastAsia="仿宋" w:cs="Times New Roman"/>
          <w:highlight w:val="none"/>
          <w:lang w:val="zh-CN"/>
        </w:rPr>
        <w:t xml:space="preserve"> </w:t>
      </w:r>
      <w:r>
        <w:rPr>
          <w:rFonts w:hint="eastAsia" w:ascii="仿宋" w:hAnsi="仿宋" w:eastAsia="仿宋" w:cs="Times New Roman"/>
          <w:highlight w:val="none"/>
          <w:lang w:val="zh-CN"/>
        </w:rPr>
        <w:t>投标人须知</w:t>
      </w:r>
      <w:r>
        <w:tab/>
      </w:r>
      <w:r>
        <w:rPr>
          <w:rFonts w:hint="eastAsia"/>
          <w:lang w:val="en-US" w:eastAsia="zh-CN"/>
        </w:rPr>
        <w:t>9</w:t>
      </w:r>
      <w:r>
        <w:rPr>
          <w:rFonts w:ascii="仿宋" w:hAnsi="仿宋" w:eastAsia="仿宋" w:cs="宋体"/>
          <w:bCs/>
          <w:color w:val="000000" w:themeColor="text1"/>
          <w:szCs w:val="28"/>
          <w:highlight w:val="none"/>
          <w14:textFill>
            <w14:solidFill>
              <w14:schemeClr w14:val="tx1"/>
            </w14:solidFill>
          </w14:textFill>
        </w:rPr>
        <w:fldChar w:fldCharType="end"/>
      </w:r>
    </w:p>
    <w:p>
      <w:pPr>
        <w:pStyle w:val="19"/>
        <w:tabs>
          <w:tab w:val="right" w:leader="dot" w:pos="9073"/>
          <w:tab w:val="clear" w:pos="8720"/>
        </w:tabs>
      </w:pPr>
      <w:r>
        <w:rPr>
          <w:rFonts w:ascii="仿宋" w:hAnsi="仿宋" w:eastAsia="仿宋" w:cs="宋体"/>
          <w:bCs/>
          <w:color w:val="000000" w:themeColor="text1"/>
          <w:szCs w:val="28"/>
          <w:highlight w:val="none"/>
          <w14:textFill>
            <w14:solidFill>
              <w14:schemeClr w14:val="tx1"/>
            </w14:solidFill>
          </w14:textFill>
        </w:rPr>
        <w:fldChar w:fldCharType="begin"/>
      </w:r>
      <w:r>
        <w:rPr>
          <w:rFonts w:ascii="仿宋" w:hAnsi="仿宋" w:eastAsia="仿宋" w:cs="宋体"/>
          <w:bCs/>
          <w:szCs w:val="28"/>
          <w:highlight w:val="none"/>
        </w:rPr>
        <w:instrText xml:space="preserve"> HYPERLINK \l _Toc9050 </w:instrText>
      </w:r>
      <w:r>
        <w:rPr>
          <w:rFonts w:ascii="仿宋" w:hAnsi="仿宋" w:eastAsia="仿宋" w:cs="宋体"/>
          <w:bCs/>
          <w:szCs w:val="28"/>
          <w:highlight w:val="none"/>
        </w:rPr>
        <w:fldChar w:fldCharType="separate"/>
      </w:r>
      <w:r>
        <w:rPr>
          <w:rFonts w:hint="eastAsia" w:ascii="仿宋" w:hAnsi="仿宋" w:eastAsia="仿宋" w:cs="宋体"/>
          <w:kern w:val="0"/>
          <w:szCs w:val="32"/>
          <w:highlight w:val="none"/>
        </w:rPr>
        <w:t>一、询比内容及资格要求</w:t>
      </w:r>
      <w:r>
        <w:tab/>
      </w:r>
      <w:r>
        <w:rPr>
          <w:rFonts w:hint="eastAsia"/>
          <w:lang w:val="en-US" w:eastAsia="zh-CN"/>
        </w:rPr>
        <w:t>9</w:t>
      </w:r>
      <w:r>
        <w:rPr>
          <w:rFonts w:ascii="仿宋" w:hAnsi="仿宋" w:eastAsia="仿宋" w:cs="宋体"/>
          <w:bCs/>
          <w:color w:val="000000" w:themeColor="text1"/>
          <w:szCs w:val="28"/>
          <w:highlight w:val="none"/>
          <w14:textFill>
            <w14:solidFill>
              <w14:schemeClr w14:val="tx1"/>
            </w14:solidFill>
          </w14:textFill>
        </w:rPr>
        <w:fldChar w:fldCharType="end"/>
      </w:r>
    </w:p>
    <w:p>
      <w:pPr>
        <w:pStyle w:val="19"/>
        <w:tabs>
          <w:tab w:val="right" w:leader="dot" w:pos="9073"/>
          <w:tab w:val="clear" w:pos="8720"/>
        </w:tabs>
      </w:pPr>
      <w:r>
        <w:rPr>
          <w:rFonts w:ascii="仿宋" w:hAnsi="仿宋" w:eastAsia="仿宋" w:cs="宋体"/>
          <w:bCs/>
          <w:color w:val="000000" w:themeColor="text1"/>
          <w:szCs w:val="28"/>
          <w:highlight w:val="none"/>
          <w14:textFill>
            <w14:solidFill>
              <w14:schemeClr w14:val="tx1"/>
            </w14:solidFill>
          </w14:textFill>
        </w:rPr>
        <w:fldChar w:fldCharType="begin"/>
      </w:r>
      <w:r>
        <w:rPr>
          <w:rFonts w:ascii="仿宋" w:hAnsi="仿宋" w:eastAsia="仿宋" w:cs="宋体"/>
          <w:bCs/>
          <w:szCs w:val="28"/>
          <w:highlight w:val="none"/>
        </w:rPr>
        <w:instrText xml:space="preserve"> HYPERLINK \l _Toc21456 </w:instrText>
      </w:r>
      <w:r>
        <w:rPr>
          <w:rFonts w:ascii="仿宋" w:hAnsi="仿宋" w:eastAsia="仿宋" w:cs="宋体"/>
          <w:bCs/>
          <w:szCs w:val="28"/>
          <w:highlight w:val="none"/>
        </w:rPr>
        <w:fldChar w:fldCharType="separate"/>
      </w:r>
      <w:r>
        <w:rPr>
          <w:rFonts w:hint="eastAsia" w:ascii="仿宋" w:hAnsi="仿宋" w:eastAsia="仿宋" w:cs="宋体"/>
          <w:kern w:val="0"/>
          <w:szCs w:val="32"/>
          <w:highlight w:val="none"/>
        </w:rPr>
        <w:t>二、询比采购文件</w:t>
      </w:r>
      <w:r>
        <w:tab/>
      </w:r>
      <w:r>
        <w:rPr>
          <w:rFonts w:hint="eastAsia"/>
          <w:lang w:val="en-US" w:eastAsia="zh-CN"/>
        </w:rPr>
        <w:t>9</w:t>
      </w:r>
      <w:r>
        <w:rPr>
          <w:rFonts w:ascii="仿宋" w:hAnsi="仿宋" w:eastAsia="仿宋" w:cs="宋体"/>
          <w:bCs/>
          <w:color w:val="000000" w:themeColor="text1"/>
          <w:szCs w:val="28"/>
          <w:highlight w:val="none"/>
          <w14:textFill>
            <w14:solidFill>
              <w14:schemeClr w14:val="tx1"/>
            </w14:solidFill>
          </w14:textFill>
        </w:rPr>
        <w:fldChar w:fldCharType="end"/>
      </w:r>
    </w:p>
    <w:p>
      <w:pPr>
        <w:pStyle w:val="19"/>
        <w:tabs>
          <w:tab w:val="right" w:leader="dot" w:pos="9073"/>
          <w:tab w:val="clear" w:pos="8720"/>
        </w:tabs>
      </w:pPr>
      <w:r>
        <w:rPr>
          <w:rFonts w:ascii="仿宋" w:hAnsi="仿宋" w:eastAsia="仿宋" w:cs="宋体"/>
          <w:bCs/>
          <w:color w:val="000000" w:themeColor="text1"/>
          <w:szCs w:val="28"/>
          <w:highlight w:val="none"/>
          <w14:textFill>
            <w14:solidFill>
              <w14:schemeClr w14:val="tx1"/>
            </w14:solidFill>
          </w14:textFill>
        </w:rPr>
        <w:fldChar w:fldCharType="begin"/>
      </w:r>
      <w:r>
        <w:rPr>
          <w:rFonts w:ascii="仿宋" w:hAnsi="仿宋" w:eastAsia="仿宋" w:cs="宋体"/>
          <w:bCs/>
          <w:szCs w:val="28"/>
          <w:highlight w:val="none"/>
        </w:rPr>
        <w:instrText xml:space="preserve"> HYPERLINK \l _Toc24734 </w:instrText>
      </w:r>
      <w:r>
        <w:rPr>
          <w:rFonts w:ascii="仿宋" w:hAnsi="仿宋" w:eastAsia="仿宋" w:cs="宋体"/>
          <w:bCs/>
          <w:szCs w:val="28"/>
          <w:highlight w:val="none"/>
        </w:rPr>
        <w:fldChar w:fldCharType="separate"/>
      </w:r>
      <w:r>
        <w:rPr>
          <w:rFonts w:hint="eastAsia" w:ascii="仿宋" w:hAnsi="仿宋" w:eastAsia="仿宋" w:cs="宋体"/>
          <w:kern w:val="0"/>
          <w:szCs w:val="32"/>
          <w:highlight w:val="none"/>
        </w:rPr>
        <w:t>三、询比要求</w:t>
      </w:r>
      <w:r>
        <w:tab/>
      </w:r>
      <w:r>
        <w:fldChar w:fldCharType="begin"/>
      </w:r>
      <w:r>
        <w:instrText xml:space="preserve"> PAGEREF _Toc24734 </w:instrText>
      </w:r>
      <w:r>
        <w:fldChar w:fldCharType="separate"/>
      </w:r>
      <w:r>
        <w:t>10</w:t>
      </w:r>
      <w:r>
        <w:fldChar w:fldCharType="end"/>
      </w:r>
      <w:r>
        <w:rPr>
          <w:rFonts w:ascii="仿宋" w:hAnsi="仿宋" w:eastAsia="仿宋" w:cs="宋体"/>
          <w:bCs/>
          <w:color w:val="000000" w:themeColor="text1"/>
          <w:szCs w:val="28"/>
          <w:highlight w:val="none"/>
          <w14:textFill>
            <w14:solidFill>
              <w14:schemeClr w14:val="tx1"/>
            </w14:solidFill>
          </w14:textFill>
        </w:rPr>
        <w:fldChar w:fldCharType="end"/>
      </w:r>
    </w:p>
    <w:p>
      <w:pPr>
        <w:pStyle w:val="19"/>
        <w:tabs>
          <w:tab w:val="right" w:leader="dot" w:pos="9073"/>
          <w:tab w:val="clear" w:pos="8720"/>
        </w:tabs>
        <w:rPr>
          <w:rFonts w:hint="eastAsia" w:eastAsia="仿宋"/>
          <w:lang w:val="en-US" w:eastAsia="zh-CN"/>
        </w:rPr>
      </w:pPr>
      <w:r>
        <w:rPr>
          <w:rFonts w:ascii="仿宋" w:hAnsi="仿宋" w:eastAsia="仿宋" w:cs="宋体"/>
          <w:bCs/>
          <w:color w:val="000000" w:themeColor="text1"/>
          <w:szCs w:val="28"/>
          <w:highlight w:val="none"/>
          <w14:textFill>
            <w14:solidFill>
              <w14:schemeClr w14:val="tx1"/>
            </w14:solidFill>
          </w14:textFill>
        </w:rPr>
        <w:fldChar w:fldCharType="begin"/>
      </w:r>
      <w:r>
        <w:rPr>
          <w:rFonts w:ascii="仿宋" w:hAnsi="仿宋" w:eastAsia="仿宋" w:cs="宋体"/>
          <w:bCs/>
          <w:szCs w:val="28"/>
          <w:highlight w:val="none"/>
        </w:rPr>
        <w:instrText xml:space="preserve"> HYPERLINK \l _Toc4326 </w:instrText>
      </w:r>
      <w:r>
        <w:rPr>
          <w:rFonts w:ascii="仿宋" w:hAnsi="仿宋" w:eastAsia="仿宋" w:cs="宋体"/>
          <w:bCs/>
          <w:szCs w:val="28"/>
          <w:highlight w:val="none"/>
        </w:rPr>
        <w:fldChar w:fldCharType="separate"/>
      </w:r>
      <w:r>
        <w:rPr>
          <w:rFonts w:hint="eastAsia" w:ascii="仿宋" w:hAnsi="仿宋" w:eastAsia="仿宋" w:cs="宋体"/>
          <w:kern w:val="0"/>
          <w:szCs w:val="32"/>
          <w:highlight w:val="none"/>
        </w:rPr>
        <w:t>四、询比、成交</w:t>
      </w:r>
      <w:r>
        <w:tab/>
      </w:r>
      <w:r>
        <w:rPr>
          <w:rFonts w:hint="eastAsia"/>
          <w:lang w:val="en-US" w:eastAsia="zh-CN"/>
        </w:rPr>
        <w:t>1</w:t>
      </w:r>
      <w:r>
        <w:rPr>
          <w:rFonts w:ascii="仿宋" w:hAnsi="仿宋" w:eastAsia="仿宋" w:cs="宋体"/>
          <w:bCs/>
          <w:color w:val="000000" w:themeColor="text1"/>
          <w:szCs w:val="28"/>
          <w:highlight w:val="none"/>
          <w14:textFill>
            <w14:solidFill>
              <w14:schemeClr w14:val="tx1"/>
            </w14:solidFill>
          </w14:textFill>
        </w:rPr>
        <w:fldChar w:fldCharType="end"/>
      </w:r>
      <w:r>
        <w:rPr>
          <w:rFonts w:hint="eastAsia" w:ascii="仿宋" w:hAnsi="仿宋" w:eastAsia="仿宋" w:cs="宋体"/>
          <w:bCs/>
          <w:color w:val="000000" w:themeColor="text1"/>
          <w:szCs w:val="28"/>
          <w:highlight w:val="none"/>
          <w:lang w:val="en-US" w:eastAsia="zh-CN"/>
          <w14:textFill>
            <w14:solidFill>
              <w14:schemeClr w14:val="tx1"/>
            </w14:solidFill>
          </w14:textFill>
        </w:rPr>
        <w:t>2</w:t>
      </w:r>
    </w:p>
    <w:p>
      <w:pPr>
        <w:pStyle w:val="19"/>
        <w:tabs>
          <w:tab w:val="right" w:leader="dot" w:pos="9073"/>
          <w:tab w:val="clear" w:pos="8720"/>
        </w:tabs>
        <w:rPr>
          <w:rFonts w:hint="eastAsia" w:eastAsia="仿宋"/>
          <w:lang w:val="en-US" w:eastAsia="zh-CN"/>
        </w:rPr>
      </w:pPr>
      <w:r>
        <w:rPr>
          <w:rFonts w:ascii="仿宋" w:hAnsi="仿宋" w:eastAsia="仿宋" w:cs="宋体"/>
          <w:bCs/>
          <w:color w:val="000000" w:themeColor="text1"/>
          <w:szCs w:val="28"/>
          <w:highlight w:val="none"/>
          <w14:textFill>
            <w14:solidFill>
              <w14:schemeClr w14:val="tx1"/>
            </w14:solidFill>
          </w14:textFill>
        </w:rPr>
        <w:fldChar w:fldCharType="begin"/>
      </w:r>
      <w:r>
        <w:rPr>
          <w:rFonts w:ascii="仿宋" w:hAnsi="仿宋" w:eastAsia="仿宋" w:cs="宋体"/>
          <w:bCs/>
          <w:szCs w:val="28"/>
          <w:highlight w:val="none"/>
        </w:rPr>
        <w:instrText xml:space="preserve"> HYPERLINK \l _Toc18085 </w:instrText>
      </w:r>
      <w:r>
        <w:rPr>
          <w:rFonts w:ascii="仿宋" w:hAnsi="仿宋" w:eastAsia="仿宋" w:cs="宋体"/>
          <w:bCs/>
          <w:szCs w:val="28"/>
          <w:highlight w:val="none"/>
        </w:rPr>
        <w:fldChar w:fldCharType="separate"/>
      </w:r>
      <w:r>
        <w:rPr>
          <w:rFonts w:hint="eastAsia" w:ascii="仿宋" w:hAnsi="仿宋" w:eastAsia="仿宋" w:cs="宋体"/>
          <w:kern w:val="0"/>
          <w:szCs w:val="32"/>
          <w:highlight w:val="none"/>
        </w:rPr>
        <w:t>五、签订合同</w:t>
      </w:r>
      <w:r>
        <w:tab/>
      </w:r>
      <w:r>
        <w:rPr>
          <w:rFonts w:hint="eastAsia"/>
          <w:lang w:val="en-US" w:eastAsia="zh-CN"/>
        </w:rPr>
        <w:t>1</w:t>
      </w:r>
      <w:r>
        <w:rPr>
          <w:rFonts w:ascii="仿宋" w:hAnsi="仿宋" w:eastAsia="仿宋" w:cs="宋体"/>
          <w:bCs/>
          <w:color w:val="000000" w:themeColor="text1"/>
          <w:szCs w:val="28"/>
          <w:highlight w:val="none"/>
          <w14:textFill>
            <w14:solidFill>
              <w14:schemeClr w14:val="tx1"/>
            </w14:solidFill>
          </w14:textFill>
        </w:rPr>
        <w:fldChar w:fldCharType="end"/>
      </w:r>
      <w:r>
        <w:rPr>
          <w:rFonts w:hint="eastAsia" w:ascii="仿宋" w:hAnsi="仿宋" w:eastAsia="仿宋" w:cs="宋体"/>
          <w:bCs/>
          <w:color w:val="000000" w:themeColor="text1"/>
          <w:szCs w:val="28"/>
          <w:highlight w:val="none"/>
          <w:lang w:val="en-US" w:eastAsia="zh-CN"/>
          <w14:textFill>
            <w14:solidFill>
              <w14:schemeClr w14:val="tx1"/>
            </w14:solidFill>
          </w14:textFill>
        </w:rPr>
        <w:t>2</w:t>
      </w:r>
    </w:p>
    <w:p>
      <w:pPr>
        <w:pStyle w:val="19"/>
        <w:tabs>
          <w:tab w:val="right" w:leader="dot" w:pos="9073"/>
          <w:tab w:val="clear" w:pos="8720"/>
        </w:tabs>
      </w:pPr>
      <w:r>
        <w:rPr>
          <w:rFonts w:ascii="仿宋" w:hAnsi="仿宋" w:eastAsia="仿宋" w:cs="宋体"/>
          <w:bCs/>
          <w:color w:val="000000" w:themeColor="text1"/>
          <w:szCs w:val="28"/>
          <w:highlight w:val="none"/>
          <w14:textFill>
            <w14:solidFill>
              <w14:schemeClr w14:val="tx1"/>
            </w14:solidFill>
          </w14:textFill>
        </w:rPr>
        <w:fldChar w:fldCharType="begin"/>
      </w:r>
      <w:r>
        <w:rPr>
          <w:rFonts w:ascii="仿宋" w:hAnsi="仿宋" w:eastAsia="仿宋" w:cs="宋体"/>
          <w:bCs/>
          <w:szCs w:val="28"/>
          <w:highlight w:val="none"/>
        </w:rPr>
        <w:instrText xml:space="preserve"> HYPERLINK \l _Toc12689 </w:instrText>
      </w:r>
      <w:r>
        <w:rPr>
          <w:rFonts w:ascii="仿宋" w:hAnsi="仿宋" w:eastAsia="仿宋" w:cs="宋体"/>
          <w:bCs/>
          <w:szCs w:val="28"/>
          <w:highlight w:val="none"/>
        </w:rPr>
        <w:fldChar w:fldCharType="separate"/>
      </w:r>
      <w:r>
        <w:rPr>
          <w:rFonts w:hint="eastAsia" w:ascii="仿宋" w:hAnsi="仿宋" w:eastAsia="仿宋" w:cs="Times New Roman"/>
          <w:highlight w:val="none"/>
          <w:lang w:val="zh-CN"/>
        </w:rPr>
        <w:t>第四部分合同文本样式</w:t>
      </w:r>
      <w:r>
        <w:tab/>
      </w:r>
      <w:r>
        <w:fldChar w:fldCharType="begin"/>
      </w:r>
      <w:r>
        <w:instrText xml:space="preserve"> PAGEREF _Toc12689 </w:instrText>
      </w:r>
      <w:r>
        <w:fldChar w:fldCharType="separate"/>
      </w:r>
      <w:r>
        <w:t>14</w:t>
      </w:r>
      <w:r>
        <w:fldChar w:fldCharType="end"/>
      </w:r>
      <w:r>
        <w:rPr>
          <w:rFonts w:ascii="仿宋" w:hAnsi="仿宋" w:eastAsia="仿宋" w:cs="宋体"/>
          <w:bCs/>
          <w:color w:val="000000" w:themeColor="text1"/>
          <w:szCs w:val="28"/>
          <w:highlight w:val="none"/>
          <w14:textFill>
            <w14:solidFill>
              <w14:schemeClr w14:val="tx1"/>
            </w14:solidFill>
          </w14:textFill>
        </w:rPr>
        <w:fldChar w:fldCharType="end"/>
      </w:r>
    </w:p>
    <w:p>
      <w:pPr>
        <w:pStyle w:val="19"/>
        <w:tabs>
          <w:tab w:val="right" w:leader="dot" w:pos="9073"/>
          <w:tab w:val="clear" w:pos="8720"/>
        </w:tabs>
        <w:rPr>
          <w:rFonts w:hint="eastAsia" w:eastAsia="仿宋"/>
          <w:lang w:val="en-US" w:eastAsia="zh-CN"/>
        </w:rPr>
      </w:pPr>
      <w:r>
        <w:rPr>
          <w:rFonts w:ascii="仿宋" w:hAnsi="仿宋" w:eastAsia="仿宋" w:cs="宋体"/>
          <w:bCs/>
          <w:color w:val="000000" w:themeColor="text1"/>
          <w:szCs w:val="28"/>
          <w:highlight w:val="none"/>
          <w14:textFill>
            <w14:solidFill>
              <w14:schemeClr w14:val="tx1"/>
            </w14:solidFill>
          </w14:textFill>
        </w:rPr>
        <w:fldChar w:fldCharType="begin"/>
      </w:r>
      <w:r>
        <w:rPr>
          <w:rFonts w:ascii="仿宋" w:hAnsi="仿宋" w:eastAsia="仿宋" w:cs="宋体"/>
          <w:bCs/>
          <w:szCs w:val="28"/>
          <w:highlight w:val="none"/>
        </w:rPr>
        <w:instrText xml:space="preserve"> HYPERLINK \l _Toc699 </w:instrText>
      </w:r>
      <w:r>
        <w:rPr>
          <w:rFonts w:ascii="仿宋" w:hAnsi="仿宋" w:eastAsia="仿宋" w:cs="宋体"/>
          <w:bCs/>
          <w:szCs w:val="28"/>
          <w:highlight w:val="none"/>
        </w:rPr>
        <w:fldChar w:fldCharType="separate"/>
      </w:r>
      <w:r>
        <w:rPr>
          <w:rFonts w:hint="eastAsia" w:ascii="仿宋" w:hAnsi="仿宋" w:eastAsia="仿宋" w:cs="Times New Roman"/>
          <w:highlight w:val="none"/>
          <w:lang w:val="zh-CN"/>
        </w:rPr>
        <w:t>第五部分投标文件格式（部分）</w:t>
      </w:r>
      <w:r>
        <w:tab/>
      </w:r>
      <w:r>
        <w:rPr>
          <w:rFonts w:hint="eastAsia"/>
          <w:lang w:val="en-US" w:eastAsia="zh-CN"/>
        </w:rPr>
        <w:t>7</w:t>
      </w:r>
      <w:r>
        <w:rPr>
          <w:rFonts w:ascii="仿宋" w:hAnsi="仿宋" w:eastAsia="仿宋" w:cs="宋体"/>
          <w:bCs/>
          <w:color w:val="000000" w:themeColor="text1"/>
          <w:szCs w:val="28"/>
          <w:highlight w:val="none"/>
          <w14:textFill>
            <w14:solidFill>
              <w14:schemeClr w14:val="tx1"/>
            </w14:solidFill>
          </w14:textFill>
        </w:rPr>
        <w:fldChar w:fldCharType="end"/>
      </w:r>
      <w:r>
        <w:rPr>
          <w:rFonts w:hint="eastAsia" w:ascii="仿宋" w:hAnsi="仿宋" w:eastAsia="仿宋" w:cs="宋体"/>
          <w:bCs/>
          <w:color w:val="000000" w:themeColor="text1"/>
          <w:szCs w:val="28"/>
          <w:highlight w:val="none"/>
          <w:lang w:val="en-US" w:eastAsia="zh-CN"/>
          <w14:textFill>
            <w14:solidFill>
              <w14:schemeClr w14:val="tx1"/>
            </w14:solidFill>
          </w14:textFill>
        </w:rPr>
        <w:t>1</w:t>
      </w:r>
    </w:p>
    <w:p>
      <w:pPr>
        <w:pStyle w:val="13"/>
        <w:tabs>
          <w:tab w:val="right" w:leader="dot" w:pos="9073"/>
        </w:tabs>
      </w:pPr>
    </w:p>
    <w:p>
      <w:pPr>
        <w:pStyle w:val="20"/>
        <w:tabs>
          <w:tab w:val="right" w:leader="dot" w:pos="9072"/>
        </w:tabs>
        <w:spacing w:line="400" w:lineRule="exact"/>
        <w:rPr>
          <w:rFonts w:ascii="仿宋" w:hAnsi="仿宋" w:eastAsia="仿宋"/>
          <w:b/>
          <w:color w:val="000000" w:themeColor="text1"/>
          <w:sz w:val="24"/>
          <w:szCs w:val="24"/>
          <w:highlight w:val="none"/>
          <w14:textFill>
            <w14:solidFill>
              <w14:schemeClr w14:val="tx1"/>
            </w14:solidFill>
          </w14:textFill>
        </w:rPr>
      </w:pPr>
      <w:r>
        <w:rPr>
          <w:rFonts w:ascii="仿宋" w:hAnsi="仿宋" w:eastAsia="仿宋" w:cs="宋体"/>
          <w:bCs/>
          <w:color w:val="000000" w:themeColor="text1"/>
          <w:szCs w:val="28"/>
          <w:highlight w:val="none"/>
          <w14:textFill>
            <w14:solidFill>
              <w14:schemeClr w14:val="tx1"/>
            </w14:solidFill>
          </w14:textFill>
        </w:rPr>
        <w:fldChar w:fldCharType="end"/>
      </w:r>
    </w:p>
    <w:p>
      <w:pPr>
        <w:pStyle w:val="22"/>
        <w:spacing w:line="400" w:lineRule="exact"/>
        <w:rPr>
          <w:rFonts w:ascii="仿宋" w:hAnsi="仿宋" w:eastAsia="仿宋" w:cs="Times New Roman"/>
          <w:color w:val="000000" w:themeColor="text1"/>
          <w:highlight w:val="none"/>
          <w:lang w:val="zh-CN"/>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br w:type="page"/>
      </w:r>
      <w:bookmarkStart w:id="0" w:name="_Toc26611"/>
      <w:r>
        <w:rPr>
          <w:rFonts w:hint="eastAsia" w:ascii="仿宋" w:hAnsi="仿宋" w:eastAsia="仿宋" w:cs="Times New Roman"/>
          <w:highlight w:val="none"/>
          <w:lang w:val="zh-CN"/>
        </w:rPr>
        <w:t>第一部分</w:t>
      </w:r>
      <w:bookmarkStart w:id="1" w:name="_Toc27070"/>
      <w:r>
        <w:rPr>
          <w:rFonts w:hint="eastAsia" w:ascii="仿宋" w:hAnsi="仿宋" w:eastAsia="仿宋" w:cs="Times New Roman"/>
          <w:highlight w:val="none"/>
          <w:lang w:val="zh-CN"/>
        </w:rPr>
        <w:t>招标公告</w:t>
      </w:r>
      <w:bookmarkEnd w:id="0"/>
      <w:bookmarkEnd w:id="1"/>
    </w:p>
    <w:p>
      <w:pPr>
        <w:pStyle w:val="21"/>
        <w:shd w:val="clear" w:color="auto" w:fill="FFFFFF"/>
        <w:spacing w:before="0" w:beforeAutospacing="0" w:after="0" w:afterAutospacing="0" w:line="500" w:lineRule="exact"/>
        <w:jc w:val="both"/>
        <w:rPr>
          <w:rFonts w:ascii="华文楷体" w:hAnsi="华文楷体" w:eastAsia="华文楷体" w:cs="华文楷体"/>
          <w:sz w:val="21"/>
          <w:szCs w:val="21"/>
          <w:highlight w:val="none"/>
        </w:rPr>
      </w:pPr>
      <w:r>
        <w:rPr>
          <w:rFonts w:hint="eastAsia" w:ascii="华文楷体" w:hAnsi="华文楷体" w:eastAsia="华文楷体" w:cs="华文楷体"/>
          <w:sz w:val="28"/>
          <w:szCs w:val="28"/>
          <w:highlight w:val="none"/>
          <w:shd w:val="clear" w:color="auto" w:fill="FFFFFF"/>
        </w:rPr>
        <w:t>        </w:t>
      </w:r>
      <w:r>
        <w:rPr>
          <w:rFonts w:hint="eastAsia" w:ascii="华文楷体" w:hAnsi="华文楷体" w:eastAsia="华文楷体" w:cs="华文楷体"/>
          <w:sz w:val="28"/>
          <w:szCs w:val="28"/>
          <w:highlight w:val="none"/>
          <w:shd w:val="clear" w:color="auto" w:fill="FFFFFF"/>
          <w:lang w:val="en-US" w:eastAsia="zh-CN"/>
        </w:rPr>
        <w:t xml:space="preserve">       </w:t>
      </w:r>
      <w:r>
        <w:rPr>
          <w:rFonts w:hint="eastAsia" w:ascii="华文楷体" w:hAnsi="华文楷体" w:eastAsia="华文楷体" w:cs="华文楷体"/>
          <w:sz w:val="28"/>
          <w:szCs w:val="28"/>
          <w:highlight w:val="none"/>
          <w:shd w:val="clear" w:color="auto" w:fill="FFFFFF"/>
        </w:rPr>
        <w:t> </w:t>
      </w:r>
      <w:r>
        <w:rPr>
          <w:rFonts w:hint="eastAsia" w:ascii="华文楷体" w:hAnsi="华文楷体" w:eastAsia="华文楷体" w:cs="华文楷体"/>
          <w:b/>
          <w:sz w:val="28"/>
          <w:szCs w:val="28"/>
          <w:highlight w:val="none"/>
          <w:shd w:val="clear" w:color="auto" w:fill="FFFFFF"/>
        </w:rPr>
        <w:t>1、招标条件</w:t>
      </w:r>
    </w:p>
    <w:p>
      <w:pPr>
        <w:keepNext w:val="0"/>
        <w:keepLines w:val="0"/>
        <w:widowControl/>
        <w:suppressLineNumbers w:val="0"/>
        <w:jc w:val="left"/>
        <w:rPr>
          <w:rFonts w:hint="eastAsia" w:ascii="宋体" w:hAnsi="宋体" w:eastAsia="宋体" w:cs="宋体"/>
          <w:sz w:val="22"/>
          <w:szCs w:val="22"/>
          <w:lang w:eastAsia="zh-CN"/>
        </w:rPr>
      </w:pPr>
      <w:r>
        <w:rPr>
          <w:rFonts w:hint="eastAsia" w:ascii="宋体" w:hAnsi="宋体" w:eastAsia="宋体" w:cs="宋体"/>
          <w:sz w:val="22"/>
          <w:szCs w:val="22"/>
          <w:lang w:eastAsia="zh-CN"/>
        </w:rPr>
        <w:t> </w:t>
      </w:r>
      <w:r>
        <w:rPr>
          <w:rFonts w:hint="eastAsia" w:ascii="宋体" w:hAnsi="宋体" w:cs="宋体"/>
          <w:sz w:val="22"/>
          <w:szCs w:val="22"/>
          <w:lang w:val="en-US" w:eastAsia="zh-CN"/>
        </w:rPr>
        <w:t xml:space="preserve"> </w:t>
      </w:r>
      <w:r>
        <w:rPr>
          <w:rFonts w:hint="eastAsia" w:ascii="宋体" w:hAnsi="宋体" w:cs="宋体"/>
          <w:sz w:val="22"/>
          <w:szCs w:val="22"/>
          <w:lang w:eastAsia="zh-CN"/>
        </w:rPr>
        <w:t>青海华茂</w:t>
      </w:r>
      <w:r>
        <w:rPr>
          <w:rFonts w:hint="eastAsia" w:ascii="宋体" w:hAnsi="宋体" w:eastAsia="宋体" w:cs="宋体"/>
          <w:sz w:val="22"/>
          <w:szCs w:val="22"/>
          <w:lang w:eastAsia="zh-CN"/>
        </w:rPr>
        <w:t>工程项目管理有限公司受</w:t>
      </w:r>
      <w:r>
        <w:rPr>
          <w:rFonts w:hint="eastAsia" w:ascii="宋体" w:hAnsi="宋体" w:cs="宋体"/>
          <w:sz w:val="22"/>
          <w:szCs w:val="22"/>
          <w:lang w:val="en-US" w:eastAsia="zh-CN"/>
        </w:rPr>
        <w:t>甘德县住房和城乡建设局</w:t>
      </w:r>
      <w:r>
        <w:rPr>
          <w:rFonts w:hint="eastAsia" w:ascii="宋体" w:hAnsi="宋体" w:eastAsia="宋体" w:cs="宋体"/>
          <w:sz w:val="22"/>
          <w:szCs w:val="22"/>
          <w:lang w:eastAsia="zh-CN"/>
        </w:rPr>
        <w:t>的委托，拟对</w:t>
      </w:r>
      <w:r>
        <w:rPr>
          <w:rFonts w:hint="eastAsia" w:ascii="宋体" w:hAnsi="宋体" w:cs="宋体"/>
          <w:sz w:val="22"/>
          <w:szCs w:val="22"/>
          <w:lang w:eastAsia="zh-CN"/>
        </w:rPr>
        <w:t>甘德县高原美丽乡村建设项目</w:t>
      </w:r>
      <w:r>
        <w:rPr>
          <w:rFonts w:hint="eastAsia" w:ascii="宋体" w:hAnsi="宋体" w:eastAsia="宋体" w:cs="宋体"/>
          <w:sz w:val="22"/>
          <w:szCs w:val="22"/>
          <w:lang w:eastAsia="zh-CN"/>
        </w:rPr>
        <w:t>进行国内询比，资金来源为</w:t>
      </w:r>
      <w:r>
        <w:rPr>
          <w:rFonts w:hint="eastAsia" w:ascii="宋体" w:hAnsi="宋体" w:cs="宋体"/>
          <w:sz w:val="22"/>
          <w:szCs w:val="22"/>
          <w:lang w:val="en-US" w:eastAsia="zh-CN"/>
        </w:rPr>
        <w:t>2021年第一批少数民族发展资金</w:t>
      </w:r>
      <w:r>
        <w:rPr>
          <w:rFonts w:hint="eastAsia" w:ascii="宋体" w:hAnsi="宋体" w:cs="宋体"/>
          <w:sz w:val="22"/>
          <w:szCs w:val="22"/>
          <w:lang w:eastAsia="zh-CN"/>
        </w:rPr>
        <w:t>，</w:t>
      </w:r>
      <w:r>
        <w:rPr>
          <w:rFonts w:hint="eastAsia" w:ascii="宋体" w:hAnsi="宋体" w:eastAsia="宋体" w:cs="宋体"/>
          <w:sz w:val="22"/>
          <w:szCs w:val="22"/>
          <w:lang w:eastAsia="zh-CN"/>
        </w:rPr>
        <w:t>现予以邀请符合条件的投标人前来参加。</w:t>
      </w:r>
    </w:p>
    <w:p>
      <w:pPr>
        <w:bidi w:val="0"/>
        <w:ind w:firstLine="220" w:firstLineChars="100"/>
        <w:rPr>
          <w:rFonts w:hint="eastAsia" w:ascii="宋体" w:hAnsi="宋体" w:eastAsia="宋体" w:cs="宋体"/>
          <w:sz w:val="22"/>
          <w:szCs w:val="22"/>
          <w:lang w:eastAsia="zh-CN"/>
        </w:rPr>
      </w:pPr>
      <w:r>
        <w:rPr>
          <w:rFonts w:hint="eastAsia" w:ascii="宋体" w:hAnsi="宋体" w:eastAsia="宋体" w:cs="宋体"/>
          <w:sz w:val="22"/>
          <w:szCs w:val="22"/>
          <w:lang w:eastAsia="zh-CN"/>
        </w:rPr>
        <w:t>项目概况</w:t>
      </w:r>
    </w:p>
    <w:p>
      <w:pPr>
        <w:keepNext w:val="0"/>
        <w:keepLines w:val="0"/>
        <w:widowControl/>
        <w:numPr>
          <w:ilvl w:val="0"/>
          <w:numId w:val="1"/>
        </w:numPr>
        <w:suppressLineNumbers w:val="0"/>
        <w:jc w:val="left"/>
        <w:rPr>
          <w:rFonts w:hint="eastAsia" w:ascii="宋体" w:hAnsi="宋体" w:cs="宋体"/>
          <w:sz w:val="22"/>
          <w:szCs w:val="22"/>
          <w:lang w:eastAsia="zh-CN"/>
        </w:rPr>
      </w:pPr>
      <w:r>
        <w:rPr>
          <w:rFonts w:hint="eastAsia" w:ascii="宋体" w:hAnsi="宋体" w:eastAsia="宋体" w:cs="宋体"/>
          <w:sz w:val="22"/>
          <w:szCs w:val="22"/>
        </w:rPr>
        <w:t>项目</w:t>
      </w:r>
      <w:r>
        <w:rPr>
          <w:rFonts w:hint="eastAsia" w:ascii="宋体" w:hAnsi="宋体" w:cs="宋体"/>
          <w:sz w:val="22"/>
          <w:szCs w:val="22"/>
          <w:lang w:eastAsia="zh-CN"/>
        </w:rPr>
        <w:t>名称：甘德县高原美丽乡村建设项目</w:t>
      </w:r>
    </w:p>
    <w:p>
      <w:pPr>
        <w:keepNext w:val="0"/>
        <w:keepLines w:val="0"/>
        <w:widowControl/>
        <w:numPr>
          <w:numId w:val="0"/>
        </w:numPr>
        <w:suppressLineNumbers w:val="0"/>
        <w:jc w:val="left"/>
        <w:rPr>
          <w:rFonts w:hint="default" w:ascii="宋体" w:hAnsi="宋体" w:cs="宋体"/>
          <w:sz w:val="22"/>
          <w:szCs w:val="22"/>
          <w:lang w:val="en-US" w:eastAsia="zh-CN"/>
        </w:rPr>
      </w:pPr>
      <w:r>
        <w:rPr>
          <w:rFonts w:hint="eastAsia" w:ascii="宋体" w:hAnsi="宋体" w:cs="宋体"/>
          <w:sz w:val="22"/>
          <w:szCs w:val="22"/>
          <w:lang w:val="en-US" w:eastAsia="zh-CN"/>
        </w:rPr>
        <w:t>2.招标编号：QHHMZB-2021-046</w:t>
      </w:r>
    </w:p>
    <w:p>
      <w:pPr>
        <w:bidi w:val="0"/>
        <w:rPr>
          <w:rFonts w:hint="default" w:ascii="宋体" w:hAnsi="宋体" w:eastAsia="宋体" w:cs="宋体"/>
          <w:sz w:val="22"/>
          <w:szCs w:val="22"/>
          <w:lang w:val="en-US" w:eastAsia="zh-CN"/>
        </w:rPr>
      </w:pPr>
    </w:p>
    <w:p>
      <w:pPr>
        <w:spacing w:line="440" w:lineRule="exact"/>
        <w:ind w:firstLine="200"/>
        <w:jc w:val="left"/>
        <w:rPr>
          <w:rFonts w:ascii="宋体" w:cs="宋体"/>
          <w:b/>
          <w:sz w:val="24"/>
        </w:rPr>
      </w:pPr>
      <w:r>
        <w:rPr>
          <w:rFonts w:hint="eastAsia" w:ascii="宋体" w:hAnsi="宋体" w:cs="宋体"/>
          <w:b/>
          <w:sz w:val="24"/>
          <w:lang w:val="en-US" w:eastAsia="zh-CN" w:bidi="ar"/>
        </w:rPr>
        <w:t>2、</w:t>
      </w:r>
      <w:r>
        <w:rPr>
          <w:rFonts w:hint="eastAsia" w:ascii="宋体" w:hAnsi="宋体" w:cs="宋体"/>
          <w:b/>
          <w:sz w:val="24"/>
          <w:lang w:bidi="ar"/>
        </w:rPr>
        <w:t>招标内容</w:t>
      </w:r>
    </w:p>
    <w:p>
      <w:pPr>
        <w:keepNext w:val="0"/>
        <w:keepLines w:val="0"/>
        <w:widowControl/>
        <w:suppressLineNumbers w:val="0"/>
        <w:jc w:val="left"/>
        <w:rPr>
          <w:rFonts w:hint="eastAsia" w:ascii="宋体" w:hAnsi="宋体" w:eastAsia="宋体" w:cs="宋体"/>
          <w:sz w:val="22"/>
          <w:szCs w:val="22"/>
          <w:lang w:eastAsia="zh-CN"/>
        </w:rPr>
      </w:pPr>
      <w:r>
        <w:rPr>
          <w:rFonts w:hint="eastAsia" w:ascii="宋体" w:hAnsi="宋体" w:eastAsia="宋体" w:cs="宋体"/>
          <w:sz w:val="22"/>
          <w:szCs w:val="22"/>
          <w:lang w:eastAsia="zh-CN"/>
        </w:rPr>
        <w:t>建设内容：</w:t>
      </w:r>
    </w:p>
    <w:p>
      <w:pPr>
        <w:keepNext w:val="0"/>
        <w:keepLines w:val="0"/>
        <w:widowControl/>
        <w:suppressLineNumbers w:val="0"/>
        <w:ind w:firstLine="440" w:firstLineChars="200"/>
        <w:jc w:val="left"/>
        <w:rPr>
          <w:rFonts w:hint="eastAsia" w:ascii="宋体" w:hAnsi="宋体" w:cs="宋体"/>
          <w:sz w:val="22"/>
          <w:szCs w:val="22"/>
          <w:lang w:val="en-US" w:eastAsia="zh-CN"/>
        </w:rPr>
      </w:pPr>
      <w:r>
        <w:rPr>
          <w:rFonts w:hint="eastAsia" w:ascii="宋体" w:hAnsi="宋体" w:cs="宋体"/>
          <w:sz w:val="22"/>
          <w:szCs w:val="22"/>
          <w:lang w:eastAsia="zh-CN"/>
        </w:rPr>
        <w:t>地点：</w:t>
      </w:r>
      <w:r>
        <w:rPr>
          <w:rFonts w:hint="eastAsia" w:ascii="宋体" w:hAnsi="宋体" w:cs="宋体"/>
          <w:sz w:val="22"/>
          <w:szCs w:val="22"/>
          <w:lang w:val="en-US" w:eastAsia="zh-CN"/>
        </w:rPr>
        <w:t>甘德县江千乡恰曲纳村</w:t>
      </w:r>
      <w:r>
        <w:rPr>
          <w:rFonts w:hint="eastAsia" w:ascii="宋体" w:hAnsi="宋体" w:eastAsia="宋体" w:cs="宋体"/>
          <w:sz w:val="22"/>
          <w:szCs w:val="22"/>
          <w:lang w:val="en-US" w:eastAsia="zh-CN"/>
        </w:rPr>
        <w:t>，建设规模及数量：</w:t>
      </w:r>
      <w:r>
        <w:rPr>
          <w:rFonts w:hint="eastAsia" w:ascii="宋体" w:hAnsi="宋体" w:cs="宋体"/>
          <w:sz w:val="22"/>
          <w:szCs w:val="22"/>
          <w:lang w:val="en-US" w:eastAsia="zh-CN"/>
        </w:rPr>
        <w:t>新建甘德县江千乡恰曲纳村混凝土道路6公里</w:t>
      </w:r>
    </w:p>
    <w:p>
      <w:pPr>
        <w:keepNext w:val="0"/>
        <w:keepLines w:val="0"/>
        <w:widowControl/>
        <w:suppressLineNumbers w:val="0"/>
        <w:ind w:firstLine="440" w:firstLineChars="200"/>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计划工期：</w:t>
      </w:r>
      <w:r>
        <w:rPr>
          <w:rFonts w:hint="eastAsia" w:ascii="宋体" w:hAnsi="宋体" w:cs="宋体"/>
          <w:color w:val="0000FF"/>
          <w:sz w:val="22"/>
          <w:szCs w:val="22"/>
          <w:lang w:val="en-US" w:eastAsia="zh-CN"/>
        </w:rPr>
        <w:t>100</w:t>
      </w:r>
      <w:r>
        <w:rPr>
          <w:rFonts w:hint="eastAsia" w:ascii="宋体" w:hAnsi="宋体" w:eastAsia="宋体" w:cs="宋体"/>
          <w:color w:val="0000FF"/>
          <w:sz w:val="22"/>
          <w:szCs w:val="22"/>
          <w:lang w:val="en-US" w:eastAsia="zh-CN"/>
        </w:rPr>
        <w:t>日历天</w:t>
      </w:r>
      <w:bookmarkStart w:id="2" w:name="_Toc17502"/>
      <w:bookmarkStart w:id="3" w:name="_Toc4112"/>
      <w:bookmarkStart w:id="4" w:name="_Toc19368"/>
    </w:p>
    <w:p>
      <w:pPr>
        <w:keepNext w:val="0"/>
        <w:keepLines w:val="0"/>
        <w:widowControl/>
        <w:suppressLineNumbers w:val="0"/>
        <w:jc w:val="left"/>
        <w:rPr>
          <w:sz w:val="22"/>
          <w:szCs w:val="36"/>
        </w:rPr>
      </w:pPr>
      <w:r>
        <w:rPr>
          <w:rFonts w:hint="eastAsia"/>
          <w:sz w:val="22"/>
          <w:szCs w:val="36"/>
          <w:lang w:val="en-US" w:eastAsia="zh-CN"/>
        </w:rPr>
        <w:t>3</w:t>
      </w:r>
      <w:r>
        <w:rPr>
          <w:rFonts w:hint="eastAsia"/>
          <w:sz w:val="22"/>
          <w:szCs w:val="36"/>
        </w:rPr>
        <w:t>、投标人资格要求：</w:t>
      </w:r>
      <w:bookmarkEnd w:id="2"/>
      <w:bookmarkEnd w:id="3"/>
      <w:bookmarkEnd w:id="4"/>
    </w:p>
    <w:p>
      <w:pPr>
        <w:pStyle w:val="21"/>
        <w:adjustRightInd w:val="0"/>
        <w:snapToGrid w:val="0"/>
        <w:spacing w:line="312" w:lineRule="auto"/>
        <w:ind w:firstLine="440" w:firstLineChars="200"/>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1）合法有效的营业执照（副本）、税务登记证、组织机构代码证（副本）、或三证合一营业执照，安全生产许可证（副本）、外省企业应具有进青备案手续；</w:t>
      </w:r>
    </w:p>
    <w:p>
      <w:pPr>
        <w:pStyle w:val="21"/>
        <w:adjustRightInd w:val="0"/>
        <w:snapToGrid w:val="0"/>
        <w:spacing w:line="312" w:lineRule="auto"/>
        <w:ind w:firstLine="440" w:firstLineChars="200"/>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2）法定代表人授权书</w:t>
      </w:r>
      <w:r>
        <w:rPr>
          <w:rFonts w:hint="eastAsia" w:cs="宋体"/>
          <w:kern w:val="2"/>
          <w:sz w:val="22"/>
          <w:szCs w:val="22"/>
          <w:lang w:val="en-US" w:eastAsia="zh-CN" w:bidi="ar-SA"/>
        </w:rPr>
        <w:t>、被授权人身份证复印件</w:t>
      </w:r>
    </w:p>
    <w:p>
      <w:pPr>
        <w:spacing w:line="360" w:lineRule="exact"/>
        <w:ind w:firstLine="440" w:firstLineChars="200"/>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3）具备</w:t>
      </w:r>
      <w:r>
        <w:rPr>
          <w:rFonts w:hint="eastAsia" w:ascii="宋体" w:hAnsi="宋体" w:cs="宋体"/>
          <w:kern w:val="2"/>
          <w:sz w:val="22"/>
          <w:szCs w:val="22"/>
          <w:lang w:val="en-US" w:eastAsia="zh-CN" w:bidi="ar-SA"/>
        </w:rPr>
        <w:t>房屋建筑工程施工</w:t>
      </w:r>
      <w:r>
        <w:rPr>
          <w:rFonts w:hint="eastAsia" w:ascii="宋体" w:hAnsi="宋体" w:eastAsia="宋体" w:cs="宋体"/>
          <w:kern w:val="2"/>
          <w:sz w:val="22"/>
          <w:szCs w:val="22"/>
          <w:lang w:val="en-US" w:eastAsia="zh-CN" w:bidi="ar-SA"/>
        </w:rPr>
        <w:t>总承包叁级（含）叁级以上资质，并在人员、设备、资金等方面具有相应的施工能力。</w:t>
      </w:r>
    </w:p>
    <w:p>
      <w:pPr>
        <w:pStyle w:val="21"/>
        <w:adjustRightInd w:val="0"/>
        <w:snapToGrid w:val="0"/>
        <w:spacing w:line="312" w:lineRule="auto"/>
        <w:ind w:firstLine="440" w:firstLineChars="200"/>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4）拟投入本工程的项目经理具备</w:t>
      </w:r>
      <w:r>
        <w:rPr>
          <w:rFonts w:hint="eastAsia" w:cs="宋体"/>
          <w:kern w:val="2"/>
          <w:sz w:val="22"/>
          <w:szCs w:val="22"/>
          <w:lang w:val="en-US" w:eastAsia="zh-CN" w:bidi="ar-SA"/>
        </w:rPr>
        <w:t>房屋建筑工程专业</w:t>
      </w:r>
      <w:r>
        <w:rPr>
          <w:rFonts w:hint="eastAsia" w:ascii="宋体" w:hAnsi="宋体" w:eastAsia="宋体" w:cs="宋体"/>
          <w:kern w:val="2"/>
          <w:sz w:val="22"/>
          <w:szCs w:val="22"/>
          <w:lang w:val="en-US" w:eastAsia="zh-CN" w:bidi="ar-SA"/>
        </w:rPr>
        <w:t>二级建造师执业资格证、有效的注册证、有效的安全生产考核合格证。</w:t>
      </w:r>
    </w:p>
    <w:p>
      <w:pPr>
        <w:pStyle w:val="21"/>
        <w:adjustRightInd w:val="0"/>
        <w:snapToGrid w:val="0"/>
        <w:spacing w:line="312" w:lineRule="auto"/>
        <w:ind w:firstLine="440" w:firstLineChars="200"/>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5）拟派技术负责人具备</w:t>
      </w:r>
      <w:r>
        <w:rPr>
          <w:rFonts w:hint="eastAsia" w:cs="宋体"/>
          <w:kern w:val="2"/>
          <w:sz w:val="22"/>
          <w:szCs w:val="22"/>
          <w:lang w:val="en-US" w:eastAsia="zh-CN" w:bidi="ar-SA"/>
        </w:rPr>
        <w:t>建筑</w:t>
      </w:r>
      <w:r>
        <w:rPr>
          <w:rFonts w:hint="eastAsia" w:ascii="宋体" w:hAnsi="宋体" w:eastAsia="宋体" w:cs="宋体"/>
          <w:kern w:val="2"/>
          <w:sz w:val="22"/>
          <w:szCs w:val="22"/>
          <w:lang w:val="en-US" w:eastAsia="zh-CN" w:bidi="ar-SA"/>
        </w:rPr>
        <w:t>相关专业中级及以上任职资格，项目管理人员中施工员、安全员、质检员、资料员须具有效的相关证件。</w:t>
      </w:r>
    </w:p>
    <w:p>
      <w:pPr>
        <w:pStyle w:val="21"/>
        <w:adjustRightInd w:val="0"/>
        <w:snapToGrid w:val="0"/>
        <w:spacing w:line="312" w:lineRule="auto"/>
        <w:ind w:firstLine="440" w:firstLineChars="200"/>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6）经信用中国、中国政府采购网等渠道查询后，列入失信被执行人、重大税收违法案件当事人名单、政府采购严重违法失信行为记录名单的，取消投标资格。（提供“信用中国”</w:t>
      </w:r>
      <w:r>
        <w:rPr>
          <w:rFonts w:hint="eastAsia" w:cs="宋体"/>
          <w:kern w:val="2"/>
          <w:sz w:val="22"/>
          <w:szCs w:val="22"/>
          <w:lang w:val="en-US" w:eastAsia="zh-CN" w:bidi="ar-SA"/>
        </w:rPr>
        <w:t>中国政府采购网</w:t>
      </w:r>
      <w:r>
        <w:rPr>
          <w:rFonts w:hint="eastAsia" w:ascii="宋体" w:hAnsi="宋体" w:eastAsia="宋体" w:cs="宋体"/>
          <w:kern w:val="2"/>
          <w:sz w:val="22"/>
          <w:szCs w:val="22"/>
          <w:lang w:val="en-US" w:eastAsia="zh-CN" w:bidi="ar-SA"/>
        </w:rPr>
        <w:t>网站无任何不良记录的查询截图，时间为投标截止时间前7天内）；</w:t>
      </w:r>
    </w:p>
    <w:p>
      <w:pPr>
        <w:pStyle w:val="21"/>
        <w:adjustRightInd w:val="0"/>
        <w:snapToGrid w:val="0"/>
        <w:spacing w:line="312" w:lineRule="auto"/>
        <w:ind w:firstLine="440" w:firstLineChars="200"/>
        <w:rPr>
          <w:rFonts w:ascii="宋体" w:hAnsi="宋体" w:cs="宋体"/>
          <w:sz w:val="24"/>
          <w:szCs w:val="24"/>
        </w:rPr>
      </w:pPr>
      <w:r>
        <w:rPr>
          <w:rFonts w:hint="eastAsia" w:ascii="宋体" w:hAnsi="宋体" w:eastAsia="宋体" w:cs="宋体"/>
          <w:kern w:val="2"/>
          <w:sz w:val="22"/>
          <w:szCs w:val="22"/>
          <w:lang w:val="en-US" w:eastAsia="zh-CN" w:bidi="ar-SA"/>
        </w:rPr>
        <w:t>本项目不接受联合投标；</w:t>
      </w:r>
    </w:p>
    <w:p>
      <w:pPr>
        <w:pStyle w:val="21"/>
        <w:shd w:val="clear" w:color="auto" w:fill="FFFFFF"/>
        <w:spacing w:before="0" w:beforeAutospacing="0" w:after="0" w:afterAutospacing="0" w:line="500" w:lineRule="exact"/>
        <w:jc w:val="both"/>
        <w:rPr>
          <w:rFonts w:hint="eastAsia" w:ascii="Arial" w:hAnsi="Arial" w:eastAsia="黑体" w:cs="Arial"/>
          <w:b/>
          <w:bCs/>
          <w:kern w:val="0"/>
          <w:sz w:val="22"/>
          <w:szCs w:val="36"/>
          <w:lang w:val="en-US" w:eastAsia="zh-CN" w:bidi="ar-SA"/>
        </w:rPr>
      </w:pPr>
    </w:p>
    <w:p>
      <w:pPr>
        <w:pStyle w:val="21"/>
        <w:shd w:val="clear" w:color="auto" w:fill="FFFFFF"/>
        <w:spacing w:before="0" w:beforeAutospacing="0" w:after="0" w:afterAutospacing="0" w:line="500" w:lineRule="exact"/>
        <w:jc w:val="both"/>
        <w:rPr>
          <w:rFonts w:hint="eastAsia" w:ascii="Arial" w:hAnsi="Arial" w:eastAsia="黑体" w:cs="Arial"/>
          <w:b/>
          <w:bCs/>
          <w:kern w:val="0"/>
          <w:sz w:val="22"/>
          <w:szCs w:val="36"/>
          <w:lang w:val="en-US" w:eastAsia="zh-CN" w:bidi="ar-SA"/>
        </w:rPr>
      </w:pPr>
    </w:p>
    <w:p>
      <w:pPr>
        <w:pStyle w:val="21"/>
        <w:shd w:val="clear" w:color="auto" w:fill="FFFFFF"/>
        <w:spacing w:before="0" w:beforeAutospacing="0" w:after="0" w:afterAutospacing="0" w:line="500" w:lineRule="exact"/>
        <w:jc w:val="both"/>
        <w:rPr>
          <w:rFonts w:hint="eastAsia" w:ascii="Arial" w:hAnsi="Arial" w:eastAsia="黑体" w:cs="Arial"/>
          <w:b/>
          <w:bCs/>
          <w:kern w:val="0"/>
          <w:sz w:val="22"/>
          <w:szCs w:val="36"/>
          <w:lang w:val="en-US" w:eastAsia="zh-CN" w:bidi="ar-SA"/>
        </w:rPr>
      </w:pPr>
    </w:p>
    <w:p>
      <w:pPr>
        <w:pStyle w:val="21"/>
        <w:shd w:val="clear" w:color="auto" w:fill="FFFFFF"/>
        <w:spacing w:before="0" w:beforeAutospacing="0" w:after="0" w:afterAutospacing="0" w:line="500" w:lineRule="exact"/>
        <w:jc w:val="both"/>
        <w:rPr>
          <w:rFonts w:hint="eastAsia" w:ascii="Arial" w:hAnsi="Arial" w:eastAsia="黑体" w:cs="Arial"/>
          <w:b/>
          <w:bCs/>
          <w:kern w:val="0"/>
          <w:sz w:val="22"/>
          <w:szCs w:val="36"/>
          <w:lang w:val="en-US" w:eastAsia="zh-CN" w:bidi="ar-SA"/>
        </w:rPr>
      </w:pPr>
    </w:p>
    <w:p>
      <w:pPr>
        <w:pStyle w:val="21"/>
        <w:shd w:val="clear" w:color="auto" w:fill="FFFFFF"/>
        <w:spacing w:before="0" w:beforeAutospacing="0" w:after="0" w:afterAutospacing="0" w:line="500" w:lineRule="exact"/>
        <w:jc w:val="both"/>
        <w:rPr>
          <w:rFonts w:hint="eastAsia" w:ascii="Arial" w:hAnsi="Arial" w:eastAsia="黑体" w:cs="Arial"/>
          <w:b/>
          <w:bCs/>
          <w:kern w:val="0"/>
          <w:sz w:val="22"/>
          <w:szCs w:val="36"/>
          <w:lang w:val="en-US" w:eastAsia="zh-CN" w:bidi="ar-SA"/>
        </w:rPr>
      </w:pPr>
      <w:r>
        <w:rPr>
          <w:rFonts w:hint="eastAsia" w:ascii="Arial" w:hAnsi="Arial" w:eastAsia="黑体" w:cs="Arial"/>
          <w:b/>
          <w:bCs/>
          <w:kern w:val="0"/>
          <w:sz w:val="22"/>
          <w:szCs w:val="36"/>
          <w:lang w:val="en-US" w:eastAsia="zh-CN" w:bidi="ar-SA"/>
        </w:rPr>
        <w:t>4、招标文件的获取</w:t>
      </w:r>
    </w:p>
    <w:p>
      <w:pPr>
        <w:pStyle w:val="11"/>
        <w:spacing w:line="500" w:lineRule="exact"/>
        <w:ind w:firstLine="720" w:firstLineChars="300"/>
        <w:rPr>
          <w:rFonts w:ascii="华文楷体" w:hAnsi="华文楷体" w:eastAsia="华文楷体" w:cs="华文楷体"/>
          <w:kern w:val="0"/>
          <w:sz w:val="24"/>
          <w:szCs w:val="24"/>
          <w:highlight w:val="none"/>
        </w:rPr>
      </w:pPr>
      <w:r>
        <w:rPr>
          <w:rFonts w:hint="eastAsia" w:ascii="华文楷体" w:hAnsi="华文楷体" w:eastAsia="华文楷体" w:cs="华文楷体"/>
          <w:kern w:val="0"/>
          <w:sz w:val="24"/>
          <w:szCs w:val="24"/>
          <w:highlight w:val="none"/>
        </w:rPr>
        <w:t>招标文件现场购买。获取方式自20</w:t>
      </w:r>
      <w:r>
        <w:rPr>
          <w:rFonts w:hint="eastAsia" w:ascii="华文楷体" w:hAnsi="华文楷体" w:eastAsia="华文楷体" w:cs="华文楷体"/>
          <w:kern w:val="0"/>
          <w:sz w:val="24"/>
          <w:szCs w:val="24"/>
          <w:highlight w:val="none"/>
          <w:lang w:val="en-US" w:eastAsia="zh-CN"/>
        </w:rPr>
        <w:t>21</w:t>
      </w:r>
      <w:r>
        <w:rPr>
          <w:rFonts w:hint="eastAsia" w:ascii="华文楷体" w:hAnsi="华文楷体" w:eastAsia="华文楷体" w:cs="华文楷体"/>
          <w:kern w:val="0"/>
          <w:sz w:val="24"/>
          <w:szCs w:val="24"/>
          <w:highlight w:val="none"/>
        </w:rPr>
        <w:t>年</w:t>
      </w:r>
      <w:r>
        <w:rPr>
          <w:rFonts w:hint="eastAsia" w:ascii="华文楷体" w:hAnsi="华文楷体" w:eastAsia="华文楷体" w:cs="华文楷体"/>
          <w:kern w:val="0"/>
          <w:sz w:val="24"/>
          <w:szCs w:val="24"/>
          <w:highlight w:val="none"/>
          <w:lang w:val="en-US" w:eastAsia="zh-CN"/>
        </w:rPr>
        <w:t>8</w:t>
      </w:r>
      <w:r>
        <w:rPr>
          <w:rFonts w:hint="eastAsia" w:ascii="华文楷体" w:hAnsi="华文楷体" w:eastAsia="华文楷体" w:cs="华文楷体"/>
          <w:kern w:val="0"/>
          <w:sz w:val="24"/>
          <w:szCs w:val="24"/>
          <w:highlight w:val="none"/>
        </w:rPr>
        <w:t>月</w:t>
      </w:r>
      <w:r>
        <w:rPr>
          <w:rFonts w:hint="eastAsia" w:ascii="华文楷体" w:hAnsi="华文楷体" w:eastAsia="华文楷体" w:cs="华文楷体"/>
          <w:kern w:val="0"/>
          <w:sz w:val="24"/>
          <w:szCs w:val="24"/>
          <w:highlight w:val="none"/>
          <w:lang w:val="en-US" w:eastAsia="zh-CN"/>
        </w:rPr>
        <w:t>13</w:t>
      </w:r>
      <w:r>
        <w:rPr>
          <w:rFonts w:hint="eastAsia" w:ascii="华文楷体" w:hAnsi="华文楷体" w:eastAsia="华文楷体" w:cs="华文楷体"/>
          <w:kern w:val="0"/>
          <w:sz w:val="24"/>
          <w:szCs w:val="24"/>
          <w:highlight w:val="none"/>
        </w:rPr>
        <w:t>日09:00时至20</w:t>
      </w:r>
      <w:r>
        <w:rPr>
          <w:rFonts w:hint="eastAsia" w:ascii="华文楷体" w:hAnsi="华文楷体" w:eastAsia="华文楷体" w:cs="华文楷体"/>
          <w:kern w:val="0"/>
          <w:sz w:val="24"/>
          <w:szCs w:val="24"/>
          <w:highlight w:val="none"/>
          <w:lang w:val="en-US" w:eastAsia="zh-CN"/>
        </w:rPr>
        <w:t>21</w:t>
      </w:r>
      <w:r>
        <w:rPr>
          <w:rFonts w:hint="eastAsia" w:ascii="华文楷体" w:hAnsi="华文楷体" w:eastAsia="华文楷体" w:cs="华文楷体"/>
          <w:kern w:val="0"/>
          <w:sz w:val="24"/>
          <w:szCs w:val="24"/>
          <w:highlight w:val="none"/>
        </w:rPr>
        <w:t>年</w:t>
      </w:r>
      <w:r>
        <w:rPr>
          <w:rFonts w:hint="eastAsia" w:ascii="华文楷体" w:hAnsi="华文楷体" w:eastAsia="华文楷体" w:cs="华文楷体"/>
          <w:kern w:val="0"/>
          <w:sz w:val="24"/>
          <w:szCs w:val="24"/>
          <w:highlight w:val="none"/>
          <w:lang w:val="en-US" w:eastAsia="zh-CN"/>
        </w:rPr>
        <w:t>8</w:t>
      </w:r>
      <w:r>
        <w:rPr>
          <w:rFonts w:hint="eastAsia" w:ascii="华文楷体" w:hAnsi="华文楷体" w:eastAsia="华文楷体" w:cs="华文楷体"/>
          <w:kern w:val="0"/>
          <w:sz w:val="24"/>
          <w:szCs w:val="24"/>
          <w:highlight w:val="none"/>
        </w:rPr>
        <w:t>月</w:t>
      </w:r>
      <w:r>
        <w:rPr>
          <w:rFonts w:hint="eastAsia" w:ascii="华文楷体" w:hAnsi="华文楷体" w:eastAsia="华文楷体" w:cs="华文楷体"/>
          <w:kern w:val="0"/>
          <w:sz w:val="24"/>
          <w:szCs w:val="24"/>
          <w:highlight w:val="none"/>
          <w:lang w:val="en-US" w:eastAsia="zh-CN"/>
        </w:rPr>
        <w:t>15</w:t>
      </w:r>
      <w:r>
        <w:rPr>
          <w:rFonts w:hint="eastAsia" w:ascii="华文楷体" w:hAnsi="华文楷体" w:eastAsia="华文楷体" w:cs="华文楷体"/>
          <w:kern w:val="0"/>
          <w:sz w:val="24"/>
          <w:szCs w:val="24"/>
          <w:highlight w:val="none"/>
        </w:rPr>
        <w:t>日17:30时止，（1）营业执照副本复印件（加盖单位公章）（2）法人授权委托书或介绍信（3）被授权人身份证复印件被邀请的</w:t>
      </w:r>
      <w:r>
        <w:rPr>
          <w:rFonts w:hint="eastAsia" w:ascii="华文楷体" w:hAnsi="华文楷体" w:eastAsia="华文楷体" w:cs="华文楷体"/>
          <w:kern w:val="0"/>
          <w:sz w:val="24"/>
          <w:szCs w:val="24"/>
          <w:highlight w:val="none"/>
          <w:lang w:eastAsia="zh-CN"/>
        </w:rPr>
        <w:t>投标人</w:t>
      </w:r>
      <w:r>
        <w:rPr>
          <w:rFonts w:hint="eastAsia" w:ascii="华文楷体" w:hAnsi="华文楷体" w:eastAsia="华文楷体" w:cs="华文楷体"/>
          <w:kern w:val="0"/>
          <w:sz w:val="24"/>
          <w:szCs w:val="24"/>
          <w:highlight w:val="none"/>
        </w:rPr>
        <w:t>携带以上资料购买询比文件。  </w:t>
      </w:r>
    </w:p>
    <w:p>
      <w:pPr>
        <w:pStyle w:val="21"/>
        <w:shd w:val="clear" w:color="auto" w:fill="FFFFFF"/>
        <w:spacing w:before="0" w:beforeAutospacing="0" w:after="0" w:afterAutospacing="0" w:line="500" w:lineRule="exact"/>
        <w:jc w:val="both"/>
        <w:rPr>
          <w:rFonts w:hint="eastAsia" w:ascii="Arial" w:hAnsi="Arial" w:eastAsia="黑体" w:cs="Arial"/>
          <w:b/>
          <w:bCs/>
          <w:kern w:val="0"/>
          <w:sz w:val="22"/>
          <w:szCs w:val="36"/>
          <w:lang w:val="en-US" w:eastAsia="zh-CN" w:bidi="ar-SA"/>
        </w:rPr>
      </w:pPr>
      <w:r>
        <w:rPr>
          <w:rFonts w:hint="eastAsia" w:ascii="Arial" w:hAnsi="Arial" w:eastAsia="黑体" w:cs="Arial"/>
          <w:b/>
          <w:bCs/>
          <w:kern w:val="0"/>
          <w:sz w:val="22"/>
          <w:szCs w:val="36"/>
          <w:lang w:val="en-US" w:eastAsia="zh-CN" w:bidi="ar-SA"/>
        </w:rPr>
        <w:t>5、投标文件的递交</w:t>
      </w:r>
    </w:p>
    <w:p>
      <w:pPr>
        <w:spacing w:line="440" w:lineRule="exact"/>
        <w:rPr>
          <w:rFonts w:hint="eastAsia" w:ascii="华文楷体" w:hAnsi="华文楷体" w:eastAsia="华文楷体" w:cs="华文楷体"/>
          <w:color w:val="000000" w:themeColor="text1"/>
          <w:kern w:val="0"/>
          <w:sz w:val="24"/>
          <w:szCs w:val="24"/>
          <w:highlight w:val="none"/>
          <w:lang w:val="en-US" w:eastAsia="zh-CN" w:bidi="ar-SA"/>
          <w14:textFill>
            <w14:solidFill>
              <w14:schemeClr w14:val="tx1"/>
            </w14:solidFill>
          </w14:textFill>
        </w:rPr>
      </w:pPr>
      <w:r>
        <w:rPr>
          <w:rFonts w:hint="eastAsia" w:ascii="华文楷体" w:hAnsi="华文楷体" w:eastAsia="华文楷体" w:cs="华文楷体"/>
          <w:kern w:val="0"/>
          <w:sz w:val="24"/>
          <w:szCs w:val="24"/>
          <w:highlight w:val="none"/>
          <w:lang w:val="en-US" w:eastAsia="zh-CN" w:bidi="ar-SA"/>
        </w:rPr>
        <w:t>投标文件递交的截止时间（投标截止时间，</w:t>
      </w:r>
      <w:r>
        <w:rPr>
          <w:rFonts w:hint="eastAsia" w:ascii="华文楷体" w:hAnsi="华文楷体" w:eastAsia="华文楷体" w:cs="华文楷体"/>
          <w:color w:val="000000" w:themeColor="text1"/>
          <w:kern w:val="0"/>
          <w:sz w:val="24"/>
          <w:szCs w:val="24"/>
          <w:highlight w:val="none"/>
          <w:lang w:val="en-US" w:eastAsia="zh-CN" w:bidi="ar-SA"/>
          <w14:textFill>
            <w14:solidFill>
              <w14:schemeClr w14:val="tx1"/>
            </w14:solidFill>
          </w14:textFill>
        </w:rPr>
        <w:t>下同）为2021年8月19日9时30分</w:t>
      </w:r>
    </w:p>
    <w:p>
      <w:pPr>
        <w:spacing w:line="440" w:lineRule="exact"/>
        <w:rPr>
          <w:rFonts w:hint="eastAsia" w:ascii="华文楷体" w:hAnsi="华文楷体" w:eastAsia="华文楷体" w:cs="华文楷体"/>
          <w:kern w:val="0"/>
          <w:sz w:val="24"/>
          <w:szCs w:val="24"/>
          <w:highlight w:val="none"/>
          <w:lang w:val="en-US" w:eastAsia="zh-CN" w:bidi="ar-SA"/>
        </w:rPr>
      </w:pPr>
      <w:r>
        <w:rPr>
          <w:rFonts w:hint="eastAsia" w:ascii="华文楷体" w:hAnsi="华文楷体" w:eastAsia="华文楷体" w:cs="华文楷体"/>
          <w:kern w:val="0"/>
          <w:sz w:val="24"/>
          <w:szCs w:val="24"/>
          <w:highlight w:val="none"/>
          <w:lang w:val="en-US" w:eastAsia="zh-CN" w:bidi="ar-SA"/>
        </w:rPr>
        <w:t>开标地点为：</w:t>
      </w:r>
      <w:r>
        <w:rPr>
          <w:rFonts w:hint="eastAsia" w:ascii="华文楷体" w:hAnsi="华文楷体" w:eastAsia="华文楷体" w:cs="华文楷体"/>
          <w:kern w:val="0"/>
          <w:sz w:val="24"/>
          <w:szCs w:val="24"/>
          <w:highlight w:val="none"/>
          <w:lang w:val="zh-CN" w:eastAsia="zh-CN" w:bidi="ar-SA"/>
        </w:rPr>
        <w:t>青海省西宁市城西区西关大街130号唐府公寓12B层 11219B室</w:t>
      </w:r>
    </w:p>
    <w:tbl>
      <w:tblPr>
        <w:tblStyle w:val="25"/>
        <w:tblpPr w:leftFromText="180" w:rightFromText="180" w:vertAnchor="text" w:horzAnchor="page" w:tblpX="1027" w:tblpY="335"/>
        <w:tblOverlap w:val="never"/>
        <w:tblW w:w="99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3600"/>
        <w:gridCol w:w="6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42" w:hRule="atLeast"/>
        </w:trPr>
        <w:tc>
          <w:tcPr>
            <w:tcW w:w="3600" w:type="dxa"/>
            <w:shd w:val="clear" w:color="auto" w:fill="FFFFFF"/>
            <w:tcMar>
              <w:left w:w="108" w:type="dxa"/>
              <w:right w:w="108" w:type="dxa"/>
            </w:tcMar>
          </w:tcPr>
          <w:p>
            <w:pPr>
              <w:spacing w:line="440" w:lineRule="exact"/>
              <w:rPr>
                <w:rFonts w:hint="eastAsia" w:ascii="华文楷体" w:hAnsi="华文楷体" w:eastAsia="华文楷体" w:cs="华文楷体"/>
                <w:kern w:val="0"/>
                <w:sz w:val="24"/>
                <w:szCs w:val="24"/>
                <w:highlight w:val="none"/>
                <w:lang w:val="zh-CN" w:eastAsia="zh-CN" w:bidi="ar-SA"/>
              </w:rPr>
            </w:pPr>
            <w:r>
              <w:rPr>
                <w:rFonts w:hint="eastAsia" w:ascii="华文楷体" w:hAnsi="华文楷体" w:eastAsia="华文楷体" w:cs="华文楷体"/>
                <w:kern w:val="0"/>
                <w:sz w:val="24"/>
                <w:szCs w:val="24"/>
                <w:highlight w:val="none"/>
                <w:lang w:val="zh-CN" w:eastAsia="zh-CN" w:bidi="ar-SA"/>
              </w:rPr>
              <w:t>招标人：甘德县住房和城乡建设局</w:t>
            </w:r>
          </w:p>
          <w:p>
            <w:pPr>
              <w:spacing w:line="440" w:lineRule="exact"/>
              <w:rPr>
                <w:rFonts w:hint="eastAsia" w:ascii="华文楷体" w:hAnsi="华文楷体" w:eastAsia="华文楷体" w:cs="华文楷体"/>
                <w:kern w:val="0"/>
                <w:sz w:val="24"/>
                <w:szCs w:val="24"/>
                <w:highlight w:val="none"/>
                <w:lang w:val="zh-CN" w:eastAsia="zh-CN" w:bidi="ar-SA"/>
              </w:rPr>
            </w:pPr>
          </w:p>
        </w:tc>
        <w:tc>
          <w:tcPr>
            <w:tcW w:w="6380" w:type="dxa"/>
            <w:shd w:val="clear" w:color="auto" w:fill="FFFFFF"/>
            <w:tcMar>
              <w:left w:w="108" w:type="dxa"/>
              <w:right w:w="108" w:type="dxa"/>
            </w:tcMar>
          </w:tcPr>
          <w:p>
            <w:pPr>
              <w:spacing w:line="440" w:lineRule="exact"/>
              <w:rPr>
                <w:rFonts w:hint="eastAsia" w:ascii="华文楷体" w:hAnsi="华文楷体" w:eastAsia="华文楷体" w:cs="华文楷体"/>
                <w:kern w:val="0"/>
                <w:sz w:val="24"/>
                <w:szCs w:val="24"/>
                <w:highlight w:val="none"/>
                <w:lang w:val="zh-CN" w:eastAsia="zh-CN" w:bidi="ar-SA"/>
              </w:rPr>
            </w:pPr>
            <w:r>
              <w:rPr>
                <w:rFonts w:hint="eastAsia" w:ascii="华文楷体" w:hAnsi="华文楷体" w:eastAsia="华文楷体" w:cs="华文楷体"/>
                <w:kern w:val="0"/>
                <w:sz w:val="24"/>
                <w:szCs w:val="24"/>
                <w:highlight w:val="none"/>
                <w:lang w:val="zh-CN" w:eastAsia="zh-CN" w:bidi="ar-SA"/>
              </w:rPr>
              <w:t>招标代理机构：青海华茂工程项目管理有限公司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4" w:hRule="atLeast"/>
        </w:trPr>
        <w:tc>
          <w:tcPr>
            <w:tcW w:w="3600" w:type="dxa"/>
            <w:shd w:val="clear" w:color="auto" w:fill="FFFFFF"/>
            <w:tcMar>
              <w:left w:w="108" w:type="dxa"/>
              <w:right w:w="108" w:type="dxa"/>
            </w:tcMar>
          </w:tcPr>
          <w:p>
            <w:pPr>
              <w:spacing w:line="440" w:lineRule="exact"/>
              <w:rPr>
                <w:rFonts w:hint="eastAsia" w:ascii="华文楷体" w:hAnsi="华文楷体" w:eastAsia="华文楷体" w:cs="华文楷体"/>
                <w:kern w:val="0"/>
                <w:sz w:val="24"/>
                <w:szCs w:val="24"/>
                <w:highlight w:val="none"/>
                <w:lang w:val="zh-CN" w:eastAsia="zh-CN" w:bidi="ar-SA"/>
              </w:rPr>
            </w:pPr>
            <w:r>
              <w:rPr>
                <w:rFonts w:hint="eastAsia" w:ascii="华文楷体" w:hAnsi="华文楷体" w:eastAsia="华文楷体" w:cs="华文楷体"/>
                <w:kern w:val="0"/>
                <w:sz w:val="24"/>
                <w:szCs w:val="24"/>
                <w:highlight w:val="none"/>
                <w:lang w:val="zh-CN" w:eastAsia="zh-CN" w:bidi="ar-SA"/>
              </w:rPr>
              <w:t>地址：果洛州甘德县</w:t>
            </w:r>
          </w:p>
          <w:p>
            <w:pPr>
              <w:spacing w:line="440" w:lineRule="exact"/>
              <w:rPr>
                <w:rFonts w:hint="eastAsia" w:ascii="华文楷体" w:hAnsi="华文楷体" w:eastAsia="华文楷体" w:cs="华文楷体"/>
                <w:kern w:val="0"/>
                <w:sz w:val="24"/>
                <w:szCs w:val="24"/>
                <w:highlight w:val="none"/>
                <w:lang w:val="zh-CN" w:eastAsia="zh-CN" w:bidi="ar-SA"/>
              </w:rPr>
            </w:pPr>
          </w:p>
        </w:tc>
        <w:tc>
          <w:tcPr>
            <w:tcW w:w="6380" w:type="dxa"/>
            <w:shd w:val="clear" w:color="auto" w:fill="FFFFFF"/>
            <w:tcMar>
              <w:left w:w="108" w:type="dxa"/>
              <w:right w:w="108" w:type="dxa"/>
            </w:tcMar>
          </w:tcPr>
          <w:p>
            <w:pPr>
              <w:spacing w:line="440" w:lineRule="exact"/>
              <w:rPr>
                <w:rFonts w:hint="eastAsia" w:ascii="华文楷体" w:hAnsi="华文楷体" w:eastAsia="华文楷体" w:cs="华文楷体"/>
                <w:kern w:val="0"/>
                <w:sz w:val="24"/>
                <w:szCs w:val="24"/>
                <w:highlight w:val="none"/>
                <w:lang w:val="zh-CN" w:eastAsia="zh-CN" w:bidi="ar-SA"/>
              </w:rPr>
            </w:pPr>
            <w:r>
              <w:rPr>
                <w:rFonts w:hint="eastAsia" w:ascii="华文楷体" w:hAnsi="华文楷体" w:eastAsia="华文楷体" w:cs="华文楷体"/>
                <w:kern w:val="0"/>
                <w:sz w:val="24"/>
                <w:szCs w:val="24"/>
                <w:highlight w:val="none"/>
                <w:lang w:val="zh-CN" w:eastAsia="zh-CN" w:bidi="ar-SA"/>
              </w:rPr>
              <w:t>地 址：青海省西宁市城西区西关大街130号唐府公寓12B层 11219B室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trPr>
        <w:tc>
          <w:tcPr>
            <w:tcW w:w="3600" w:type="dxa"/>
            <w:shd w:val="clear" w:color="auto" w:fill="FFFFFF"/>
            <w:tcMar>
              <w:left w:w="108" w:type="dxa"/>
              <w:right w:w="108" w:type="dxa"/>
            </w:tcMar>
          </w:tcPr>
          <w:p>
            <w:pPr>
              <w:spacing w:line="440" w:lineRule="exact"/>
              <w:rPr>
                <w:rFonts w:hint="eastAsia" w:ascii="华文楷体" w:hAnsi="华文楷体" w:eastAsia="华文楷体" w:cs="华文楷体"/>
                <w:kern w:val="0"/>
                <w:sz w:val="24"/>
                <w:szCs w:val="24"/>
                <w:highlight w:val="none"/>
                <w:lang w:val="en-US" w:eastAsia="zh-CN" w:bidi="ar-SA"/>
              </w:rPr>
            </w:pPr>
            <w:r>
              <w:rPr>
                <w:rFonts w:hint="eastAsia" w:ascii="华文楷体" w:hAnsi="华文楷体" w:eastAsia="华文楷体" w:cs="华文楷体"/>
                <w:kern w:val="0"/>
                <w:sz w:val="24"/>
                <w:szCs w:val="24"/>
                <w:highlight w:val="none"/>
                <w:lang w:val="zh-CN" w:eastAsia="zh-CN" w:bidi="ar-SA"/>
              </w:rPr>
              <w:t>联系人：祁</w:t>
            </w:r>
            <w:r>
              <w:rPr>
                <w:rFonts w:hint="eastAsia" w:ascii="华文楷体" w:hAnsi="华文楷体" w:eastAsia="华文楷体" w:cs="华文楷体"/>
                <w:kern w:val="0"/>
                <w:sz w:val="24"/>
                <w:szCs w:val="24"/>
                <w:highlight w:val="none"/>
                <w:lang w:val="en-US" w:eastAsia="zh-CN" w:bidi="ar-SA"/>
              </w:rPr>
              <w:t>先生</w:t>
            </w:r>
          </w:p>
        </w:tc>
        <w:tc>
          <w:tcPr>
            <w:tcW w:w="6380" w:type="dxa"/>
            <w:shd w:val="clear" w:color="auto" w:fill="FFFFFF"/>
            <w:tcMar>
              <w:left w:w="108" w:type="dxa"/>
              <w:right w:w="108" w:type="dxa"/>
            </w:tcMar>
          </w:tcPr>
          <w:p>
            <w:pPr>
              <w:spacing w:line="440" w:lineRule="exact"/>
              <w:rPr>
                <w:rFonts w:hint="eastAsia" w:ascii="华文楷体" w:hAnsi="华文楷体" w:eastAsia="华文楷体" w:cs="华文楷体"/>
                <w:kern w:val="0"/>
                <w:sz w:val="24"/>
                <w:szCs w:val="24"/>
                <w:highlight w:val="none"/>
                <w:lang w:val="zh-CN" w:eastAsia="zh-CN" w:bidi="ar-SA"/>
              </w:rPr>
            </w:pPr>
            <w:r>
              <w:rPr>
                <w:rFonts w:hint="eastAsia" w:ascii="华文楷体" w:hAnsi="华文楷体" w:eastAsia="华文楷体" w:cs="华文楷体"/>
                <w:kern w:val="0"/>
                <w:sz w:val="24"/>
                <w:szCs w:val="24"/>
                <w:highlight w:val="none"/>
                <w:lang w:val="zh-CN" w:eastAsia="zh-CN" w:bidi="ar-SA"/>
              </w:rPr>
              <w:t>联系人：</w:t>
            </w:r>
            <w:r>
              <w:rPr>
                <w:rFonts w:hint="eastAsia" w:ascii="华文楷体" w:hAnsi="华文楷体" w:eastAsia="华文楷体" w:cs="华文楷体"/>
                <w:kern w:val="0"/>
                <w:sz w:val="24"/>
                <w:szCs w:val="24"/>
                <w:highlight w:val="none"/>
                <w:lang w:val="en-US" w:eastAsia="zh-CN" w:bidi="ar-SA"/>
              </w:rPr>
              <w:t>谢女士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6" w:hRule="atLeast"/>
        </w:trPr>
        <w:tc>
          <w:tcPr>
            <w:tcW w:w="3600" w:type="dxa"/>
            <w:shd w:val="clear" w:color="auto" w:fill="FFFFFF"/>
            <w:tcMar>
              <w:left w:w="108" w:type="dxa"/>
              <w:right w:w="108" w:type="dxa"/>
            </w:tcMar>
          </w:tcPr>
          <w:p>
            <w:pPr>
              <w:spacing w:line="440" w:lineRule="exact"/>
              <w:rPr>
                <w:rFonts w:hint="default" w:ascii="华文楷体" w:hAnsi="华文楷体" w:eastAsia="华文楷体" w:cs="华文楷体"/>
                <w:kern w:val="0"/>
                <w:sz w:val="24"/>
                <w:szCs w:val="24"/>
                <w:highlight w:val="none"/>
                <w:lang w:val="en-US" w:eastAsia="zh-CN" w:bidi="ar-SA"/>
              </w:rPr>
            </w:pPr>
            <w:r>
              <w:rPr>
                <w:rFonts w:hint="eastAsia" w:ascii="华文楷体" w:hAnsi="华文楷体" w:eastAsia="华文楷体" w:cs="华文楷体"/>
                <w:kern w:val="0"/>
                <w:sz w:val="24"/>
                <w:szCs w:val="24"/>
                <w:highlight w:val="none"/>
                <w:lang w:val="zh-CN" w:eastAsia="zh-CN" w:bidi="ar-SA"/>
              </w:rPr>
              <w:t>电 话：</w:t>
            </w:r>
            <w:r>
              <w:rPr>
                <w:rFonts w:hint="eastAsia" w:ascii="华文楷体" w:hAnsi="华文楷体" w:eastAsia="华文楷体" w:cs="华文楷体"/>
                <w:color w:val="0000FF"/>
                <w:kern w:val="0"/>
                <w:sz w:val="24"/>
                <w:szCs w:val="24"/>
                <w:highlight w:val="none"/>
                <w:lang w:val="en-US" w:eastAsia="zh-CN" w:bidi="ar-SA"/>
              </w:rPr>
              <w:t>0975</w:t>
            </w:r>
            <w:r>
              <w:rPr>
                <w:rFonts w:hint="eastAsia" w:ascii="华文楷体" w:hAnsi="华文楷体" w:eastAsia="华文楷体" w:cs="华文楷体"/>
                <w:kern w:val="0"/>
                <w:sz w:val="24"/>
                <w:szCs w:val="24"/>
                <w:highlight w:val="none"/>
                <w:lang w:val="en-US" w:eastAsia="zh-CN" w:bidi="ar-SA"/>
              </w:rPr>
              <w:t>-8304145</w:t>
            </w:r>
          </w:p>
        </w:tc>
        <w:tc>
          <w:tcPr>
            <w:tcW w:w="6380" w:type="dxa"/>
            <w:shd w:val="clear" w:color="auto" w:fill="FFFFFF"/>
            <w:tcMar>
              <w:left w:w="108" w:type="dxa"/>
              <w:right w:w="108" w:type="dxa"/>
            </w:tcMar>
          </w:tcPr>
          <w:p>
            <w:pPr>
              <w:spacing w:line="440" w:lineRule="exact"/>
              <w:rPr>
                <w:rFonts w:hint="default" w:ascii="华文楷体" w:hAnsi="华文楷体" w:eastAsia="华文楷体" w:cs="华文楷体"/>
                <w:kern w:val="0"/>
                <w:sz w:val="24"/>
                <w:szCs w:val="24"/>
                <w:highlight w:val="none"/>
                <w:lang w:val="en-US" w:eastAsia="zh-CN" w:bidi="ar-SA"/>
              </w:rPr>
            </w:pPr>
            <w:r>
              <w:rPr>
                <w:rFonts w:hint="eastAsia" w:ascii="华文楷体" w:hAnsi="华文楷体" w:eastAsia="华文楷体" w:cs="华文楷体"/>
                <w:kern w:val="0"/>
                <w:sz w:val="24"/>
                <w:szCs w:val="24"/>
                <w:highlight w:val="none"/>
                <w:lang w:val="zh-CN" w:eastAsia="zh-CN" w:bidi="ar-SA"/>
              </w:rPr>
              <w:t>电 话：0971-82</w:t>
            </w:r>
            <w:r>
              <w:rPr>
                <w:rFonts w:hint="eastAsia" w:ascii="华文楷体" w:hAnsi="华文楷体" w:eastAsia="华文楷体" w:cs="华文楷体"/>
                <w:kern w:val="0"/>
                <w:sz w:val="24"/>
                <w:szCs w:val="24"/>
                <w:highlight w:val="none"/>
                <w:lang w:val="en-US" w:eastAsia="zh-CN" w:bidi="ar-SA"/>
              </w:rPr>
              <w:t>76610</w:t>
            </w:r>
          </w:p>
        </w:tc>
      </w:tr>
    </w:tbl>
    <w:p>
      <w:pPr>
        <w:pStyle w:val="22"/>
        <w:rPr>
          <w:rFonts w:hint="eastAsia" w:ascii="仿宋" w:hAnsi="仿宋" w:eastAsia="仿宋" w:cs="Times New Roman"/>
          <w:color w:val="000000" w:themeColor="text1"/>
          <w:highlight w:val="none"/>
          <w:lang w:val="zh-CN"/>
          <w14:textFill>
            <w14:solidFill>
              <w14:schemeClr w14:val="tx1"/>
            </w14:solidFill>
          </w14:textFill>
        </w:rPr>
      </w:pPr>
    </w:p>
    <w:p>
      <w:pPr>
        <w:pStyle w:val="22"/>
        <w:rPr>
          <w:rFonts w:hint="eastAsia" w:ascii="仿宋" w:hAnsi="仿宋" w:eastAsia="仿宋" w:cs="Times New Roman"/>
          <w:color w:val="000000" w:themeColor="text1"/>
          <w:highlight w:val="none"/>
          <w:lang w:val="zh-CN"/>
          <w14:textFill>
            <w14:solidFill>
              <w14:schemeClr w14:val="tx1"/>
            </w14:solidFill>
          </w14:textFill>
        </w:rPr>
      </w:pPr>
    </w:p>
    <w:p>
      <w:pPr>
        <w:pStyle w:val="22"/>
        <w:rPr>
          <w:rFonts w:hint="eastAsia" w:ascii="仿宋" w:hAnsi="仿宋" w:eastAsia="仿宋" w:cs="Times New Roman"/>
          <w:color w:val="000000" w:themeColor="text1"/>
          <w:highlight w:val="none"/>
          <w:lang w:val="zh-CN"/>
          <w14:textFill>
            <w14:solidFill>
              <w14:schemeClr w14:val="tx1"/>
            </w14:solidFill>
          </w14:textFill>
        </w:rPr>
      </w:pPr>
    </w:p>
    <w:p>
      <w:pPr>
        <w:pStyle w:val="22"/>
        <w:rPr>
          <w:rFonts w:hint="eastAsia" w:ascii="仿宋" w:hAnsi="仿宋" w:eastAsia="仿宋" w:cs="Times New Roman"/>
          <w:color w:val="000000" w:themeColor="text1"/>
          <w:highlight w:val="none"/>
          <w:lang w:val="zh-CN"/>
          <w14:textFill>
            <w14:solidFill>
              <w14:schemeClr w14:val="tx1"/>
            </w14:solidFill>
          </w14:textFill>
        </w:rPr>
      </w:pPr>
    </w:p>
    <w:p>
      <w:pPr>
        <w:pStyle w:val="22"/>
        <w:rPr>
          <w:rFonts w:hint="eastAsia" w:ascii="仿宋" w:hAnsi="仿宋" w:eastAsia="仿宋" w:cs="Times New Roman"/>
          <w:color w:val="000000" w:themeColor="text1"/>
          <w:highlight w:val="none"/>
          <w:lang w:val="zh-CN"/>
          <w14:textFill>
            <w14:solidFill>
              <w14:schemeClr w14:val="tx1"/>
            </w14:solidFill>
          </w14:textFill>
        </w:rPr>
      </w:pPr>
    </w:p>
    <w:p>
      <w:pPr>
        <w:pStyle w:val="22"/>
        <w:rPr>
          <w:rFonts w:hint="eastAsia" w:ascii="仿宋" w:hAnsi="仿宋" w:eastAsia="仿宋" w:cs="Times New Roman"/>
          <w:color w:val="000000" w:themeColor="text1"/>
          <w:highlight w:val="none"/>
          <w:lang w:val="zh-CN"/>
          <w14:textFill>
            <w14:solidFill>
              <w14:schemeClr w14:val="tx1"/>
            </w14:solidFill>
          </w14:textFill>
        </w:rPr>
      </w:pPr>
    </w:p>
    <w:p>
      <w:pPr>
        <w:rPr>
          <w:rFonts w:hint="eastAsia" w:ascii="仿宋" w:hAnsi="仿宋" w:eastAsia="仿宋" w:cs="Times New Roman"/>
          <w:color w:val="000000" w:themeColor="text1"/>
          <w:highlight w:val="none"/>
          <w:lang w:val="zh-CN"/>
          <w14:textFill>
            <w14:solidFill>
              <w14:schemeClr w14:val="tx1"/>
            </w14:solidFill>
          </w14:textFill>
        </w:rPr>
      </w:pPr>
    </w:p>
    <w:p>
      <w:pPr>
        <w:pStyle w:val="9"/>
        <w:rPr>
          <w:rFonts w:hint="eastAsia" w:ascii="仿宋" w:hAnsi="仿宋" w:eastAsia="仿宋" w:cs="Times New Roman"/>
          <w:color w:val="000000" w:themeColor="text1"/>
          <w:highlight w:val="none"/>
          <w:lang w:val="zh-CN"/>
          <w14:textFill>
            <w14:solidFill>
              <w14:schemeClr w14:val="tx1"/>
            </w14:solidFill>
          </w14:textFill>
        </w:rPr>
      </w:pPr>
    </w:p>
    <w:p>
      <w:pPr>
        <w:pStyle w:val="22"/>
        <w:ind w:firstLine="3975" w:firstLineChars="1100"/>
        <w:jc w:val="both"/>
        <w:rPr>
          <w:rFonts w:hint="eastAsia" w:ascii="仿宋" w:hAnsi="仿宋" w:eastAsia="仿宋" w:cs="Times New Roman"/>
          <w:color w:val="000000" w:themeColor="text1"/>
          <w:highlight w:val="none"/>
          <w:lang w:val="zh-CN"/>
          <w14:textFill>
            <w14:solidFill>
              <w14:schemeClr w14:val="tx1"/>
            </w14:solidFill>
          </w14:textFill>
        </w:rPr>
      </w:pPr>
      <w:bookmarkStart w:id="5" w:name="_Toc24046"/>
      <w:r>
        <w:rPr>
          <w:rFonts w:hint="eastAsia" w:ascii="仿宋" w:hAnsi="仿宋" w:eastAsia="仿宋" w:cs="Times New Roman"/>
          <w:color w:val="000000" w:themeColor="text1"/>
          <w:highlight w:val="none"/>
          <w:lang w:val="zh-CN"/>
          <w14:textFill>
            <w14:solidFill>
              <w14:schemeClr w14:val="tx1"/>
            </w14:solidFill>
          </w14:textFill>
        </w:rPr>
        <w:t>第二部分</w:t>
      </w:r>
      <w:bookmarkEnd w:id="5"/>
    </w:p>
    <w:p>
      <w:pPr>
        <w:pStyle w:val="22"/>
        <w:rPr>
          <w:rFonts w:ascii="仿宋" w:hAnsi="仿宋" w:eastAsia="仿宋" w:cs="Times New Roman"/>
          <w:color w:val="000000" w:themeColor="text1"/>
          <w:highlight w:val="none"/>
          <w:lang w:val="zh-CN"/>
          <w14:textFill>
            <w14:solidFill>
              <w14:schemeClr w14:val="tx1"/>
            </w14:solidFill>
          </w14:textFill>
        </w:rPr>
      </w:pPr>
      <w:bookmarkStart w:id="6" w:name="_Toc12448"/>
      <w:r>
        <w:rPr>
          <w:rFonts w:hint="eastAsia" w:ascii="仿宋" w:hAnsi="仿宋" w:eastAsia="仿宋" w:cs="Times New Roman"/>
          <w:color w:val="000000" w:themeColor="text1"/>
          <w:highlight w:val="none"/>
          <w:lang w:val="zh-CN"/>
          <w14:textFill>
            <w14:solidFill>
              <w14:schemeClr w14:val="tx1"/>
            </w14:solidFill>
          </w14:textFill>
        </w:rPr>
        <w:t>响应人须知前附表</w:t>
      </w:r>
      <w:bookmarkEnd w:id="6"/>
    </w:p>
    <w:tbl>
      <w:tblPr>
        <w:tblStyle w:val="25"/>
        <w:tblW w:w="9855" w:type="dxa"/>
        <w:jc w:val="center"/>
        <w:tblLayout w:type="fixed"/>
        <w:tblCellMar>
          <w:top w:w="0" w:type="dxa"/>
          <w:left w:w="108" w:type="dxa"/>
          <w:bottom w:w="0" w:type="dxa"/>
          <w:right w:w="108" w:type="dxa"/>
        </w:tblCellMar>
      </w:tblPr>
      <w:tblGrid>
        <w:gridCol w:w="895"/>
        <w:gridCol w:w="1908"/>
        <w:gridCol w:w="7052"/>
      </w:tblGrid>
      <w:tr>
        <w:tblPrEx>
          <w:tblCellMar>
            <w:top w:w="0" w:type="dxa"/>
            <w:left w:w="108" w:type="dxa"/>
            <w:bottom w:w="0" w:type="dxa"/>
            <w:right w:w="108" w:type="dxa"/>
          </w:tblCellMar>
        </w:tblPrEx>
        <w:trPr>
          <w:trHeight w:val="3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序号</w:t>
            </w:r>
          </w:p>
        </w:tc>
        <w:tc>
          <w:tcPr>
            <w:tcW w:w="8960"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内容</w:t>
            </w:r>
          </w:p>
        </w:tc>
      </w:tr>
      <w:tr>
        <w:tblPrEx>
          <w:tblCellMar>
            <w:top w:w="0" w:type="dxa"/>
            <w:left w:w="108" w:type="dxa"/>
            <w:bottom w:w="0" w:type="dxa"/>
            <w:right w:w="108" w:type="dxa"/>
          </w:tblCellMar>
        </w:tblPrEx>
        <w:trPr>
          <w:trHeight w:val="3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1</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采购项目名称</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甘德县高原美丽乡村建设项目</w:t>
            </w:r>
          </w:p>
        </w:tc>
      </w:tr>
      <w:tr>
        <w:tblPrEx>
          <w:tblCellMar>
            <w:top w:w="0" w:type="dxa"/>
            <w:left w:w="108" w:type="dxa"/>
            <w:bottom w:w="0" w:type="dxa"/>
            <w:right w:w="108" w:type="dxa"/>
          </w:tblCellMar>
        </w:tblPrEx>
        <w:trPr>
          <w:trHeight w:val="3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2</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工期</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100</w:t>
            </w:r>
            <w:r>
              <w:rPr>
                <w:rFonts w:hint="eastAsia" w:ascii="仿宋" w:hAnsi="仿宋" w:eastAsia="仿宋" w:cs="宋体"/>
                <w:color w:val="0000FF"/>
                <w:kern w:val="0"/>
                <w:sz w:val="24"/>
                <w:highlight w:val="none"/>
                <w:lang w:val="en-US" w:eastAsia="zh-CN"/>
              </w:rPr>
              <w:t>日历天</w:t>
            </w:r>
          </w:p>
        </w:tc>
      </w:tr>
      <w:tr>
        <w:tblPrEx>
          <w:tblCellMar>
            <w:top w:w="0" w:type="dxa"/>
            <w:left w:w="108" w:type="dxa"/>
            <w:bottom w:w="0" w:type="dxa"/>
            <w:right w:w="108" w:type="dxa"/>
          </w:tblCellMar>
        </w:tblPrEx>
        <w:trPr>
          <w:trHeight w:val="3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3</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采购内容</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keepNext w:val="0"/>
              <w:keepLines w:val="0"/>
              <w:widowControl/>
              <w:suppressLineNumbers w:val="0"/>
              <w:jc w:val="left"/>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新建甘德县江千乡恰曲纳村混凝土道路6公里</w:t>
            </w:r>
          </w:p>
        </w:tc>
      </w:tr>
      <w:tr>
        <w:tblPrEx>
          <w:tblCellMar>
            <w:top w:w="0" w:type="dxa"/>
            <w:left w:w="108" w:type="dxa"/>
            <w:bottom w:w="0" w:type="dxa"/>
            <w:right w:w="108" w:type="dxa"/>
          </w:tblCellMar>
        </w:tblPrEx>
        <w:trPr>
          <w:trHeight w:val="3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4</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500" w:lineRule="exact"/>
              <w:rPr>
                <w:rFonts w:ascii="宋体" w:hAnsi="宋体"/>
                <w:color w:val="000000" w:themeColor="text1"/>
                <w:sz w:val="24"/>
                <w:highlight w:val="none"/>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采购预算额度</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1385922.42元</w:t>
            </w:r>
          </w:p>
        </w:tc>
      </w:tr>
      <w:tr>
        <w:tblPrEx>
          <w:tblCellMar>
            <w:top w:w="0" w:type="dxa"/>
            <w:left w:w="108" w:type="dxa"/>
            <w:bottom w:w="0" w:type="dxa"/>
            <w:right w:w="108" w:type="dxa"/>
          </w:tblCellMar>
        </w:tblPrEx>
        <w:trPr>
          <w:trHeight w:val="3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5</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500" w:lineRule="exac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最高限价</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1385922.42元</w:t>
            </w:r>
          </w:p>
        </w:tc>
      </w:tr>
      <w:tr>
        <w:tblPrEx>
          <w:tblCellMar>
            <w:top w:w="0" w:type="dxa"/>
            <w:left w:w="108" w:type="dxa"/>
            <w:bottom w:w="0" w:type="dxa"/>
            <w:right w:w="108" w:type="dxa"/>
          </w:tblCellMar>
        </w:tblPrEx>
        <w:trPr>
          <w:trHeight w:val="3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6</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采购人</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eastAsia="zh-CN"/>
                <w14:textFill>
                  <w14:solidFill>
                    <w14:schemeClr w14:val="tx1"/>
                  </w14:solidFill>
                </w14:textFill>
              </w:rPr>
              <w:t>甘德县住房和城乡建设局</w:t>
            </w:r>
          </w:p>
        </w:tc>
      </w:tr>
      <w:tr>
        <w:tblPrEx>
          <w:tblCellMar>
            <w:top w:w="0" w:type="dxa"/>
            <w:left w:w="108" w:type="dxa"/>
            <w:bottom w:w="0" w:type="dxa"/>
            <w:right w:w="108" w:type="dxa"/>
          </w:tblCellMar>
        </w:tblPrEx>
        <w:trPr>
          <w:trHeight w:val="3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7</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采购方式</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eastAsia="zh-CN"/>
                <w14:textFill>
                  <w14:solidFill>
                    <w14:schemeClr w14:val="tx1"/>
                  </w14:solidFill>
                </w14:textFill>
              </w:rPr>
              <w:t>询比</w:t>
            </w:r>
          </w:p>
        </w:tc>
      </w:tr>
      <w:tr>
        <w:tblPrEx>
          <w:tblCellMar>
            <w:top w:w="0" w:type="dxa"/>
            <w:left w:w="108" w:type="dxa"/>
            <w:bottom w:w="0" w:type="dxa"/>
            <w:right w:w="108" w:type="dxa"/>
          </w:tblCellMar>
        </w:tblPrEx>
        <w:trPr>
          <w:trHeight w:val="3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8</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施工工期</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计划工期：</w:t>
            </w:r>
            <w:r>
              <w:rPr>
                <w:rFonts w:hint="eastAsia" w:ascii="仿宋" w:hAnsi="仿宋" w:eastAsia="仿宋" w:cs="宋体"/>
                <w:color w:val="0000FF"/>
                <w:kern w:val="0"/>
                <w:sz w:val="24"/>
                <w:highlight w:val="none"/>
                <w:lang w:val="en-US" w:eastAsia="zh-CN"/>
              </w:rPr>
              <w:t>100日历天</w:t>
            </w:r>
            <w:r>
              <w:rPr>
                <w:rFonts w:hint="eastAsia" w:ascii="仿宋" w:hAnsi="仿宋" w:eastAsia="仿宋" w:cs="宋体"/>
                <w:color w:val="000000" w:themeColor="text1"/>
                <w:kern w:val="0"/>
                <w:sz w:val="24"/>
                <w:highlight w:val="none"/>
                <w:lang w:val="en-US" w:eastAsia="zh-CN"/>
                <w14:textFill>
                  <w14:solidFill>
                    <w14:schemeClr w14:val="tx1"/>
                  </w14:solidFill>
                </w14:textFill>
              </w:rPr>
              <w:t>、具体时间按合同执行</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9</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投标人资格要求</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pStyle w:val="5"/>
              <w:rPr>
                <w:rFonts w:ascii="仿宋" w:hAnsi="仿宋" w:eastAsia="仿宋"/>
                <w:b w:val="0"/>
                <w:bCs w:val="0"/>
                <w:color w:val="000000" w:themeColor="text1"/>
                <w:sz w:val="24"/>
                <w:szCs w:val="20"/>
                <w:highlight w:val="none"/>
                <w14:textFill>
                  <w14:solidFill>
                    <w14:schemeClr w14:val="tx1"/>
                  </w14:solidFill>
                </w14:textFill>
              </w:rPr>
            </w:pPr>
            <w:bookmarkStart w:id="7" w:name="_Toc5848"/>
            <w:r>
              <w:rPr>
                <w:rFonts w:hint="eastAsia" w:ascii="仿宋" w:hAnsi="仿宋" w:eastAsia="仿宋" w:cs="Times New Roman"/>
                <w:b w:val="0"/>
                <w:bCs w:val="0"/>
                <w:color w:val="000000" w:themeColor="text1"/>
                <w:sz w:val="24"/>
                <w:szCs w:val="20"/>
                <w:highlight w:val="none"/>
                <w14:textFill>
                  <w14:solidFill>
                    <w14:schemeClr w14:val="tx1"/>
                  </w14:solidFill>
                </w14:textFill>
              </w:rPr>
              <w:t>3.1、本次招标要求投标人须具备独立法人资格，投标人应具有类似业绩，并在人员、设备、资金等方面具有相应的能力；</w:t>
            </w:r>
            <w:bookmarkEnd w:id="7"/>
          </w:p>
          <w:p>
            <w:pPr>
              <w:pStyle w:val="5"/>
              <w:rPr>
                <w:rFonts w:hint="eastAsia" w:ascii="仿宋" w:hAnsi="仿宋" w:eastAsia="仿宋" w:cs="Times New Roman"/>
                <w:b w:val="0"/>
                <w:bCs w:val="0"/>
                <w:color w:val="000000" w:themeColor="text1"/>
                <w:sz w:val="24"/>
                <w:szCs w:val="20"/>
                <w:highlight w:val="none"/>
                <w14:textFill>
                  <w14:solidFill>
                    <w14:schemeClr w14:val="tx1"/>
                  </w14:solidFill>
                </w14:textFill>
              </w:rPr>
            </w:pPr>
            <w:bookmarkStart w:id="8" w:name="_Toc20403"/>
            <w:r>
              <w:rPr>
                <w:rFonts w:hint="eastAsia" w:ascii="仿宋" w:hAnsi="仿宋" w:eastAsia="仿宋" w:cs="Times New Roman"/>
                <w:b w:val="0"/>
                <w:bCs w:val="0"/>
                <w:color w:val="000000" w:themeColor="text1"/>
                <w:sz w:val="24"/>
                <w:szCs w:val="20"/>
                <w:highlight w:val="none"/>
                <w14:textFill>
                  <w14:solidFill>
                    <w14:schemeClr w14:val="tx1"/>
                  </w14:solidFill>
                </w14:textFill>
              </w:rPr>
              <w:t>3.</w:t>
            </w:r>
            <w:r>
              <w:rPr>
                <w:rFonts w:hint="eastAsia" w:ascii="仿宋" w:hAnsi="仿宋" w:eastAsia="仿宋" w:cs="Times New Roman"/>
                <w:b w:val="0"/>
                <w:bCs w:val="0"/>
                <w:color w:val="000000" w:themeColor="text1"/>
                <w:sz w:val="24"/>
                <w:szCs w:val="20"/>
                <w:highlight w:val="none"/>
                <w:lang w:val="en-US" w:eastAsia="zh-CN"/>
                <w14:textFill>
                  <w14:solidFill>
                    <w14:schemeClr w14:val="tx1"/>
                  </w14:solidFill>
                </w14:textFill>
              </w:rPr>
              <w:t>2</w:t>
            </w:r>
            <w:r>
              <w:rPr>
                <w:rFonts w:hint="eastAsia" w:ascii="仿宋" w:hAnsi="仿宋" w:eastAsia="仿宋" w:cs="Times New Roman"/>
                <w:b w:val="0"/>
                <w:bCs w:val="0"/>
                <w:color w:val="000000" w:themeColor="text1"/>
                <w:sz w:val="24"/>
                <w:szCs w:val="20"/>
                <w:highlight w:val="none"/>
                <w14:textFill>
                  <w14:solidFill>
                    <w14:schemeClr w14:val="tx1"/>
                  </w14:solidFill>
                </w14:textFill>
              </w:rPr>
              <w:t>、投标人必须具有良好的信誉，在同行业中有较好信誉，20</w:t>
            </w:r>
            <w:r>
              <w:rPr>
                <w:rFonts w:hint="eastAsia" w:ascii="仿宋" w:hAnsi="仿宋" w:eastAsia="仿宋" w:cs="Times New Roman"/>
                <w:b w:val="0"/>
                <w:bCs w:val="0"/>
                <w:color w:val="000000" w:themeColor="text1"/>
                <w:sz w:val="24"/>
                <w:szCs w:val="20"/>
                <w:highlight w:val="none"/>
                <w:lang w:val="en-US" w:eastAsia="zh-CN"/>
                <w14:textFill>
                  <w14:solidFill>
                    <w14:schemeClr w14:val="tx1"/>
                  </w14:solidFill>
                </w14:textFill>
              </w:rPr>
              <w:t>18</w:t>
            </w:r>
            <w:r>
              <w:rPr>
                <w:rFonts w:hint="eastAsia" w:ascii="仿宋" w:hAnsi="仿宋" w:eastAsia="仿宋" w:cs="Times New Roman"/>
                <w:b w:val="0"/>
                <w:bCs w:val="0"/>
                <w:color w:val="000000" w:themeColor="text1"/>
                <w:sz w:val="24"/>
                <w:szCs w:val="20"/>
                <w:highlight w:val="none"/>
                <w14:textFill>
                  <w14:solidFill>
                    <w14:schemeClr w14:val="tx1"/>
                  </w14:solidFill>
                </w14:textFill>
              </w:rPr>
              <w:t>年1月1日至</w:t>
            </w:r>
            <w:r>
              <w:rPr>
                <w:rFonts w:hint="eastAsia" w:ascii="仿宋" w:hAnsi="仿宋" w:eastAsia="仿宋" w:cs="Times New Roman"/>
                <w:b w:val="0"/>
                <w:bCs w:val="0"/>
                <w:color w:val="000000" w:themeColor="text1"/>
                <w:sz w:val="24"/>
                <w:szCs w:val="20"/>
                <w:highlight w:val="none"/>
                <w:lang w:eastAsia="zh-CN"/>
                <w14:textFill>
                  <w14:solidFill>
                    <w14:schemeClr w14:val="tx1"/>
                  </w14:solidFill>
                </w14:textFill>
              </w:rPr>
              <w:t>今</w:t>
            </w:r>
            <w:r>
              <w:rPr>
                <w:rFonts w:hint="eastAsia" w:ascii="仿宋" w:hAnsi="仿宋" w:eastAsia="仿宋" w:cs="Times New Roman"/>
                <w:b w:val="0"/>
                <w:bCs w:val="0"/>
                <w:color w:val="000000" w:themeColor="text1"/>
                <w:sz w:val="24"/>
                <w:szCs w:val="20"/>
                <w:highlight w:val="none"/>
                <w14:textFill>
                  <w14:solidFill>
                    <w14:schemeClr w14:val="tx1"/>
                  </w14:solidFill>
                </w14:textFill>
              </w:rPr>
              <w:t>日未因安全、质量等问题受到政府主管部门的处罚，无不良记录；须提供</w:t>
            </w:r>
            <w:r>
              <w:rPr>
                <w:rFonts w:hint="eastAsia" w:ascii="仿宋" w:hAnsi="仿宋" w:eastAsia="仿宋" w:cs="Times New Roman"/>
                <w:b w:val="0"/>
                <w:bCs w:val="0"/>
                <w:color w:val="000000" w:themeColor="text1"/>
                <w:sz w:val="24"/>
                <w:szCs w:val="20"/>
                <w:highlight w:val="none"/>
                <w:lang w:val="en-US" w:eastAsia="zh-CN"/>
                <w14:textFill>
                  <w14:solidFill>
                    <w14:schemeClr w14:val="tx1"/>
                  </w14:solidFill>
                </w14:textFill>
              </w:rPr>
              <w:t>2019年或</w:t>
            </w:r>
            <w:r>
              <w:rPr>
                <w:rFonts w:hint="eastAsia" w:ascii="仿宋" w:hAnsi="仿宋" w:eastAsia="仿宋" w:cs="Times New Roman"/>
                <w:b w:val="0"/>
                <w:bCs w:val="0"/>
                <w:color w:val="000000" w:themeColor="text1"/>
                <w:sz w:val="24"/>
                <w:szCs w:val="20"/>
                <w:highlight w:val="none"/>
                <w14:textFill>
                  <w14:solidFill>
                    <w14:schemeClr w14:val="tx1"/>
                  </w14:solidFill>
                </w14:textFill>
              </w:rPr>
              <w:t>20</w:t>
            </w:r>
            <w:r>
              <w:rPr>
                <w:rFonts w:hint="eastAsia" w:ascii="仿宋" w:hAnsi="仿宋" w:eastAsia="仿宋" w:cs="Times New Roman"/>
                <w:b w:val="0"/>
                <w:bCs w:val="0"/>
                <w:color w:val="000000" w:themeColor="text1"/>
                <w:sz w:val="24"/>
                <w:szCs w:val="20"/>
                <w:highlight w:val="none"/>
                <w:lang w:val="en-US" w:eastAsia="zh-CN"/>
                <w14:textFill>
                  <w14:solidFill>
                    <w14:schemeClr w14:val="tx1"/>
                  </w14:solidFill>
                </w14:textFill>
              </w:rPr>
              <w:t>20</w:t>
            </w:r>
            <w:r>
              <w:rPr>
                <w:rFonts w:hint="eastAsia" w:ascii="仿宋" w:hAnsi="仿宋" w:eastAsia="仿宋" w:cs="Times New Roman"/>
                <w:b w:val="0"/>
                <w:bCs w:val="0"/>
                <w:color w:val="000000" w:themeColor="text1"/>
                <w:sz w:val="24"/>
                <w:szCs w:val="20"/>
                <w:highlight w:val="none"/>
                <w14:textFill>
                  <w14:solidFill>
                    <w14:schemeClr w14:val="tx1"/>
                  </w14:solidFill>
                </w14:textFill>
              </w:rPr>
              <w:t>年度健全的财务审计报告。</w:t>
            </w:r>
            <w:bookmarkEnd w:id="8"/>
          </w:p>
          <w:p>
            <w:pPr>
              <w:pStyle w:val="5"/>
              <w:rPr>
                <w:rFonts w:hint="default" w:ascii="仿宋" w:hAnsi="仿宋" w:eastAsia="仿宋" w:cs="Times New Roman"/>
                <w:b w:val="0"/>
                <w:bCs w:val="0"/>
                <w:color w:val="000000" w:themeColor="text1"/>
                <w:sz w:val="24"/>
                <w:szCs w:val="20"/>
                <w:highlight w:val="none"/>
                <w:lang w:val="en-US" w:eastAsia="zh-CN"/>
                <w14:textFill>
                  <w14:solidFill>
                    <w14:schemeClr w14:val="tx1"/>
                  </w14:solidFill>
                </w14:textFill>
              </w:rPr>
            </w:pPr>
            <w:bookmarkStart w:id="9" w:name="_Toc3913"/>
            <w:r>
              <w:rPr>
                <w:rFonts w:hint="eastAsia" w:ascii="仿宋" w:hAnsi="仿宋" w:eastAsia="仿宋" w:cs="Times New Roman"/>
                <w:b w:val="0"/>
                <w:bCs w:val="0"/>
                <w:color w:val="000000" w:themeColor="text1"/>
                <w:sz w:val="24"/>
                <w:szCs w:val="20"/>
                <w:highlight w:val="none"/>
                <w:lang w:val="en-US" w:eastAsia="zh-CN"/>
                <w14:textFill>
                  <w14:solidFill>
                    <w14:schemeClr w14:val="tx1"/>
                  </w14:solidFill>
                </w14:textFill>
              </w:rPr>
              <w:t>3.3、</w:t>
            </w:r>
            <w:r>
              <w:rPr>
                <w:rFonts w:hint="eastAsia" w:ascii="仿宋" w:hAnsi="仿宋" w:eastAsia="仿宋" w:cs="Times New Roman"/>
                <w:b w:val="0"/>
                <w:bCs w:val="0"/>
                <w:color w:val="000000" w:themeColor="text1"/>
                <w:sz w:val="24"/>
                <w:szCs w:val="20"/>
                <w:highlight w:val="none"/>
                <w14:textFill>
                  <w14:solidFill>
                    <w14:schemeClr w14:val="tx1"/>
                  </w14:solidFill>
                </w14:textFill>
              </w:rPr>
              <w:t>经信用中国（www.creditchina.gov.cn）、</w:t>
            </w:r>
            <w:r>
              <w:rPr>
                <w:rFonts w:hint="eastAsia" w:ascii="仿宋" w:hAnsi="仿宋" w:eastAsia="仿宋" w:cs="Times New Roman"/>
                <w:b w:val="0"/>
                <w:bCs w:val="0"/>
                <w:color w:val="000000" w:themeColor="text1"/>
                <w:sz w:val="24"/>
                <w:szCs w:val="20"/>
                <w:highlight w:val="none"/>
                <w:lang w:eastAsia="zh-CN"/>
                <w14:textFill>
                  <w14:solidFill>
                    <w14:schemeClr w14:val="tx1"/>
                  </w14:solidFill>
                </w14:textFill>
              </w:rPr>
              <w:t>中国政府采购网</w:t>
            </w:r>
            <w:r>
              <w:rPr>
                <w:rFonts w:hint="eastAsia" w:ascii="仿宋" w:hAnsi="仿宋" w:eastAsia="仿宋" w:cs="Times New Roman"/>
                <w:b w:val="0"/>
                <w:bCs w:val="0"/>
                <w:color w:val="000000" w:themeColor="text1"/>
                <w:sz w:val="24"/>
                <w:szCs w:val="20"/>
                <w:highlight w:val="none"/>
                <w14:textFill>
                  <w14:solidFill>
                    <w14:schemeClr w14:val="tx1"/>
                  </w14:solidFill>
                </w14:textFill>
              </w:rPr>
              <w:t>等渠道查询后，列入失信被执行人、重大税收违法案件当事人名单、取消投标资格。（提供“信用中国”</w:t>
            </w:r>
            <w:r>
              <w:rPr>
                <w:rFonts w:hint="eastAsia" w:ascii="仿宋" w:hAnsi="仿宋" w:eastAsia="仿宋" w:cs="Times New Roman"/>
                <w:b w:val="0"/>
                <w:bCs w:val="0"/>
                <w:color w:val="000000" w:themeColor="text1"/>
                <w:sz w:val="24"/>
                <w:szCs w:val="20"/>
                <w:highlight w:val="none"/>
                <w:lang w:eastAsia="zh-CN"/>
                <w14:textFill>
                  <w14:solidFill>
                    <w14:schemeClr w14:val="tx1"/>
                  </w14:solidFill>
                </w14:textFill>
              </w:rPr>
              <w:t>中国政府采购网</w:t>
            </w:r>
            <w:r>
              <w:rPr>
                <w:rFonts w:hint="eastAsia" w:ascii="仿宋" w:hAnsi="仿宋" w:eastAsia="仿宋" w:cs="Times New Roman"/>
                <w:b w:val="0"/>
                <w:bCs w:val="0"/>
                <w:color w:val="000000" w:themeColor="text1"/>
                <w:sz w:val="24"/>
                <w:szCs w:val="20"/>
                <w:highlight w:val="none"/>
                <w14:textFill>
                  <w14:solidFill>
                    <w14:schemeClr w14:val="tx1"/>
                  </w14:solidFill>
                </w14:textFill>
              </w:rPr>
              <w:t>网站无任何不良记录的查询截图，时间为投标截止时间前</w:t>
            </w:r>
            <w:r>
              <w:rPr>
                <w:rFonts w:hint="eastAsia" w:ascii="仿宋" w:hAnsi="仿宋" w:eastAsia="仿宋" w:cs="Times New Roman"/>
                <w:b w:val="0"/>
                <w:bCs w:val="0"/>
                <w:color w:val="000000" w:themeColor="text1"/>
                <w:sz w:val="24"/>
                <w:szCs w:val="20"/>
                <w:highlight w:val="none"/>
                <w:lang w:val="en-US" w:eastAsia="zh-CN"/>
                <w14:textFill>
                  <w14:solidFill>
                    <w14:schemeClr w14:val="tx1"/>
                  </w14:solidFill>
                </w14:textFill>
              </w:rPr>
              <w:t>7</w:t>
            </w:r>
            <w:r>
              <w:rPr>
                <w:rFonts w:hint="eastAsia" w:ascii="仿宋" w:hAnsi="仿宋" w:eastAsia="仿宋" w:cs="Times New Roman"/>
                <w:b w:val="0"/>
                <w:bCs w:val="0"/>
                <w:color w:val="000000" w:themeColor="text1"/>
                <w:sz w:val="24"/>
                <w:szCs w:val="20"/>
                <w:highlight w:val="none"/>
                <w14:textFill>
                  <w14:solidFill>
                    <w14:schemeClr w14:val="tx1"/>
                  </w14:solidFill>
                </w14:textFill>
              </w:rPr>
              <w:t>天内）。</w:t>
            </w:r>
            <w:bookmarkEnd w:id="9"/>
          </w:p>
          <w:p>
            <w:pPr>
              <w:pStyle w:val="5"/>
              <w:rPr>
                <w:rFonts w:ascii="仿宋" w:hAnsi="仿宋" w:eastAsia="仿宋"/>
                <w:b w:val="0"/>
                <w:bCs w:val="0"/>
                <w:color w:val="000000" w:themeColor="text1"/>
                <w:sz w:val="24"/>
                <w:szCs w:val="20"/>
                <w:highlight w:val="none"/>
                <w14:textFill>
                  <w14:solidFill>
                    <w14:schemeClr w14:val="tx1"/>
                  </w14:solidFill>
                </w14:textFill>
              </w:rPr>
            </w:pPr>
            <w:bookmarkStart w:id="10" w:name="_Toc19461"/>
            <w:r>
              <w:rPr>
                <w:rFonts w:hint="eastAsia" w:ascii="仿宋" w:hAnsi="仿宋" w:eastAsia="仿宋"/>
                <w:b w:val="0"/>
                <w:bCs w:val="0"/>
                <w:color w:val="000000" w:themeColor="text1"/>
                <w:sz w:val="24"/>
                <w:szCs w:val="20"/>
                <w:highlight w:val="none"/>
                <w14:textFill>
                  <w14:solidFill>
                    <w14:schemeClr w14:val="tx1"/>
                  </w14:solidFill>
                </w14:textFill>
              </w:rPr>
              <w:t>3.4、本次招标不接受联合体投标；单位负责人为同一人或者存在控股、管理关系的不同单位，不得同时参加本招标项目投标。</w:t>
            </w:r>
            <w:bookmarkEnd w:id="10"/>
          </w:p>
          <w:p>
            <w:pPr>
              <w:pStyle w:val="14"/>
              <w:tabs>
                <w:tab w:val="left" w:pos="840"/>
              </w:tabs>
              <w:spacing w:line="500" w:lineRule="exact"/>
              <w:jc w:val="left"/>
              <w:rPr>
                <w:rFonts w:hint="eastAsia" w:ascii="仿宋" w:hAnsi="仿宋" w:eastAsia="仿宋"/>
                <w:color w:val="000000" w:themeColor="text1"/>
                <w:kern w:val="2"/>
                <w:sz w:val="24"/>
                <w:highlight w:val="none"/>
                <w14:textFill>
                  <w14:solidFill>
                    <w14:schemeClr w14:val="tx1"/>
                  </w14:solidFill>
                </w14:textFill>
              </w:rPr>
            </w:pPr>
            <w:r>
              <w:rPr>
                <w:rFonts w:hint="eastAsia" w:ascii="仿宋" w:hAnsi="仿宋" w:eastAsia="仿宋"/>
                <w:b w:val="0"/>
                <w:bCs w:val="0"/>
                <w:color w:val="000000" w:themeColor="text1"/>
                <w:kern w:val="2"/>
                <w:sz w:val="24"/>
                <w:highlight w:val="none"/>
                <w14:textFill>
                  <w14:solidFill>
                    <w14:schemeClr w14:val="tx1"/>
                  </w14:solidFill>
                </w14:textFill>
              </w:rPr>
              <w:t>3.5、本次招标采用资格后审。资格审查的具体要求见招标文件。</w:t>
            </w:r>
            <w:r>
              <w:rPr>
                <w:rFonts w:hint="eastAsia" w:ascii="仿宋" w:hAnsi="仿宋" w:eastAsia="仿宋"/>
                <w:color w:val="000000" w:themeColor="text1"/>
                <w:kern w:val="2"/>
                <w:sz w:val="24"/>
                <w:highlight w:val="none"/>
                <w14:textFill>
                  <w14:solidFill>
                    <w14:schemeClr w14:val="tx1"/>
                  </w14:solidFill>
                </w14:textFill>
              </w:rPr>
              <w:t>资格后审不合格的投标人投标文件将被否决。</w:t>
            </w:r>
          </w:p>
          <w:p>
            <w:pPr>
              <w:pStyle w:val="14"/>
              <w:tabs>
                <w:tab w:val="left" w:pos="840"/>
              </w:tabs>
              <w:spacing w:line="500" w:lineRule="exact"/>
              <w:jc w:val="left"/>
              <w:rPr>
                <w:rFonts w:hint="eastAsia" w:ascii="仿宋" w:hAnsi="仿宋" w:eastAsia="仿宋" w:cs="宋体"/>
                <w:color w:val="000000" w:themeColor="text1"/>
                <w:kern w:val="2"/>
                <w:sz w:val="24"/>
                <w:highlight w:val="none"/>
                <w:lang w:eastAsia="zh-CN"/>
                <w14:textFill>
                  <w14:solidFill>
                    <w14:schemeClr w14:val="tx1"/>
                  </w14:solidFill>
                </w14:textFill>
              </w:rPr>
            </w:pPr>
            <w:r>
              <w:rPr>
                <w:rFonts w:hint="eastAsia" w:ascii="仿宋" w:hAnsi="仿宋" w:eastAsia="仿宋"/>
                <w:color w:val="000000" w:themeColor="text1"/>
                <w:kern w:val="2"/>
                <w:sz w:val="24"/>
                <w:highlight w:val="none"/>
                <w:lang w:eastAsia="zh-CN"/>
                <w14:textFill>
                  <w14:solidFill>
                    <w14:schemeClr w14:val="tx1"/>
                  </w14:solidFill>
                </w14:textFill>
              </w:rPr>
              <w:t>其他</w:t>
            </w:r>
            <w:r>
              <w:rPr>
                <w:rFonts w:hint="eastAsia" w:ascii="仿宋" w:hAnsi="仿宋" w:eastAsia="仿宋" w:cs="宋体"/>
                <w:color w:val="000000" w:themeColor="text1"/>
                <w:kern w:val="2"/>
                <w:sz w:val="24"/>
                <w:highlight w:val="none"/>
                <w:lang w:eastAsia="zh-CN"/>
                <w14:textFill>
                  <w14:solidFill>
                    <w14:schemeClr w14:val="tx1"/>
                  </w14:solidFill>
                </w14:textFill>
              </w:rPr>
              <w:t>要求：</w:t>
            </w:r>
          </w:p>
          <w:p>
            <w:pPr>
              <w:pStyle w:val="14"/>
              <w:tabs>
                <w:tab w:val="left" w:pos="840"/>
              </w:tabs>
              <w:spacing w:line="500" w:lineRule="exact"/>
              <w:jc w:val="left"/>
              <w:rPr>
                <w:rFonts w:hint="eastAsia" w:ascii="仿宋" w:hAnsi="仿宋" w:eastAsia="仿宋" w:cs="宋体"/>
                <w:color w:val="000000" w:themeColor="text1"/>
                <w:kern w:val="2"/>
                <w:sz w:val="24"/>
                <w:highlight w:val="none"/>
                <w14:textFill>
                  <w14:solidFill>
                    <w14:schemeClr w14:val="tx1"/>
                  </w14:solidFill>
                </w14:textFill>
              </w:rPr>
            </w:pPr>
            <w:r>
              <w:rPr>
                <w:rFonts w:hint="eastAsia" w:ascii="仿宋" w:hAnsi="仿宋" w:eastAsia="仿宋" w:cs="宋体"/>
                <w:color w:val="000000" w:themeColor="text1"/>
                <w:kern w:val="2"/>
                <w:sz w:val="24"/>
                <w:highlight w:val="none"/>
                <w:lang w:val="en-US" w:eastAsia="zh-CN"/>
                <w14:textFill>
                  <w14:solidFill>
                    <w14:schemeClr w14:val="tx1"/>
                  </w14:solidFill>
                </w14:textFill>
              </w:rPr>
              <w:t>1.</w:t>
            </w:r>
            <w:r>
              <w:rPr>
                <w:rFonts w:hint="eastAsia" w:ascii="仿宋" w:hAnsi="仿宋" w:eastAsia="仿宋" w:cs="宋体"/>
                <w:color w:val="000000" w:themeColor="text1"/>
                <w:kern w:val="2"/>
                <w:sz w:val="24"/>
                <w:highlight w:val="none"/>
                <w14:textFill>
                  <w14:solidFill>
                    <w14:schemeClr w14:val="tx1"/>
                  </w14:solidFill>
                </w14:textFill>
              </w:rPr>
              <w:t>）具备</w:t>
            </w:r>
            <w:r>
              <w:rPr>
                <w:rFonts w:hint="eastAsia" w:ascii="仿宋" w:hAnsi="仿宋" w:eastAsia="仿宋" w:cs="宋体"/>
                <w:color w:val="000000" w:themeColor="text1"/>
                <w:kern w:val="2"/>
                <w:sz w:val="24"/>
                <w:highlight w:val="none"/>
                <w:lang w:val="en-US" w:eastAsia="zh-CN"/>
                <w14:textFill>
                  <w14:solidFill>
                    <w14:schemeClr w14:val="tx1"/>
                  </w14:solidFill>
                </w14:textFill>
              </w:rPr>
              <w:t>房屋建筑工程总承包叁级（含）叁级以上资质</w:t>
            </w:r>
            <w:r>
              <w:rPr>
                <w:rFonts w:hint="eastAsia" w:ascii="仿宋" w:hAnsi="仿宋" w:eastAsia="仿宋" w:cs="宋体"/>
                <w:color w:val="000000" w:themeColor="text1"/>
                <w:kern w:val="2"/>
                <w:sz w:val="24"/>
                <w:highlight w:val="none"/>
                <w14:textFill>
                  <w14:solidFill>
                    <w14:schemeClr w14:val="tx1"/>
                  </w14:solidFill>
                </w14:textFill>
              </w:rPr>
              <w:t>，并在人员、设备、资金等方面具有相应的施工能力。</w:t>
            </w:r>
          </w:p>
          <w:p>
            <w:pPr>
              <w:pStyle w:val="14"/>
              <w:tabs>
                <w:tab w:val="left" w:pos="840"/>
              </w:tabs>
              <w:spacing w:line="500" w:lineRule="exact"/>
              <w:jc w:val="left"/>
              <w:rPr>
                <w:rFonts w:hint="eastAsia" w:ascii="仿宋" w:hAnsi="仿宋" w:eastAsia="仿宋" w:cs="宋体"/>
                <w:color w:val="000000" w:themeColor="text1"/>
                <w:kern w:val="2"/>
                <w:sz w:val="24"/>
                <w:highlight w:val="none"/>
                <w14:textFill>
                  <w14:solidFill>
                    <w14:schemeClr w14:val="tx1"/>
                  </w14:solidFill>
                </w14:textFill>
              </w:rPr>
            </w:pPr>
            <w:r>
              <w:rPr>
                <w:rFonts w:hint="eastAsia" w:ascii="仿宋" w:hAnsi="仿宋" w:eastAsia="仿宋" w:cs="宋体"/>
                <w:color w:val="000000" w:themeColor="text1"/>
                <w:kern w:val="2"/>
                <w:sz w:val="24"/>
                <w:highlight w:val="none"/>
                <w:lang w:val="en-US" w:eastAsia="zh-CN"/>
                <w14:textFill>
                  <w14:solidFill>
                    <w14:schemeClr w14:val="tx1"/>
                  </w14:solidFill>
                </w14:textFill>
              </w:rPr>
              <w:t>2.</w:t>
            </w:r>
            <w:r>
              <w:rPr>
                <w:rFonts w:hint="eastAsia" w:ascii="仿宋" w:hAnsi="仿宋" w:eastAsia="仿宋" w:cs="宋体"/>
                <w:color w:val="000000" w:themeColor="text1"/>
                <w:kern w:val="2"/>
                <w:sz w:val="24"/>
                <w:highlight w:val="none"/>
                <w14:textFill>
                  <w14:solidFill>
                    <w14:schemeClr w14:val="tx1"/>
                  </w14:solidFill>
                </w14:textFill>
              </w:rPr>
              <w:t>）拟投入本工程的项目经理具备</w:t>
            </w:r>
            <w:r>
              <w:rPr>
                <w:rFonts w:hint="eastAsia" w:ascii="仿宋" w:hAnsi="仿宋" w:eastAsia="仿宋" w:cs="宋体"/>
                <w:color w:val="000000" w:themeColor="text1"/>
                <w:kern w:val="2"/>
                <w:sz w:val="24"/>
                <w:highlight w:val="none"/>
                <w:lang w:val="en-US" w:eastAsia="zh-CN"/>
                <w14:textFill>
                  <w14:solidFill>
                    <w14:schemeClr w14:val="tx1"/>
                  </w14:solidFill>
                </w14:textFill>
              </w:rPr>
              <w:t>房屋建筑工程专业二级建造师</w:t>
            </w:r>
            <w:r>
              <w:rPr>
                <w:rFonts w:hint="eastAsia" w:ascii="仿宋" w:hAnsi="仿宋" w:eastAsia="仿宋" w:cs="宋体"/>
                <w:color w:val="000000" w:themeColor="text1"/>
                <w:kern w:val="2"/>
                <w:sz w:val="24"/>
                <w:highlight w:val="none"/>
                <w14:textFill>
                  <w14:solidFill>
                    <w14:schemeClr w14:val="tx1"/>
                  </w14:solidFill>
                </w14:textFill>
              </w:rPr>
              <w:t>执业资格证、有效的注册证、有效的安全生产考核合格证。</w:t>
            </w:r>
          </w:p>
          <w:p>
            <w:pPr>
              <w:pStyle w:val="14"/>
              <w:tabs>
                <w:tab w:val="left" w:pos="840"/>
              </w:tabs>
              <w:spacing w:line="500" w:lineRule="exact"/>
              <w:jc w:val="left"/>
              <w:rPr>
                <w:rFonts w:hint="default" w:ascii="仿宋" w:hAnsi="仿宋" w:eastAsia="仿宋"/>
                <w:color w:val="000000" w:themeColor="text1"/>
                <w:kern w:val="2"/>
                <w:sz w:val="24"/>
                <w:highlight w:val="none"/>
                <w:lang w:val="en-US" w:eastAsia="zh-CN"/>
                <w14:textFill>
                  <w14:solidFill>
                    <w14:schemeClr w14:val="tx1"/>
                  </w14:solidFill>
                </w14:textFill>
              </w:rPr>
            </w:pPr>
            <w:r>
              <w:rPr>
                <w:rFonts w:hint="eastAsia" w:ascii="仿宋" w:hAnsi="仿宋" w:eastAsia="仿宋" w:cs="宋体"/>
                <w:color w:val="000000" w:themeColor="text1"/>
                <w:kern w:val="2"/>
                <w:sz w:val="24"/>
                <w:highlight w:val="none"/>
                <w:lang w:val="en-US" w:eastAsia="zh-CN"/>
                <w14:textFill>
                  <w14:solidFill>
                    <w14:schemeClr w14:val="tx1"/>
                  </w14:solidFill>
                </w14:textFill>
              </w:rPr>
              <w:t>3.</w:t>
            </w:r>
            <w:r>
              <w:rPr>
                <w:rFonts w:hint="eastAsia" w:ascii="仿宋" w:hAnsi="仿宋" w:eastAsia="仿宋" w:cs="宋体"/>
                <w:color w:val="000000" w:themeColor="text1"/>
                <w:kern w:val="2"/>
                <w:sz w:val="24"/>
                <w:highlight w:val="none"/>
                <w14:textFill>
                  <w14:solidFill>
                    <w14:schemeClr w14:val="tx1"/>
                  </w14:solidFill>
                </w14:textFill>
              </w:rPr>
              <w:t>）拟派技术负责人具备</w:t>
            </w:r>
            <w:r>
              <w:rPr>
                <w:rFonts w:hint="eastAsia" w:ascii="仿宋" w:hAnsi="仿宋" w:eastAsia="仿宋" w:cs="宋体"/>
                <w:color w:val="000000" w:themeColor="text1"/>
                <w:kern w:val="2"/>
                <w:sz w:val="24"/>
                <w:highlight w:val="none"/>
                <w:lang w:eastAsia="zh-CN"/>
                <w14:textFill>
                  <w14:solidFill>
                    <w14:schemeClr w14:val="tx1"/>
                  </w14:solidFill>
                </w14:textFill>
              </w:rPr>
              <w:t>建筑</w:t>
            </w:r>
            <w:r>
              <w:rPr>
                <w:rFonts w:hint="eastAsia" w:ascii="仿宋" w:hAnsi="仿宋" w:eastAsia="仿宋" w:cs="宋体"/>
                <w:color w:val="000000" w:themeColor="text1"/>
                <w:kern w:val="2"/>
                <w:sz w:val="24"/>
                <w:highlight w:val="none"/>
                <w14:textFill>
                  <w14:solidFill>
                    <w14:schemeClr w14:val="tx1"/>
                  </w14:solidFill>
                </w14:textFill>
              </w:rPr>
              <w:t>相关专业中级及以上任职资格，项目管理人员中施工员、安全员、质检员、资料员须具有效的相关证件。</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10</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投标保证金</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400" w:lineRule="exac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1、从投标人基本账户转入指定账户，在转账单据备注中注明投标项目简称和标段。</w:t>
            </w:r>
          </w:p>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投标保证金：¥</w:t>
            </w:r>
            <w:r>
              <w:rPr>
                <w:rFonts w:hint="eastAsia" w:ascii="仿宋" w:hAnsi="仿宋" w:eastAsia="仿宋" w:cs="宋体"/>
                <w:color w:val="000000" w:themeColor="text1"/>
                <w:kern w:val="0"/>
                <w:sz w:val="24"/>
                <w:highlight w:val="none"/>
                <w:lang w:val="en-US" w:eastAsia="zh-CN"/>
                <w14:textFill>
                  <w14:solidFill>
                    <w14:schemeClr w14:val="tx1"/>
                  </w14:solidFill>
                </w14:textFill>
              </w:rPr>
              <w:t>27000</w:t>
            </w:r>
            <w:r>
              <w:rPr>
                <w:rFonts w:hint="eastAsia" w:ascii="仿宋" w:hAnsi="仿宋" w:eastAsia="仿宋" w:cs="宋体"/>
                <w:color w:val="000000" w:themeColor="text1"/>
                <w:kern w:val="0"/>
                <w:sz w:val="24"/>
                <w:highlight w:val="none"/>
                <w:lang w:val="zh-CN"/>
                <w14:textFill>
                  <w14:solidFill>
                    <w14:schemeClr w14:val="tx1"/>
                  </w14:solidFill>
                </w14:textFill>
              </w:rPr>
              <w:t>元（人民币</w:t>
            </w:r>
            <w:r>
              <w:rPr>
                <w:rFonts w:hint="eastAsia" w:ascii="仿宋" w:hAnsi="仿宋" w:eastAsia="仿宋" w:cs="宋体"/>
                <w:color w:val="000000" w:themeColor="text1"/>
                <w:kern w:val="0"/>
                <w:sz w:val="24"/>
                <w:highlight w:val="none"/>
                <w:lang w:val="en-US" w:eastAsia="zh-CN"/>
                <w14:textFill>
                  <w14:solidFill>
                    <w14:schemeClr w14:val="tx1"/>
                  </w14:solidFill>
                </w14:textFill>
              </w:rPr>
              <w:t>:贰万柒仟元</w:t>
            </w:r>
            <w:r>
              <w:rPr>
                <w:rFonts w:hint="eastAsia" w:ascii="仿宋" w:hAnsi="仿宋" w:eastAsia="仿宋" w:cs="宋体"/>
                <w:color w:val="000000" w:themeColor="text1"/>
                <w:kern w:val="0"/>
                <w:sz w:val="24"/>
                <w:highlight w:val="none"/>
                <w:lang w:val="en-US" w:eastAsia="zh-CN"/>
                <w14:textFill>
                  <w14:solidFill>
                    <w14:schemeClr w14:val="tx1"/>
                  </w14:solidFill>
                </w14:textFill>
              </w:rPr>
              <w:t>整</w:t>
            </w:r>
            <w:r>
              <w:rPr>
                <w:rFonts w:hint="eastAsia" w:ascii="仿宋" w:hAnsi="仿宋" w:eastAsia="仿宋" w:cs="宋体"/>
                <w:color w:val="000000" w:themeColor="text1"/>
                <w:kern w:val="0"/>
                <w:sz w:val="24"/>
                <w:highlight w:val="none"/>
                <w:lang w:val="zh-CN"/>
                <w14:textFill>
                  <w14:solidFill>
                    <w14:schemeClr w14:val="tx1"/>
                  </w14:solidFill>
                </w14:textFill>
              </w:rPr>
              <w:t>）；</w:t>
            </w:r>
          </w:p>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 xml:space="preserve">收款单位：青海华茂工程项目管理有限公司 </w:t>
            </w:r>
          </w:p>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开户行</w:t>
            </w:r>
            <w:r>
              <w:rPr>
                <w:rFonts w:hint="eastAsia" w:ascii="仿宋" w:hAnsi="仿宋" w:eastAsia="仿宋" w:cs="宋体"/>
                <w:color w:val="000000" w:themeColor="text1"/>
                <w:kern w:val="0"/>
                <w:sz w:val="24"/>
                <w:highlight w:val="none"/>
                <w:lang w:val="zh-CN" w:eastAsia="zh-CN"/>
                <w14:textFill>
                  <w14:solidFill>
                    <w14:schemeClr w14:val="tx1"/>
                  </w14:solidFill>
                </w14:textFill>
              </w:rPr>
              <w:t xml:space="preserve">：中国农业银行股份有限公司西宁城西区文华路支行 </w:t>
            </w:r>
          </w:p>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eastAsia="zh-CN"/>
                <w14:textFill>
                  <w14:solidFill>
                    <w14:schemeClr w14:val="tx1"/>
                  </w14:solidFill>
                </w14:textFill>
              </w:rPr>
              <w:t>保证金账号：2805</w:t>
            </w:r>
            <w:r>
              <w:rPr>
                <w:rFonts w:hint="eastAsia" w:ascii="仿宋" w:hAnsi="仿宋" w:eastAsia="仿宋" w:cs="宋体"/>
                <w:color w:val="000000" w:themeColor="text1"/>
                <w:kern w:val="0"/>
                <w:sz w:val="24"/>
                <w:highlight w:val="none"/>
                <w:lang w:val="en-US" w:eastAsia="zh-CN"/>
                <w14:textFill>
                  <w14:solidFill>
                    <w14:schemeClr w14:val="tx1"/>
                  </w14:solidFill>
                </w14:textFill>
              </w:rPr>
              <w:t xml:space="preserve"> </w:t>
            </w:r>
            <w:r>
              <w:rPr>
                <w:rFonts w:hint="eastAsia" w:ascii="仿宋" w:hAnsi="仿宋" w:eastAsia="仿宋" w:cs="宋体"/>
                <w:color w:val="000000" w:themeColor="text1"/>
                <w:kern w:val="0"/>
                <w:sz w:val="24"/>
                <w:highlight w:val="none"/>
                <w:lang w:val="zh-CN" w:eastAsia="zh-CN"/>
                <w14:textFill>
                  <w14:solidFill>
                    <w14:schemeClr w14:val="tx1"/>
                  </w14:solidFill>
                </w14:textFill>
              </w:rPr>
              <w:t>4001</w:t>
            </w:r>
            <w:r>
              <w:rPr>
                <w:rFonts w:hint="eastAsia" w:ascii="仿宋" w:hAnsi="仿宋" w:eastAsia="仿宋" w:cs="宋体"/>
                <w:color w:val="000000" w:themeColor="text1"/>
                <w:kern w:val="0"/>
                <w:sz w:val="24"/>
                <w:highlight w:val="none"/>
                <w:lang w:val="en-US" w:eastAsia="zh-CN"/>
                <w14:textFill>
                  <w14:solidFill>
                    <w14:schemeClr w14:val="tx1"/>
                  </w14:solidFill>
                </w14:textFill>
              </w:rPr>
              <w:t xml:space="preserve"> </w:t>
            </w:r>
            <w:r>
              <w:rPr>
                <w:rFonts w:hint="eastAsia" w:ascii="仿宋" w:hAnsi="仿宋" w:eastAsia="仿宋" w:cs="宋体"/>
                <w:color w:val="000000" w:themeColor="text1"/>
                <w:kern w:val="0"/>
                <w:sz w:val="24"/>
                <w:highlight w:val="none"/>
                <w:lang w:val="zh-CN" w:eastAsia="zh-CN"/>
                <w14:textFill>
                  <w14:solidFill>
                    <w14:schemeClr w14:val="tx1"/>
                  </w14:solidFill>
                </w14:textFill>
              </w:rPr>
              <w:t>0400</w:t>
            </w:r>
            <w:r>
              <w:rPr>
                <w:rFonts w:hint="eastAsia" w:ascii="仿宋" w:hAnsi="仿宋" w:eastAsia="仿宋" w:cs="宋体"/>
                <w:color w:val="000000" w:themeColor="text1"/>
                <w:kern w:val="0"/>
                <w:sz w:val="24"/>
                <w:highlight w:val="none"/>
                <w:lang w:val="en-US" w:eastAsia="zh-CN"/>
                <w14:textFill>
                  <w14:solidFill>
                    <w14:schemeClr w14:val="tx1"/>
                  </w14:solidFill>
                </w14:textFill>
              </w:rPr>
              <w:t xml:space="preserve"> </w:t>
            </w:r>
            <w:r>
              <w:rPr>
                <w:rFonts w:hint="eastAsia" w:ascii="仿宋" w:hAnsi="仿宋" w:eastAsia="仿宋" w:cs="宋体"/>
                <w:color w:val="000000" w:themeColor="text1"/>
                <w:kern w:val="0"/>
                <w:sz w:val="24"/>
                <w:highlight w:val="none"/>
                <w:lang w:val="zh-CN" w:eastAsia="zh-CN"/>
                <w14:textFill>
                  <w14:solidFill>
                    <w14:schemeClr w14:val="tx1"/>
                  </w14:solidFill>
                </w14:textFill>
              </w:rPr>
              <w:t>01003</w:t>
            </w:r>
          </w:p>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14:textFill>
                  <w14:solidFill>
                    <w14:schemeClr w14:val="tx1"/>
                  </w14:solidFill>
                </w14:textFill>
              </w:rPr>
              <w:t>2</w:t>
            </w:r>
            <w:r>
              <w:rPr>
                <w:rFonts w:hint="eastAsia" w:ascii="仿宋" w:hAnsi="仿宋" w:eastAsia="仿宋" w:cs="宋体"/>
                <w:color w:val="000000" w:themeColor="text1"/>
                <w:kern w:val="0"/>
                <w:sz w:val="24"/>
                <w:highlight w:val="none"/>
                <w:lang w:val="zh-CN"/>
                <w14:textFill>
                  <w14:solidFill>
                    <w14:schemeClr w14:val="tx1"/>
                  </w14:solidFill>
                </w14:textFill>
              </w:rPr>
              <w:t>、缴费方式：投标保证金应当以支票、汇票、本票或者金融机构、担保机构出具的保函等非现金形式提交。</w:t>
            </w:r>
          </w:p>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未中标人的投标保证金自成交通知书发出之日起5个工作日内退还（不退现金）；中标人的投标保证金，自采购合同签订之日起5个工作日内退还（不退现金）。</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11</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响应文件份数</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投标人应按询比采购文件要求准备响应文件（1份正本、2份副本1电子版）</w:t>
            </w:r>
            <w:r>
              <w:rPr>
                <w:rFonts w:hint="eastAsia" w:ascii="仿宋" w:hAnsi="仿宋" w:eastAsia="仿宋" w:cs="宋体"/>
                <w:b/>
                <w:bCs/>
                <w:color w:val="000000" w:themeColor="text1"/>
                <w:kern w:val="0"/>
                <w:sz w:val="24"/>
                <w:highlight w:val="none"/>
                <w:lang w:val="en-US" w:eastAsia="zh-CN"/>
                <w14:textFill>
                  <w14:solidFill>
                    <w14:schemeClr w14:val="tx1"/>
                  </w14:solidFill>
                </w14:textFill>
              </w:rPr>
              <w:t>{副本为正本的复印件}</w:t>
            </w:r>
            <w:r>
              <w:rPr>
                <w:rFonts w:hint="eastAsia" w:ascii="仿宋" w:hAnsi="仿宋" w:eastAsia="仿宋" w:cs="宋体"/>
                <w:color w:val="000000" w:themeColor="text1"/>
                <w:kern w:val="0"/>
                <w:sz w:val="24"/>
                <w:highlight w:val="none"/>
                <w:lang w:val="zh-CN"/>
                <w14:textFill>
                  <w14:solidFill>
                    <w14:schemeClr w14:val="tx1"/>
                  </w14:solidFill>
                </w14:textFill>
              </w:rPr>
              <w:t>，每份响应文件都必须清楚地标明“正本”或“副本、电子版”字样。响应文件统一使用A4幅面的纸张印制，必须胶装成册并编码，其他方式装订的响应文件一概不予接受。</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12</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响应文件的密封</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widowControl/>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响应文件外层密封袋的标注：</w:t>
            </w:r>
          </w:p>
          <w:p>
            <w:pPr>
              <w:widowControl/>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项目名称：</w:t>
            </w:r>
            <w:r>
              <w:rPr>
                <w:rFonts w:hint="eastAsia" w:ascii="仿宋" w:hAnsi="仿宋" w:eastAsia="仿宋" w:cs="宋体"/>
                <w:color w:val="000000" w:themeColor="text1"/>
                <w:kern w:val="0"/>
                <w:sz w:val="24"/>
                <w:highlight w:val="none"/>
                <w:lang w:val="en-US" w:eastAsia="zh-CN"/>
                <w14:textFill>
                  <w14:solidFill>
                    <w14:schemeClr w14:val="tx1"/>
                  </w14:solidFill>
                </w14:textFill>
              </w:rPr>
              <w:t>甘德县高原美丽乡村建设项目</w:t>
            </w:r>
          </w:p>
          <w:p>
            <w:pPr>
              <w:widowControl/>
              <w:jc w:val="left"/>
              <w:rPr>
                <w:rFonts w:hint="default" w:ascii="仿宋" w:hAnsi="仿宋" w:eastAsia="仿宋" w:cs="宋体"/>
                <w:color w:val="0000FF"/>
                <w:kern w:val="0"/>
                <w:sz w:val="24"/>
                <w:highlight w:val="none"/>
                <w:lang w:val="en-US" w:eastAsia="zh-CN"/>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项目编号：QHHMZB-2021-046</w:t>
            </w:r>
          </w:p>
          <w:p>
            <w:pPr>
              <w:autoSpaceDE w:val="0"/>
              <w:autoSpaceDN w:val="0"/>
              <w:adjustRightInd w:val="0"/>
              <w:spacing w:line="400" w:lineRule="exact"/>
              <w:jc w:val="left"/>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投标人名称、年月日以</w:t>
            </w:r>
            <w:r>
              <w:rPr>
                <w:rFonts w:hint="eastAsia" w:ascii="仿宋" w:hAnsi="仿宋" w:eastAsia="仿宋"/>
                <w:color w:val="000000" w:themeColor="text1"/>
                <w:sz w:val="24"/>
                <w:highlight w:val="none"/>
                <w14:textFill>
                  <w14:solidFill>
                    <w14:schemeClr w14:val="tx1"/>
                  </w14:solidFill>
                </w14:textFill>
              </w:rPr>
              <w:t>及“于</w:t>
            </w:r>
            <w:r>
              <w:rPr>
                <w:rFonts w:hint="eastAsia" w:ascii="仿宋" w:hAnsi="仿宋" w:eastAsia="仿宋"/>
                <w:color w:val="000000" w:themeColor="text1"/>
                <w:sz w:val="24"/>
                <w:highlight w:val="none"/>
                <w:lang w:eastAsia="zh-CN"/>
                <w14:textFill>
                  <w14:solidFill>
                    <w14:schemeClr w14:val="tx1"/>
                  </w14:solidFill>
                </w14:textFill>
              </w:rPr>
              <w:t>202</w:t>
            </w:r>
            <w:r>
              <w:rPr>
                <w:rFonts w:hint="eastAsia" w:ascii="仿宋" w:hAnsi="仿宋" w:eastAsia="仿宋"/>
                <w:color w:val="000000" w:themeColor="text1"/>
                <w:sz w:val="24"/>
                <w:highlight w:val="none"/>
                <w:lang w:val="en-US" w:eastAsia="zh-CN"/>
                <w14:textFill>
                  <w14:solidFill>
                    <w14:schemeClr w14:val="tx1"/>
                  </w14:solidFill>
                </w14:textFill>
              </w:rPr>
              <w:t>1</w:t>
            </w:r>
            <w:r>
              <w:rPr>
                <w:rFonts w:hint="eastAsia" w:ascii="仿宋" w:hAnsi="仿宋" w:eastAsia="仿宋"/>
                <w:color w:val="000000" w:themeColor="text1"/>
                <w:sz w:val="24"/>
                <w:highlight w:val="none"/>
                <w:lang w:eastAsia="zh-CN"/>
                <w14:textFill>
                  <w14:solidFill>
                    <w14:schemeClr w14:val="tx1"/>
                  </w14:solidFill>
                </w14:textFill>
              </w:rPr>
              <w:t>年</w:t>
            </w:r>
            <w:r>
              <w:rPr>
                <w:rFonts w:hint="eastAsia" w:ascii="仿宋" w:hAnsi="仿宋" w:eastAsia="仿宋"/>
                <w:color w:val="000000" w:themeColor="text1"/>
                <w:sz w:val="24"/>
                <w:highlight w:val="none"/>
                <w:lang w:val="en-US" w:eastAsia="zh-CN"/>
                <w14:textFill>
                  <w14:solidFill>
                    <w14:schemeClr w14:val="tx1"/>
                  </w14:solidFill>
                </w14:textFill>
              </w:rPr>
              <w:t>8</w:t>
            </w:r>
            <w:r>
              <w:rPr>
                <w:rFonts w:hint="eastAsia" w:ascii="仿宋" w:hAnsi="仿宋" w:eastAsia="仿宋"/>
                <w:color w:val="000000" w:themeColor="text1"/>
                <w:sz w:val="24"/>
                <w:highlight w:val="none"/>
                <w:lang w:eastAsia="zh-CN"/>
                <w14:textFill>
                  <w14:solidFill>
                    <w14:schemeClr w14:val="tx1"/>
                  </w14:solidFill>
                </w14:textFill>
              </w:rPr>
              <w:t>月</w:t>
            </w:r>
            <w:r>
              <w:rPr>
                <w:rFonts w:hint="eastAsia" w:ascii="仿宋" w:hAnsi="仿宋" w:eastAsia="仿宋"/>
                <w:color w:val="000000" w:themeColor="text1"/>
                <w:sz w:val="24"/>
                <w:highlight w:val="none"/>
                <w:lang w:val="en-US" w:eastAsia="zh-CN"/>
                <w14:textFill>
                  <w14:solidFill>
                    <w14:schemeClr w14:val="tx1"/>
                  </w14:solidFill>
                </w14:textFill>
              </w:rPr>
              <w:t>19</w:t>
            </w:r>
            <w:r>
              <w:rPr>
                <w:rFonts w:hint="eastAsia" w:ascii="仿宋" w:hAnsi="仿宋" w:eastAsia="仿宋"/>
                <w:color w:val="000000" w:themeColor="text1"/>
                <w:sz w:val="24"/>
                <w:highlight w:val="none"/>
                <w:lang w:eastAsia="zh-CN"/>
                <w14:textFill>
                  <w14:solidFill>
                    <w14:schemeClr w14:val="tx1"/>
                  </w14:solidFill>
                </w14:textFill>
              </w:rPr>
              <w:t>日</w:t>
            </w:r>
            <w:r>
              <w:rPr>
                <w:rFonts w:hint="eastAsia" w:ascii="仿宋" w:hAnsi="仿宋" w:eastAsia="仿宋"/>
                <w:color w:val="000000" w:themeColor="text1"/>
                <w:sz w:val="24"/>
                <w:highlight w:val="none"/>
                <w:lang w:val="en-US" w:eastAsia="zh-CN"/>
                <w14:textFill>
                  <w14:solidFill>
                    <w14:schemeClr w14:val="tx1"/>
                  </w14:solidFill>
                </w14:textFill>
              </w:rPr>
              <w:t>9</w:t>
            </w:r>
            <w:r>
              <w:rPr>
                <w:rFonts w:hint="eastAsia" w:ascii="仿宋" w:hAnsi="仿宋" w:eastAsia="仿宋"/>
                <w:color w:val="000000" w:themeColor="text1"/>
                <w:sz w:val="24"/>
                <w:highlight w:val="none"/>
                <w:lang w:eastAsia="zh-CN"/>
                <w14:textFill>
                  <w14:solidFill>
                    <w14:schemeClr w14:val="tx1"/>
                  </w14:solidFill>
                </w14:textFill>
              </w:rPr>
              <w:t>时</w:t>
            </w:r>
            <w:r>
              <w:rPr>
                <w:rFonts w:hint="eastAsia" w:ascii="仿宋" w:hAnsi="仿宋" w:eastAsia="仿宋"/>
                <w:color w:val="000000" w:themeColor="text1"/>
                <w:sz w:val="24"/>
                <w:highlight w:val="none"/>
                <w:lang w:val="en-US" w:eastAsia="zh-CN"/>
                <w14:textFill>
                  <w14:solidFill>
                    <w14:schemeClr w14:val="tx1"/>
                  </w14:solidFill>
                </w14:textFill>
              </w:rPr>
              <w:t>30</w:t>
            </w:r>
            <w:r>
              <w:rPr>
                <w:rFonts w:hint="eastAsia" w:ascii="仿宋" w:hAnsi="仿宋" w:eastAsia="仿宋"/>
                <w:color w:val="000000" w:themeColor="text1"/>
                <w:sz w:val="24"/>
                <w:highlight w:val="none"/>
                <w:lang w:eastAsia="zh-CN"/>
                <w14:textFill>
                  <w14:solidFill>
                    <w14:schemeClr w14:val="tx1"/>
                  </w14:solidFill>
                </w14:textFill>
              </w:rPr>
              <w:t>分</w:t>
            </w:r>
            <w:r>
              <w:rPr>
                <w:rFonts w:hint="eastAsia" w:ascii="仿宋" w:hAnsi="仿宋" w:eastAsia="仿宋"/>
                <w:color w:val="000000" w:themeColor="text1"/>
                <w:sz w:val="24"/>
                <w:highlight w:val="none"/>
                <w14:textFill>
                  <w14:solidFill>
                    <w14:schemeClr w14:val="tx1"/>
                  </w14:solidFill>
                </w14:textFill>
              </w:rPr>
              <w:t>（询比时间）之前不准启封”</w:t>
            </w:r>
            <w:bookmarkStart w:id="635" w:name="_GoBack"/>
            <w:bookmarkEnd w:id="635"/>
            <w:r>
              <w:rPr>
                <w:rFonts w:hint="eastAsia" w:ascii="仿宋" w:hAnsi="仿宋" w:eastAsia="仿宋"/>
                <w:color w:val="000000" w:themeColor="text1"/>
                <w:sz w:val="24"/>
                <w:highlight w:val="none"/>
                <w14:textFill>
                  <w14:solidFill>
                    <w14:schemeClr w14:val="tx1"/>
                  </w14:solidFill>
                </w14:textFill>
              </w:rPr>
              <w:t>字样。</w:t>
            </w:r>
          </w:p>
          <w:p>
            <w:pPr>
              <w:autoSpaceDE w:val="0"/>
              <w:autoSpaceDN w:val="0"/>
              <w:adjustRightInd w:val="0"/>
              <w:spacing w:line="400" w:lineRule="exact"/>
              <w:jc w:val="left"/>
              <w:rPr>
                <w:rFonts w:hint="default" w:ascii="仿宋" w:hAnsi="仿宋" w:eastAsia="仿宋"/>
                <w:color w:val="000000" w:themeColor="text1"/>
                <w:sz w:val="24"/>
                <w:highlight w:val="none"/>
                <w:lang w:val="en-US" w:eastAsia="zh-CN"/>
                <w14:textFill>
                  <w14:solidFill>
                    <w14:schemeClr w14:val="tx1"/>
                  </w14:solidFill>
                </w14:textFill>
              </w:rPr>
            </w:pPr>
            <w:r>
              <w:rPr>
                <w:rFonts w:hint="eastAsia" w:ascii="仿宋" w:hAnsi="仿宋" w:eastAsia="仿宋"/>
                <w:b/>
                <w:bCs/>
                <w:color w:val="000000" w:themeColor="text1"/>
                <w:sz w:val="24"/>
                <w:highlight w:val="none"/>
                <w:lang w:val="en-US" w:eastAsia="zh-CN"/>
                <w14:textFill>
                  <w14:solidFill>
                    <w14:schemeClr w14:val="tx1"/>
                  </w14:solidFill>
                </w14:textFill>
              </w:rPr>
              <w:t>（副本为正本复印件）</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1</w:t>
            </w:r>
            <w:r>
              <w:rPr>
                <w:rFonts w:hint="eastAsia" w:ascii="仿宋" w:hAnsi="仿宋" w:eastAsia="仿宋" w:cs="宋体"/>
                <w:color w:val="000000" w:themeColor="text1"/>
                <w:kern w:val="0"/>
                <w:sz w:val="24"/>
                <w:highlight w:val="none"/>
                <w:lang w:val="en-US" w:eastAsia="zh-CN"/>
                <w14:textFill>
                  <w14:solidFill>
                    <w14:schemeClr w14:val="tx1"/>
                  </w14:solidFill>
                </w14:textFill>
              </w:rPr>
              <w:t>3</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询比文件发售起止时间</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2</w:t>
            </w:r>
            <w:r>
              <w:rPr>
                <w:rFonts w:hint="eastAsia" w:ascii="仿宋" w:hAnsi="仿宋" w:eastAsia="仿宋" w:cs="宋体"/>
                <w:color w:val="000000" w:themeColor="text1"/>
                <w:kern w:val="0"/>
                <w:sz w:val="24"/>
                <w:highlight w:val="none"/>
                <w:lang w:val="en-US" w:eastAsia="zh-CN"/>
                <w14:textFill>
                  <w14:solidFill>
                    <w14:schemeClr w14:val="tx1"/>
                  </w14:solidFill>
                </w14:textFill>
              </w:rPr>
              <w:t>021</w:t>
            </w:r>
            <w:r>
              <w:rPr>
                <w:rFonts w:hint="eastAsia" w:ascii="仿宋" w:hAnsi="仿宋" w:eastAsia="仿宋" w:cs="宋体"/>
                <w:color w:val="000000" w:themeColor="text1"/>
                <w:kern w:val="0"/>
                <w:sz w:val="24"/>
                <w:highlight w:val="none"/>
                <w:lang w:val="zh-CN"/>
                <w14:textFill>
                  <w14:solidFill>
                    <w14:schemeClr w14:val="tx1"/>
                  </w14:solidFill>
                </w14:textFill>
              </w:rPr>
              <w:t>年</w:t>
            </w:r>
            <w:r>
              <w:rPr>
                <w:rFonts w:hint="eastAsia" w:ascii="仿宋" w:hAnsi="仿宋" w:eastAsia="仿宋" w:cs="宋体"/>
                <w:color w:val="000000" w:themeColor="text1"/>
                <w:kern w:val="0"/>
                <w:sz w:val="24"/>
                <w:highlight w:val="none"/>
                <w:lang w:val="en-US" w:eastAsia="zh-CN"/>
                <w14:textFill>
                  <w14:solidFill>
                    <w14:schemeClr w14:val="tx1"/>
                  </w14:solidFill>
                </w14:textFill>
              </w:rPr>
              <w:t>8</w:t>
            </w:r>
            <w:r>
              <w:rPr>
                <w:rFonts w:hint="eastAsia" w:ascii="仿宋" w:hAnsi="仿宋" w:eastAsia="仿宋" w:cs="宋体"/>
                <w:color w:val="000000" w:themeColor="text1"/>
                <w:kern w:val="0"/>
                <w:sz w:val="24"/>
                <w:highlight w:val="none"/>
                <w:lang w:val="zh-CN"/>
                <w14:textFill>
                  <w14:solidFill>
                    <w14:schemeClr w14:val="tx1"/>
                  </w14:solidFill>
                </w14:textFill>
              </w:rPr>
              <w:t>月</w:t>
            </w:r>
            <w:r>
              <w:rPr>
                <w:rFonts w:hint="eastAsia" w:ascii="仿宋" w:hAnsi="仿宋" w:eastAsia="仿宋" w:cs="宋体"/>
                <w:color w:val="000000" w:themeColor="text1"/>
                <w:kern w:val="0"/>
                <w:sz w:val="24"/>
                <w:highlight w:val="none"/>
                <w:lang w:val="en-US" w:eastAsia="zh-CN"/>
                <w14:textFill>
                  <w14:solidFill>
                    <w14:schemeClr w14:val="tx1"/>
                  </w14:solidFill>
                </w14:textFill>
              </w:rPr>
              <w:t>13</w:t>
            </w:r>
            <w:r>
              <w:rPr>
                <w:rFonts w:hint="eastAsia" w:ascii="仿宋" w:hAnsi="仿宋" w:eastAsia="仿宋" w:cs="宋体"/>
                <w:color w:val="000000" w:themeColor="text1"/>
                <w:kern w:val="0"/>
                <w:sz w:val="24"/>
                <w:highlight w:val="none"/>
                <w:lang w:val="zh-CN"/>
                <w14:textFill>
                  <w14:solidFill>
                    <w14:schemeClr w14:val="tx1"/>
                  </w14:solidFill>
                </w14:textFill>
              </w:rPr>
              <w:t>日-20</w:t>
            </w:r>
            <w:r>
              <w:rPr>
                <w:rFonts w:hint="eastAsia" w:ascii="仿宋" w:hAnsi="仿宋" w:eastAsia="仿宋" w:cs="宋体"/>
                <w:color w:val="000000" w:themeColor="text1"/>
                <w:kern w:val="0"/>
                <w:sz w:val="24"/>
                <w:highlight w:val="none"/>
                <w:lang w:val="en-US" w:eastAsia="zh-CN"/>
                <w14:textFill>
                  <w14:solidFill>
                    <w14:schemeClr w14:val="tx1"/>
                  </w14:solidFill>
                </w14:textFill>
              </w:rPr>
              <w:t>21</w:t>
            </w:r>
            <w:r>
              <w:rPr>
                <w:rFonts w:hint="eastAsia" w:ascii="仿宋" w:hAnsi="仿宋" w:eastAsia="仿宋" w:cs="宋体"/>
                <w:color w:val="000000" w:themeColor="text1"/>
                <w:kern w:val="0"/>
                <w:sz w:val="24"/>
                <w:highlight w:val="none"/>
                <w:lang w:val="zh-CN"/>
                <w14:textFill>
                  <w14:solidFill>
                    <w14:schemeClr w14:val="tx1"/>
                  </w14:solidFill>
                </w14:textFill>
              </w:rPr>
              <w:t>年</w:t>
            </w:r>
            <w:r>
              <w:rPr>
                <w:rFonts w:hint="eastAsia" w:ascii="仿宋" w:hAnsi="仿宋" w:eastAsia="仿宋" w:cs="宋体"/>
                <w:color w:val="000000" w:themeColor="text1"/>
                <w:kern w:val="0"/>
                <w:sz w:val="24"/>
                <w:highlight w:val="none"/>
                <w:lang w:val="en-US" w:eastAsia="zh-CN"/>
                <w14:textFill>
                  <w14:solidFill>
                    <w14:schemeClr w14:val="tx1"/>
                  </w14:solidFill>
                </w14:textFill>
              </w:rPr>
              <w:t>8</w:t>
            </w:r>
            <w:r>
              <w:rPr>
                <w:rFonts w:hint="eastAsia" w:ascii="仿宋" w:hAnsi="仿宋" w:eastAsia="仿宋" w:cs="宋体"/>
                <w:color w:val="000000" w:themeColor="text1"/>
                <w:kern w:val="0"/>
                <w:sz w:val="24"/>
                <w:highlight w:val="none"/>
                <w:lang w:val="zh-CN"/>
                <w14:textFill>
                  <w14:solidFill>
                    <w14:schemeClr w14:val="tx1"/>
                  </w14:solidFill>
                </w14:textFill>
              </w:rPr>
              <w:t>月</w:t>
            </w:r>
            <w:r>
              <w:rPr>
                <w:rFonts w:hint="eastAsia" w:ascii="仿宋" w:hAnsi="仿宋" w:eastAsia="仿宋" w:cs="宋体"/>
                <w:color w:val="000000" w:themeColor="text1"/>
                <w:kern w:val="0"/>
                <w:sz w:val="24"/>
                <w:highlight w:val="none"/>
                <w:lang w:val="en-US" w:eastAsia="zh-CN"/>
                <w14:textFill>
                  <w14:solidFill>
                    <w14:schemeClr w14:val="tx1"/>
                  </w14:solidFill>
                </w14:textFill>
              </w:rPr>
              <w:t>15</w:t>
            </w:r>
            <w:r>
              <w:rPr>
                <w:rFonts w:hint="eastAsia" w:ascii="仿宋" w:hAnsi="仿宋" w:eastAsia="仿宋" w:cs="宋体"/>
                <w:color w:val="000000" w:themeColor="text1"/>
                <w:kern w:val="0"/>
                <w:sz w:val="24"/>
                <w:highlight w:val="none"/>
                <w:lang w:val="zh-CN"/>
                <w14:textFill>
                  <w14:solidFill>
                    <w14:schemeClr w14:val="tx1"/>
                  </w14:solidFill>
                </w14:textFill>
              </w:rPr>
              <w:t>日</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1</w:t>
            </w:r>
            <w:r>
              <w:rPr>
                <w:rFonts w:hint="eastAsia" w:ascii="仿宋" w:hAnsi="仿宋" w:eastAsia="仿宋" w:cs="宋体"/>
                <w:color w:val="000000" w:themeColor="text1"/>
                <w:kern w:val="0"/>
                <w:sz w:val="24"/>
                <w:highlight w:val="none"/>
                <w:lang w:val="en-US" w:eastAsia="zh-CN"/>
                <w14:textFill>
                  <w14:solidFill>
                    <w14:schemeClr w14:val="tx1"/>
                  </w14:solidFill>
                </w14:textFill>
              </w:rPr>
              <w:t>4</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报名要求</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（1）营业执照副本复印件（加盖单位公章）（2）法人授权委托书或介绍信（3）被授权人身份证复印件被邀请的</w:t>
            </w:r>
            <w:r>
              <w:rPr>
                <w:rFonts w:hint="eastAsia" w:ascii="仿宋" w:hAnsi="仿宋" w:eastAsia="仿宋" w:cs="宋体"/>
                <w:color w:val="000000" w:themeColor="text1"/>
                <w:kern w:val="0"/>
                <w:sz w:val="24"/>
                <w:highlight w:val="none"/>
                <w:lang w:val="zh-CN" w:eastAsia="zh-CN"/>
                <w14:textFill>
                  <w14:solidFill>
                    <w14:schemeClr w14:val="tx1"/>
                  </w14:solidFill>
                </w14:textFill>
              </w:rPr>
              <w:t>投标人</w:t>
            </w:r>
            <w:r>
              <w:rPr>
                <w:rFonts w:hint="eastAsia" w:ascii="仿宋" w:hAnsi="仿宋" w:eastAsia="仿宋" w:cs="宋体"/>
                <w:color w:val="000000" w:themeColor="text1"/>
                <w:kern w:val="0"/>
                <w:sz w:val="24"/>
                <w:highlight w:val="none"/>
                <w:lang w:val="zh-CN"/>
                <w14:textFill>
                  <w14:solidFill>
                    <w14:schemeClr w14:val="tx1"/>
                  </w14:solidFill>
                </w14:textFill>
              </w:rPr>
              <w:t>携带以上资料购买询比采购文件。</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1</w:t>
            </w:r>
            <w:r>
              <w:rPr>
                <w:rFonts w:hint="eastAsia" w:ascii="仿宋" w:hAnsi="仿宋" w:eastAsia="仿宋" w:cs="宋体"/>
                <w:color w:val="000000" w:themeColor="text1"/>
                <w:kern w:val="0"/>
                <w:sz w:val="24"/>
                <w:highlight w:val="none"/>
                <w:lang w:val="en-US" w:eastAsia="zh-CN"/>
                <w14:textFill>
                  <w14:solidFill>
                    <w14:schemeClr w14:val="tx1"/>
                  </w14:solidFill>
                </w14:textFill>
              </w:rPr>
              <w:t>5</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5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询比</w:t>
            </w:r>
            <w:r>
              <w:rPr>
                <w:rFonts w:hint="eastAsia" w:ascii="仿宋" w:hAnsi="仿宋" w:eastAsia="仿宋" w:cs="宋体"/>
                <w:color w:val="000000" w:themeColor="text1"/>
                <w:kern w:val="0"/>
                <w:sz w:val="24"/>
                <w:highlight w:val="none"/>
                <w:lang w:val="zh-CN"/>
                <w14:textFill>
                  <w14:solidFill>
                    <w14:schemeClr w14:val="tx1"/>
                  </w14:solidFill>
                </w14:textFill>
              </w:rPr>
              <w:t>文件发售方式</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现场购买</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1</w:t>
            </w:r>
            <w:r>
              <w:rPr>
                <w:rFonts w:hint="eastAsia" w:ascii="仿宋" w:hAnsi="仿宋" w:eastAsia="仿宋" w:cs="宋体"/>
                <w:color w:val="000000" w:themeColor="text1"/>
                <w:kern w:val="0"/>
                <w:sz w:val="24"/>
                <w:highlight w:val="none"/>
                <w:lang w:val="en-US" w:eastAsia="zh-CN"/>
                <w14:textFill>
                  <w14:solidFill>
                    <w14:schemeClr w14:val="tx1"/>
                  </w14:solidFill>
                </w14:textFill>
              </w:rPr>
              <w:t>6</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500" w:lineRule="exac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询比文件售价</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500元（询比文件售后不退, 投标资格不能转让）</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1</w:t>
            </w:r>
            <w:r>
              <w:rPr>
                <w:rFonts w:hint="eastAsia" w:ascii="仿宋" w:hAnsi="仿宋" w:eastAsia="仿宋" w:cs="宋体"/>
                <w:color w:val="000000" w:themeColor="text1"/>
                <w:kern w:val="0"/>
                <w:sz w:val="24"/>
                <w:highlight w:val="none"/>
                <w:lang w:val="en-US" w:eastAsia="zh-CN"/>
                <w14:textFill>
                  <w14:solidFill>
                    <w14:schemeClr w14:val="tx1"/>
                  </w14:solidFill>
                </w14:textFill>
              </w:rPr>
              <w:t>7</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500" w:lineRule="exac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询比文件发售地点</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地</w:t>
            </w:r>
            <w:r>
              <w:rPr>
                <w:rFonts w:hint="eastAsia" w:ascii="仿宋" w:hAnsi="仿宋" w:eastAsia="仿宋" w:cs="宋体"/>
                <w:color w:val="000000" w:themeColor="text1"/>
                <w:kern w:val="0"/>
                <w:sz w:val="24"/>
                <w:highlight w:val="none"/>
                <w:lang w:val="en-US" w:eastAsia="zh-CN"/>
                <w14:textFill>
                  <w14:solidFill>
                    <w14:schemeClr w14:val="tx1"/>
                  </w14:solidFill>
                </w14:textFill>
              </w:rPr>
              <w:t>址：</w:t>
            </w:r>
            <w:r>
              <w:rPr>
                <w:rFonts w:hint="eastAsia" w:ascii="仿宋" w:hAnsi="仿宋" w:eastAsia="仿宋" w:cs="宋体"/>
                <w:color w:val="000000" w:themeColor="text1"/>
                <w:kern w:val="0"/>
                <w:sz w:val="24"/>
                <w:highlight w:val="none"/>
                <w:lang w:val="zh-CN"/>
                <w14:textFill>
                  <w14:solidFill>
                    <w14:schemeClr w14:val="tx1"/>
                  </w14:solidFill>
                </w14:textFill>
              </w:rPr>
              <w:t>青海省西宁市城西区西关大街130号唐府公寓12B层 11219B室</w:t>
            </w:r>
          </w:p>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标书购买联系人：</w:t>
            </w:r>
            <w:r>
              <w:rPr>
                <w:rFonts w:hint="eastAsia" w:ascii="仿宋" w:hAnsi="仿宋" w:eastAsia="仿宋" w:cs="宋体"/>
                <w:color w:val="000000" w:themeColor="text1"/>
                <w:kern w:val="0"/>
                <w:sz w:val="24"/>
                <w:highlight w:val="none"/>
                <w:lang w:val="zh-CN" w:eastAsia="zh-CN"/>
                <w14:textFill>
                  <w14:solidFill>
                    <w14:schemeClr w14:val="tx1"/>
                  </w14:solidFill>
                </w14:textFill>
              </w:rPr>
              <w:t>谢女士</w:t>
            </w:r>
          </w:p>
          <w:p>
            <w:pPr>
              <w:autoSpaceDE w:val="0"/>
              <w:autoSpaceDN w:val="0"/>
              <w:adjustRightInd w:val="0"/>
              <w:spacing w:line="400" w:lineRule="exact"/>
              <w:jc w:val="left"/>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电话：0971-82</w:t>
            </w:r>
            <w:r>
              <w:rPr>
                <w:rFonts w:hint="eastAsia" w:ascii="仿宋" w:hAnsi="仿宋" w:eastAsia="仿宋" w:cs="宋体"/>
                <w:color w:val="000000" w:themeColor="text1"/>
                <w:kern w:val="0"/>
                <w:sz w:val="24"/>
                <w:highlight w:val="none"/>
                <w:lang w:val="en-US" w:eastAsia="zh-CN"/>
                <w14:textFill>
                  <w14:solidFill>
                    <w14:schemeClr w14:val="tx1"/>
                  </w14:solidFill>
                </w14:textFill>
              </w:rPr>
              <w:t>76610</w:t>
            </w:r>
          </w:p>
          <w:p>
            <w:pPr>
              <w:autoSpaceDE w:val="0"/>
              <w:autoSpaceDN w:val="0"/>
              <w:adjustRightInd w:val="0"/>
              <w:spacing w:line="400" w:lineRule="exact"/>
              <w:jc w:val="left"/>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邮箱：</w:t>
            </w:r>
            <w:r>
              <w:rPr>
                <w:rFonts w:hint="eastAsia" w:ascii="仿宋" w:hAnsi="仿宋" w:eastAsia="仿宋" w:cs="宋体"/>
                <w:color w:val="000000" w:themeColor="text1"/>
                <w:kern w:val="0"/>
                <w:sz w:val="24"/>
                <w:highlight w:val="none"/>
                <w:lang w:val="en-US" w:eastAsia="zh-CN"/>
                <w14:textFill>
                  <w14:solidFill>
                    <w14:schemeClr w14:val="tx1"/>
                  </w14:solidFill>
                </w14:textFill>
              </w:rPr>
              <w:t>qhhmzb@163.com</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1</w:t>
            </w:r>
            <w:r>
              <w:rPr>
                <w:rFonts w:hint="eastAsia" w:ascii="仿宋" w:hAnsi="仿宋" w:eastAsia="仿宋" w:cs="宋体"/>
                <w:color w:val="000000" w:themeColor="text1"/>
                <w:kern w:val="0"/>
                <w:sz w:val="24"/>
                <w:highlight w:val="none"/>
                <w:lang w:val="en-US" w:eastAsia="zh-CN"/>
                <w14:textFill>
                  <w14:solidFill>
                    <w14:schemeClr w14:val="tx1"/>
                  </w14:solidFill>
                </w14:textFill>
              </w:rPr>
              <w:t>8</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文件的递交</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现场递交，不接受邮寄投标</w:t>
            </w:r>
          </w:p>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地点：青海省西宁市城西区西关大街130号唐府公寓12B层 11219B室</w:t>
            </w:r>
          </w:p>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截止时间：同开标时间</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19</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投标截止时间</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eastAsia="zh-CN"/>
                <w14:textFill>
                  <w14:solidFill>
                    <w14:schemeClr w14:val="tx1"/>
                  </w14:solidFill>
                </w14:textFill>
              </w:rPr>
              <w:t>202</w:t>
            </w:r>
            <w:r>
              <w:rPr>
                <w:rFonts w:hint="eastAsia" w:ascii="仿宋" w:hAnsi="仿宋" w:eastAsia="仿宋" w:cs="宋体"/>
                <w:color w:val="000000" w:themeColor="text1"/>
                <w:kern w:val="0"/>
                <w:sz w:val="24"/>
                <w:highlight w:val="none"/>
                <w:lang w:val="en-US" w:eastAsia="zh-CN"/>
                <w14:textFill>
                  <w14:solidFill>
                    <w14:schemeClr w14:val="tx1"/>
                  </w14:solidFill>
                </w14:textFill>
              </w:rPr>
              <w:t>1</w:t>
            </w:r>
            <w:r>
              <w:rPr>
                <w:rFonts w:hint="eastAsia" w:ascii="仿宋" w:hAnsi="仿宋" w:eastAsia="仿宋" w:cs="宋体"/>
                <w:color w:val="000000" w:themeColor="text1"/>
                <w:kern w:val="0"/>
                <w:sz w:val="24"/>
                <w:highlight w:val="none"/>
                <w:lang w:val="zh-CN" w:eastAsia="zh-CN"/>
                <w14:textFill>
                  <w14:solidFill>
                    <w14:schemeClr w14:val="tx1"/>
                  </w14:solidFill>
                </w14:textFill>
              </w:rPr>
              <w:t>年</w:t>
            </w:r>
            <w:r>
              <w:rPr>
                <w:rFonts w:hint="eastAsia" w:ascii="仿宋" w:hAnsi="仿宋" w:eastAsia="仿宋" w:cs="宋体"/>
                <w:color w:val="000000" w:themeColor="text1"/>
                <w:kern w:val="0"/>
                <w:sz w:val="24"/>
                <w:highlight w:val="none"/>
                <w:lang w:val="en-US" w:eastAsia="zh-CN"/>
                <w14:textFill>
                  <w14:solidFill>
                    <w14:schemeClr w14:val="tx1"/>
                  </w14:solidFill>
                </w14:textFill>
              </w:rPr>
              <w:t>8</w:t>
            </w:r>
            <w:r>
              <w:rPr>
                <w:rFonts w:hint="eastAsia" w:ascii="仿宋" w:hAnsi="仿宋" w:eastAsia="仿宋" w:cs="宋体"/>
                <w:color w:val="000000" w:themeColor="text1"/>
                <w:kern w:val="0"/>
                <w:sz w:val="24"/>
                <w:highlight w:val="none"/>
                <w:lang w:val="zh-CN" w:eastAsia="zh-CN"/>
                <w14:textFill>
                  <w14:solidFill>
                    <w14:schemeClr w14:val="tx1"/>
                  </w14:solidFill>
                </w14:textFill>
              </w:rPr>
              <w:t>月</w:t>
            </w:r>
            <w:r>
              <w:rPr>
                <w:rFonts w:hint="eastAsia" w:ascii="仿宋" w:hAnsi="仿宋" w:eastAsia="仿宋" w:cs="宋体"/>
                <w:color w:val="000000" w:themeColor="text1"/>
                <w:kern w:val="0"/>
                <w:sz w:val="24"/>
                <w:highlight w:val="none"/>
                <w:lang w:val="en-US" w:eastAsia="zh-CN"/>
                <w14:textFill>
                  <w14:solidFill>
                    <w14:schemeClr w14:val="tx1"/>
                  </w14:solidFill>
                </w14:textFill>
              </w:rPr>
              <w:t>19</w:t>
            </w:r>
            <w:r>
              <w:rPr>
                <w:rFonts w:hint="eastAsia" w:ascii="仿宋" w:hAnsi="仿宋" w:eastAsia="仿宋" w:cs="宋体"/>
                <w:color w:val="000000" w:themeColor="text1"/>
                <w:kern w:val="0"/>
                <w:sz w:val="24"/>
                <w:highlight w:val="none"/>
                <w:lang w:val="zh-CN" w:eastAsia="zh-CN"/>
                <w14:textFill>
                  <w14:solidFill>
                    <w14:schemeClr w14:val="tx1"/>
                  </w14:solidFill>
                </w14:textFill>
              </w:rPr>
              <w:t>日</w:t>
            </w:r>
            <w:r>
              <w:rPr>
                <w:rFonts w:hint="eastAsia" w:ascii="仿宋" w:hAnsi="仿宋" w:eastAsia="仿宋" w:cs="宋体"/>
                <w:color w:val="000000" w:themeColor="text1"/>
                <w:kern w:val="0"/>
                <w:sz w:val="24"/>
                <w:highlight w:val="none"/>
                <w:lang w:val="en-US" w:eastAsia="zh-CN"/>
                <w14:textFill>
                  <w14:solidFill>
                    <w14:schemeClr w14:val="tx1"/>
                  </w14:solidFill>
                </w14:textFill>
              </w:rPr>
              <w:t>9</w:t>
            </w:r>
            <w:r>
              <w:rPr>
                <w:rFonts w:hint="eastAsia" w:ascii="仿宋" w:hAnsi="仿宋" w:eastAsia="仿宋" w:cs="宋体"/>
                <w:color w:val="000000" w:themeColor="text1"/>
                <w:kern w:val="0"/>
                <w:sz w:val="24"/>
                <w:highlight w:val="none"/>
                <w:lang w:val="zh-CN" w:eastAsia="zh-CN"/>
                <w14:textFill>
                  <w14:solidFill>
                    <w14:schemeClr w14:val="tx1"/>
                  </w14:solidFill>
                </w14:textFill>
              </w:rPr>
              <w:t>时</w:t>
            </w:r>
            <w:r>
              <w:rPr>
                <w:rFonts w:hint="eastAsia" w:ascii="仿宋" w:hAnsi="仿宋" w:eastAsia="仿宋" w:cs="宋体"/>
                <w:color w:val="000000" w:themeColor="text1"/>
                <w:kern w:val="0"/>
                <w:sz w:val="24"/>
                <w:highlight w:val="none"/>
                <w:lang w:val="en-US" w:eastAsia="zh-CN"/>
                <w14:textFill>
                  <w14:solidFill>
                    <w14:schemeClr w14:val="tx1"/>
                  </w14:solidFill>
                </w14:textFill>
              </w:rPr>
              <w:t>30</w:t>
            </w:r>
            <w:r>
              <w:rPr>
                <w:rFonts w:hint="eastAsia" w:ascii="仿宋" w:hAnsi="仿宋" w:eastAsia="仿宋" w:cs="宋体"/>
                <w:color w:val="000000" w:themeColor="text1"/>
                <w:kern w:val="0"/>
                <w:sz w:val="24"/>
                <w:highlight w:val="none"/>
                <w:lang w:val="zh-CN" w:eastAsia="zh-CN"/>
                <w14:textFill>
                  <w14:solidFill>
                    <w14:schemeClr w14:val="tx1"/>
                  </w14:solidFill>
                </w14:textFill>
              </w:rPr>
              <w:t>分</w:t>
            </w:r>
            <w:r>
              <w:rPr>
                <w:rFonts w:hint="eastAsia" w:ascii="仿宋" w:hAnsi="仿宋" w:eastAsia="仿宋" w:cs="宋体"/>
                <w:color w:val="000000" w:themeColor="text1"/>
                <w:kern w:val="0"/>
                <w:sz w:val="24"/>
                <w:highlight w:val="none"/>
                <w:lang w:val="zh-CN"/>
                <w14:textFill>
                  <w14:solidFill>
                    <w14:schemeClr w14:val="tx1"/>
                  </w14:solidFill>
                </w14:textFill>
              </w:rPr>
              <w:t>（北京时间）</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20</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询比时间</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eastAsia="zh-CN"/>
                <w14:textFill>
                  <w14:solidFill>
                    <w14:schemeClr w14:val="tx1"/>
                  </w14:solidFill>
                </w14:textFill>
              </w:rPr>
              <w:t>202</w:t>
            </w:r>
            <w:r>
              <w:rPr>
                <w:rFonts w:hint="eastAsia" w:ascii="仿宋" w:hAnsi="仿宋" w:eastAsia="仿宋" w:cs="宋体"/>
                <w:color w:val="000000" w:themeColor="text1"/>
                <w:kern w:val="0"/>
                <w:sz w:val="24"/>
                <w:highlight w:val="none"/>
                <w:lang w:val="en-US" w:eastAsia="zh-CN"/>
                <w14:textFill>
                  <w14:solidFill>
                    <w14:schemeClr w14:val="tx1"/>
                  </w14:solidFill>
                </w14:textFill>
              </w:rPr>
              <w:t>1</w:t>
            </w:r>
            <w:r>
              <w:rPr>
                <w:rFonts w:hint="eastAsia" w:ascii="仿宋" w:hAnsi="仿宋" w:eastAsia="仿宋" w:cs="宋体"/>
                <w:color w:val="000000" w:themeColor="text1"/>
                <w:kern w:val="0"/>
                <w:sz w:val="24"/>
                <w:highlight w:val="none"/>
                <w:lang w:val="zh-CN" w:eastAsia="zh-CN"/>
                <w14:textFill>
                  <w14:solidFill>
                    <w14:schemeClr w14:val="tx1"/>
                  </w14:solidFill>
                </w14:textFill>
              </w:rPr>
              <w:t>年</w:t>
            </w:r>
            <w:r>
              <w:rPr>
                <w:rFonts w:hint="eastAsia" w:ascii="仿宋" w:hAnsi="仿宋" w:eastAsia="仿宋" w:cs="宋体"/>
                <w:color w:val="000000" w:themeColor="text1"/>
                <w:kern w:val="0"/>
                <w:sz w:val="24"/>
                <w:highlight w:val="none"/>
                <w:lang w:val="en-US" w:eastAsia="zh-CN"/>
                <w14:textFill>
                  <w14:solidFill>
                    <w14:schemeClr w14:val="tx1"/>
                  </w14:solidFill>
                </w14:textFill>
              </w:rPr>
              <w:t>8</w:t>
            </w:r>
            <w:r>
              <w:rPr>
                <w:rFonts w:hint="eastAsia" w:ascii="仿宋" w:hAnsi="仿宋" w:eastAsia="仿宋" w:cs="宋体"/>
                <w:color w:val="000000" w:themeColor="text1"/>
                <w:kern w:val="0"/>
                <w:sz w:val="24"/>
                <w:highlight w:val="none"/>
                <w:lang w:val="zh-CN" w:eastAsia="zh-CN"/>
                <w14:textFill>
                  <w14:solidFill>
                    <w14:schemeClr w14:val="tx1"/>
                  </w14:solidFill>
                </w14:textFill>
              </w:rPr>
              <w:t>月</w:t>
            </w:r>
            <w:r>
              <w:rPr>
                <w:rFonts w:hint="eastAsia" w:ascii="仿宋" w:hAnsi="仿宋" w:eastAsia="仿宋" w:cs="宋体"/>
                <w:color w:val="000000" w:themeColor="text1"/>
                <w:kern w:val="0"/>
                <w:sz w:val="24"/>
                <w:highlight w:val="none"/>
                <w:lang w:val="en-US" w:eastAsia="zh-CN"/>
                <w14:textFill>
                  <w14:solidFill>
                    <w14:schemeClr w14:val="tx1"/>
                  </w14:solidFill>
                </w14:textFill>
              </w:rPr>
              <w:t>19</w:t>
            </w:r>
            <w:r>
              <w:rPr>
                <w:rFonts w:hint="eastAsia" w:ascii="仿宋" w:hAnsi="仿宋" w:eastAsia="仿宋" w:cs="宋体"/>
                <w:color w:val="000000" w:themeColor="text1"/>
                <w:kern w:val="0"/>
                <w:sz w:val="24"/>
                <w:highlight w:val="none"/>
                <w:lang w:val="zh-CN" w:eastAsia="zh-CN"/>
                <w14:textFill>
                  <w14:solidFill>
                    <w14:schemeClr w14:val="tx1"/>
                  </w14:solidFill>
                </w14:textFill>
              </w:rPr>
              <w:t>日</w:t>
            </w:r>
            <w:r>
              <w:rPr>
                <w:rFonts w:hint="eastAsia" w:ascii="仿宋" w:hAnsi="仿宋" w:eastAsia="仿宋" w:cs="宋体"/>
                <w:color w:val="000000" w:themeColor="text1"/>
                <w:kern w:val="0"/>
                <w:sz w:val="24"/>
                <w:highlight w:val="none"/>
                <w:lang w:val="en-US" w:eastAsia="zh-CN"/>
                <w14:textFill>
                  <w14:solidFill>
                    <w14:schemeClr w14:val="tx1"/>
                  </w14:solidFill>
                </w14:textFill>
              </w:rPr>
              <w:t>9</w:t>
            </w:r>
            <w:r>
              <w:rPr>
                <w:rFonts w:hint="eastAsia" w:ascii="仿宋" w:hAnsi="仿宋" w:eastAsia="仿宋" w:cs="宋体"/>
                <w:color w:val="000000" w:themeColor="text1"/>
                <w:kern w:val="0"/>
                <w:sz w:val="24"/>
                <w:highlight w:val="none"/>
                <w:lang w:val="zh-CN" w:eastAsia="zh-CN"/>
                <w14:textFill>
                  <w14:solidFill>
                    <w14:schemeClr w14:val="tx1"/>
                  </w14:solidFill>
                </w14:textFill>
              </w:rPr>
              <w:t>时</w:t>
            </w:r>
            <w:r>
              <w:rPr>
                <w:rFonts w:hint="eastAsia" w:ascii="仿宋" w:hAnsi="仿宋" w:eastAsia="仿宋" w:cs="宋体"/>
                <w:color w:val="000000" w:themeColor="text1"/>
                <w:kern w:val="0"/>
                <w:sz w:val="24"/>
                <w:highlight w:val="none"/>
                <w:lang w:val="en-US" w:eastAsia="zh-CN"/>
                <w14:textFill>
                  <w14:solidFill>
                    <w14:schemeClr w14:val="tx1"/>
                  </w14:solidFill>
                </w14:textFill>
              </w:rPr>
              <w:t>30</w:t>
            </w:r>
            <w:r>
              <w:rPr>
                <w:rFonts w:hint="eastAsia" w:ascii="仿宋" w:hAnsi="仿宋" w:eastAsia="仿宋" w:cs="宋体"/>
                <w:color w:val="000000" w:themeColor="text1"/>
                <w:kern w:val="0"/>
                <w:sz w:val="24"/>
                <w:highlight w:val="none"/>
                <w:lang w:val="zh-CN" w:eastAsia="zh-CN"/>
                <w14:textFill>
                  <w14:solidFill>
                    <w14:schemeClr w14:val="tx1"/>
                  </w14:solidFill>
                </w14:textFill>
              </w:rPr>
              <w:t>分</w:t>
            </w:r>
            <w:r>
              <w:rPr>
                <w:rFonts w:hint="eastAsia" w:ascii="仿宋" w:hAnsi="仿宋" w:eastAsia="仿宋" w:cs="宋体"/>
                <w:color w:val="000000" w:themeColor="text1"/>
                <w:kern w:val="0"/>
                <w:sz w:val="24"/>
                <w:highlight w:val="none"/>
                <w:lang w:val="zh-CN"/>
                <w14:textFill>
                  <w14:solidFill>
                    <w14:schemeClr w14:val="tx1"/>
                  </w14:solidFill>
                </w14:textFill>
              </w:rPr>
              <w:t>（北京时间）</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2</w:t>
            </w:r>
            <w:r>
              <w:rPr>
                <w:rFonts w:hint="eastAsia" w:ascii="仿宋" w:hAnsi="仿宋" w:eastAsia="仿宋" w:cs="宋体"/>
                <w:color w:val="000000" w:themeColor="text1"/>
                <w:kern w:val="0"/>
                <w:sz w:val="24"/>
                <w:highlight w:val="none"/>
                <w:lang w:val="en-US" w:eastAsia="zh-CN"/>
                <w14:textFill>
                  <w14:solidFill>
                    <w14:schemeClr w14:val="tx1"/>
                  </w14:solidFill>
                </w14:textFill>
              </w:rPr>
              <w:t>1</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询比地点</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青海省西宁市城西区西关大街130号唐府公寓12B层 11219B室</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2</w:t>
            </w:r>
            <w:r>
              <w:rPr>
                <w:rFonts w:hint="eastAsia" w:ascii="仿宋" w:hAnsi="仿宋" w:eastAsia="仿宋" w:cs="宋体"/>
                <w:color w:val="000000" w:themeColor="text1"/>
                <w:kern w:val="0"/>
                <w:sz w:val="24"/>
                <w:highlight w:val="none"/>
                <w:lang w:val="en-US" w:eastAsia="zh-CN"/>
                <w14:textFill>
                  <w14:solidFill>
                    <w14:schemeClr w14:val="tx1"/>
                  </w14:solidFill>
                </w14:textFill>
              </w:rPr>
              <w:t>2</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响应文件</w:t>
            </w:r>
          </w:p>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答疑澄清方式</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采用现场答疑。投标人须提供准确的联系方式（手机和固定电话），应在规定的时间内到达评审现场进行答疑澄清，如在规定的时间内联系无果或未按时到达的，视同放弃答疑。</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2</w:t>
            </w:r>
            <w:r>
              <w:rPr>
                <w:rFonts w:hint="eastAsia" w:ascii="仿宋" w:hAnsi="仿宋" w:eastAsia="仿宋" w:cs="宋体"/>
                <w:color w:val="000000" w:themeColor="text1"/>
                <w:kern w:val="0"/>
                <w:sz w:val="24"/>
                <w:highlight w:val="none"/>
                <w:lang w:val="en-US" w:eastAsia="zh-CN"/>
                <w14:textFill>
                  <w14:solidFill>
                    <w14:schemeClr w14:val="tx1"/>
                  </w14:solidFill>
                </w14:textFill>
              </w:rPr>
              <w:t>3</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代理服务费收取</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收取对象：招标代理协议执行</w:t>
            </w:r>
          </w:p>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收费标准：根据《关于进一步放开建设项目专项业务服务价格的通知》（发改价格[2015]299号）及采购代理合同的约定，在合同签订前向采购代理机构交纳招标代理服务费。</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2</w:t>
            </w:r>
            <w:r>
              <w:rPr>
                <w:rFonts w:hint="eastAsia" w:ascii="仿宋" w:hAnsi="仿宋" w:eastAsia="仿宋" w:cs="宋体"/>
                <w:color w:val="000000" w:themeColor="text1"/>
                <w:kern w:val="0"/>
                <w:sz w:val="24"/>
                <w:highlight w:val="none"/>
                <w:lang w:val="en-US" w:eastAsia="zh-CN"/>
                <w14:textFill>
                  <w14:solidFill>
                    <w14:schemeClr w14:val="tx1"/>
                  </w14:solidFill>
                </w14:textFill>
              </w:rPr>
              <w:t>4</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合同签订有效期</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自成交通知书发出之日起30日内与采购人签订合同。</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2</w:t>
            </w:r>
            <w:r>
              <w:rPr>
                <w:rFonts w:hint="eastAsia" w:ascii="仿宋" w:hAnsi="仿宋" w:eastAsia="仿宋" w:cs="宋体"/>
                <w:color w:val="000000" w:themeColor="text1"/>
                <w:kern w:val="0"/>
                <w:sz w:val="24"/>
                <w:highlight w:val="none"/>
                <w:lang w:val="en-US" w:eastAsia="zh-CN"/>
                <w14:textFill>
                  <w14:solidFill>
                    <w14:schemeClr w14:val="tx1"/>
                  </w14:solidFill>
                </w14:textFill>
              </w:rPr>
              <w:t>5</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合同备案</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采购合同全数返回采购代理机构鉴证，盖章。</w:t>
            </w:r>
          </w:p>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采购代理机构留存贰份原件备案。</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2</w:t>
            </w:r>
            <w:r>
              <w:rPr>
                <w:rFonts w:hint="eastAsia" w:ascii="仿宋" w:hAnsi="仿宋" w:eastAsia="仿宋" w:cs="宋体"/>
                <w:color w:val="000000" w:themeColor="text1"/>
                <w:kern w:val="0"/>
                <w:sz w:val="24"/>
                <w:highlight w:val="none"/>
                <w:lang w:val="en-US" w:eastAsia="zh-CN"/>
                <w14:textFill>
                  <w14:solidFill>
                    <w14:schemeClr w14:val="tx1"/>
                  </w14:solidFill>
                </w14:textFill>
              </w:rPr>
              <w:t>6</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投标有效期</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本次投标有效期为投标截止之日起</w:t>
            </w:r>
            <w:r>
              <w:rPr>
                <w:rFonts w:hint="eastAsia" w:ascii="仿宋" w:hAnsi="仿宋" w:eastAsia="仿宋" w:cs="Calibri"/>
                <w:color w:val="000000" w:themeColor="text1"/>
                <w:kern w:val="0"/>
                <w:sz w:val="24"/>
                <w:highlight w:val="none"/>
                <w14:textFill>
                  <w14:solidFill>
                    <w14:schemeClr w14:val="tx1"/>
                  </w14:solidFill>
                </w14:textFill>
              </w:rPr>
              <w:t>60</w:t>
            </w:r>
            <w:r>
              <w:rPr>
                <w:rFonts w:hint="eastAsia" w:ascii="仿宋" w:hAnsi="仿宋" w:eastAsia="仿宋" w:cs="宋体"/>
                <w:color w:val="000000" w:themeColor="text1"/>
                <w:kern w:val="0"/>
                <w:sz w:val="24"/>
                <w:highlight w:val="none"/>
                <w:lang w:val="zh-CN"/>
                <w14:textFill>
                  <w14:solidFill>
                    <w14:schemeClr w14:val="tx1"/>
                  </w14:solidFill>
                </w14:textFill>
              </w:rPr>
              <w:t>个日历日。</w:t>
            </w:r>
          </w:p>
        </w:tc>
      </w:tr>
    </w:tbl>
    <w:p>
      <w:pPr>
        <w:pStyle w:val="48"/>
        <w:rPr>
          <w:rFonts w:hint="eastAsia"/>
          <w:lang w:val="zh-CN"/>
        </w:rPr>
      </w:pPr>
    </w:p>
    <w:p>
      <w:pPr>
        <w:pStyle w:val="22"/>
        <w:ind w:firstLine="2891" w:firstLineChars="800"/>
        <w:jc w:val="both"/>
        <w:rPr>
          <w:rFonts w:hint="eastAsia" w:ascii="仿宋" w:hAnsi="仿宋" w:eastAsia="仿宋" w:cs="Times New Roman"/>
          <w:color w:val="000000" w:themeColor="text1"/>
          <w:highlight w:val="none"/>
          <w:lang w:val="zh-CN"/>
          <w14:textFill>
            <w14:solidFill>
              <w14:schemeClr w14:val="tx1"/>
            </w14:solidFill>
          </w14:textFill>
        </w:rPr>
      </w:pPr>
      <w:bookmarkStart w:id="11" w:name="_Toc13701"/>
    </w:p>
    <w:p>
      <w:pPr>
        <w:pStyle w:val="22"/>
        <w:ind w:firstLine="2530" w:firstLineChars="700"/>
        <w:jc w:val="both"/>
        <w:rPr>
          <w:rFonts w:ascii="仿宋" w:hAnsi="仿宋" w:eastAsia="仿宋" w:cs="Times New Roman"/>
          <w:color w:val="000000" w:themeColor="text1"/>
          <w:highlight w:val="none"/>
          <w:lang w:val="zh-CN"/>
          <w14:textFill>
            <w14:solidFill>
              <w14:schemeClr w14:val="tx1"/>
            </w14:solidFill>
          </w14:textFill>
        </w:rPr>
      </w:pPr>
      <w:r>
        <w:rPr>
          <w:rFonts w:hint="eastAsia" w:ascii="仿宋" w:hAnsi="仿宋" w:eastAsia="仿宋" w:cs="Times New Roman"/>
          <w:color w:val="000000" w:themeColor="text1"/>
          <w:highlight w:val="none"/>
          <w:lang w:val="zh-CN"/>
          <w14:textFill>
            <w14:solidFill>
              <w14:schemeClr w14:val="tx1"/>
            </w14:solidFill>
          </w14:textFill>
        </w:rPr>
        <w:t xml:space="preserve">第三部分 </w:t>
      </w:r>
      <w:r>
        <w:rPr>
          <w:rFonts w:ascii="仿宋" w:hAnsi="仿宋" w:eastAsia="仿宋" w:cs="Times New Roman"/>
          <w:color w:val="000000" w:themeColor="text1"/>
          <w:highlight w:val="none"/>
          <w:lang w:val="zh-CN"/>
          <w14:textFill>
            <w14:solidFill>
              <w14:schemeClr w14:val="tx1"/>
            </w14:solidFill>
          </w14:textFill>
        </w:rPr>
        <w:t xml:space="preserve"> </w:t>
      </w:r>
      <w:r>
        <w:rPr>
          <w:rFonts w:hint="eastAsia" w:ascii="仿宋" w:hAnsi="仿宋" w:eastAsia="仿宋" w:cs="Times New Roman"/>
          <w:color w:val="000000" w:themeColor="text1"/>
          <w:highlight w:val="none"/>
          <w:lang w:val="zh-CN"/>
          <w14:textFill>
            <w14:solidFill>
              <w14:schemeClr w14:val="tx1"/>
            </w14:solidFill>
          </w14:textFill>
        </w:rPr>
        <w:t>投标人须知</w:t>
      </w:r>
      <w:bookmarkEnd w:id="11"/>
    </w:p>
    <w:p>
      <w:pPr>
        <w:pStyle w:val="4"/>
        <w:keepNext w:val="0"/>
        <w:keepLines w:val="0"/>
        <w:spacing w:before="0" w:after="0" w:line="360" w:lineRule="auto"/>
        <w:jc w:val="left"/>
        <w:rPr>
          <w:rFonts w:ascii="仿宋" w:hAnsi="仿宋" w:eastAsia="仿宋"/>
          <w:color w:val="000000" w:themeColor="text1"/>
          <w:kern w:val="0"/>
          <w:sz w:val="32"/>
          <w:szCs w:val="32"/>
          <w:highlight w:val="none"/>
          <w14:textFill>
            <w14:solidFill>
              <w14:schemeClr w14:val="tx1"/>
            </w14:solidFill>
          </w14:textFill>
        </w:rPr>
      </w:pPr>
      <w:bookmarkStart w:id="12" w:name="_Toc9050"/>
      <w:bookmarkStart w:id="13" w:name="_Toc331584867"/>
      <w:r>
        <w:rPr>
          <w:rFonts w:hint="eastAsia" w:ascii="仿宋" w:hAnsi="仿宋" w:eastAsia="仿宋" w:cs="宋体"/>
          <w:color w:val="000000" w:themeColor="text1"/>
          <w:kern w:val="0"/>
          <w:sz w:val="32"/>
          <w:szCs w:val="32"/>
          <w:highlight w:val="none"/>
          <w14:textFill>
            <w14:solidFill>
              <w14:schemeClr w14:val="tx1"/>
            </w14:solidFill>
          </w14:textFill>
        </w:rPr>
        <w:t>一、询比内容及资格要求</w:t>
      </w:r>
      <w:bookmarkEnd w:id="12"/>
    </w:p>
    <w:p>
      <w:pPr>
        <w:autoSpaceDE w:val="0"/>
        <w:autoSpaceDN w:val="0"/>
        <w:adjustRightInd w:val="0"/>
        <w:spacing w:line="400" w:lineRule="exact"/>
        <w:jc w:val="left"/>
        <w:rPr>
          <w:rFonts w:hint="eastAsia"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1</w:t>
      </w:r>
      <w:r>
        <w:rPr>
          <w:rFonts w:hint="eastAsia" w:ascii="仿宋" w:hAnsi="仿宋" w:eastAsia="仿宋" w:cs="宋体"/>
          <w:b/>
          <w:bCs/>
          <w:color w:val="000000" w:themeColor="text1"/>
          <w:sz w:val="24"/>
          <w:szCs w:val="24"/>
          <w:highlight w:val="none"/>
          <w14:textFill>
            <w14:solidFill>
              <w14:schemeClr w14:val="tx1"/>
            </w14:solidFill>
          </w14:textFill>
        </w:rPr>
        <w:t>询比内容：</w:t>
      </w:r>
      <w:bookmarkEnd w:id="13"/>
      <w:bookmarkStart w:id="14" w:name="_Toc331584868"/>
    </w:p>
    <w:p>
      <w:pPr>
        <w:autoSpaceDE w:val="0"/>
        <w:autoSpaceDN w:val="0"/>
        <w:adjustRightInd w:val="0"/>
        <w:spacing w:line="400" w:lineRule="exact"/>
        <w:jc w:val="left"/>
        <w:rPr>
          <w:rFonts w:hint="default" w:ascii="仿宋" w:hAnsi="仿宋" w:eastAsia="仿宋" w:cs="宋体"/>
          <w:color w:val="000000" w:themeColor="text1"/>
          <w:kern w:val="0"/>
          <w:sz w:val="24"/>
          <w:szCs w:val="20"/>
          <w:highlight w:val="none"/>
          <w:lang w:val="en-US" w:eastAsia="zh-CN" w:bidi="ar-SA"/>
          <w14:textFill>
            <w14:solidFill>
              <w14:schemeClr w14:val="tx1"/>
            </w14:solidFill>
          </w14:textFill>
        </w:rPr>
      </w:pP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color w:val="000000" w:themeColor="text1"/>
          <w:kern w:val="0"/>
          <w:sz w:val="24"/>
          <w:szCs w:val="20"/>
          <w:highlight w:val="none"/>
          <w:lang w:val="en-US" w:eastAsia="zh-CN" w:bidi="ar-SA"/>
          <w14:textFill>
            <w14:solidFill>
              <w14:schemeClr w14:val="tx1"/>
            </w14:solidFill>
          </w14:textFill>
        </w:rPr>
        <w:t>甘德县高原美丽乡村建设项目</w:t>
      </w:r>
    </w:p>
    <w:p>
      <w:pPr>
        <w:autoSpaceDE w:val="0"/>
        <w:autoSpaceDN w:val="0"/>
        <w:adjustRightInd w:val="0"/>
        <w:spacing w:line="400" w:lineRule="exact"/>
        <w:jc w:val="left"/>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2</w:t>
      </w:r>
      <w:r>
        <w:rPr>
          <w:rFonts w:hint="eastAsia" w:ascii="仿宋" w:hAnsi="仿宋" w:eastAsia="仿宋" w:cs="宋体"/>
          <w:b/>
          <w:bCs/>
          <w:color w:val="000000" w:themeColor="text1"/>
          <w:sz w:val="24"/>
          <w:szCs w:val="24"/>
          <w:highlight w:val="none"/>
          <w14:textFill>
            <w14:solidFill>
              <w14:schemeClr w14:val="tx1"/>
            </w14:solidFill>
          </w14:textFill>
        </w:rPr>
        <w:t>资格要求：</w:t>
      </w:r>
      <w:bookmarkEnd w:id="14"/>
    </w:p>
    <w:p>
      <w:pPr>
        <w:pStyle w:val="14"/>
        <w:tabs>
          <w:tab w:val="left" w:pos="840"/>
        </w:tabs>
        <w:spacing w:line="500" w:lineRule="exact"/>
        <w:jc w:val="lef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1、投标人具有独立法人资格，在人员、设备、资金等方面具有相应的能力；</w:t>
      </w:r>
    </w:p>
    <w:p>
      <w:pPr>
        <w:pStyle w:val="14"/>
        <w:tabs>
          <w:tab w:val="left" w:pos="840"/>
        </w:tabs>
        <w:spacing w:line="500" w:lineRule="exact"/>
        <w:jc w:val="lef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2、 经信用中国（www.creditchina.gov.cn）、</w:t>
      </w:r>
      <w:r>
        <w:rPr>
          <w:rFonts w:hint="eastAsia" w:ascii="仿宋" w:hAnsi="仿宋" w:eastAsia="仿宋"/>
          <w:color w:val="000000" w:themeColor="text1"/>
          <w:sz w:val="24"/>
          <w:highlight w:val="none"/>
          <w:lang w:eastAsia="zh-CN"/>
          <w14:textFill>
            <w14:solidFill>
              <w14:schemeClr w14:val="tx1"/>
            </w14:solidFill>
          </w14:textFill>
        </w:rPr>
        <w:t>中国政府采购网</w:t>
      </w:r>
      <w:r>
        <w:rPr>
          <w:rFonts w:hint="eastAsia" w:ascii="仿宋" w:hAnsi="仿宋" w:eastAsia="仿宋"/>
          <w:color w:val="000000" w:themeColor="text1"/>
          <w:sz w:val="24"/>
          <w:highlight w:val="none"/>
          <w14:textFill>
            <w14:solidFill>
              <w14:schemeClr w14:val="tx1"/>
            </w14:solidFill>
          </w14:textFill>
        </w:rPr>
        <w:t>等渠道查询后，列入失信被执行人、重大税收违法案件当事人名单、取消投标资格。（提供“信用中国”</w:t>
      </w:r>
      <w:r>
        <w:rPr>
          <w:rFonts w:hint="eastAsia" w:ascii="仿宋" w:hAnsi="仿宋" w:eastAsia="仿宋"/>
          <w:color w:val="000000" w:themeColor="text1"/>
          <w:sz w:val="24"/>
          <w:highlight w:val="none"/>
          <w:lang w:eastAsia="zh-CN"/>
          <w14:textFill>
            <w14:solidFill>
              <w14:schemeClr w14:val="tx1"/>
            </w14:solidFill>
          </w14:textFill>
        </w:rPr>
        <w:t>中国政府采购网</w:t>
      </w:r>
      <w:r>
        <w:rPr>
          <w:rFonts w:hint="eastAsia" w:ascii="仿宋" w:hAnsi="仿宋" w:eastAsia="仿宋"/>
          <w:color w:val="000000" w:themeColor="text1"/>
          <w:sz w:val="24"/>
          <w:highlight w:val="none"/>
          <w14:textFill>
            <w14:solidFill>
              <w14:schemeClr w14:val="tx1"/>
            </w14:solidFill>
          </w14:textFill>
        </w:rPr>
        <w:t>网站无任何不良记录的查询截图，时间为投标截止时间前</w:t>
      </w:r>
      <w:r>
        <w:rPr>
          <w:rFonts w:hint="eastAsia" w:ascii="仿宋" w:hAnsi="仿宋" w:eastAsia="仿宋"/>
          <w:color w:val="000000" w:themeColor="text1"/>
          <w:sz w:val="24"/>
          <w:highlight w:val="none"/>
          <w:lang w:val="en-US" w:eastAsia="zh-CN"/>
          <w14:textFill>
            <w14:solidFill>
              <w14:schemeClr w14:val="tx1"/>
            </w14:solidFill>
          </w14:textFill>
        </w:rPr>
        <w:t>7</w:t>
      </w:r>
      <w:r>
        <w:rPr>
          <w:rFonts w:hint="eastAsia" w:ascii="仿宋" w:hAnsi="仿宋" w:eastAsia="仿宋"/>
          <w:color w:val="000000" w:themeColor="text1"/>
          <w:sz w:val="24"/>
          <w:highlight w:val="none"/>
          <w14:textFill>
            <w14:solidFill>
              <w14:schemeClr w14:val="tx1"/>
            </w14:solidFill>
          </w14:textFill>
        </w:rPr>
        <w:t>天内）。</w:t>
      </w:r>
    </w:p>
    <w:p>
      <w:pPr>
        <w:pStyle w:val="14"/>
        <w:tabs>
          <w:tab w:val="left" w:pos="840"/>
        </w:tabs>
        <w:spacing w:line="500" w:lineRule="exact"/>
        <w:jc w:val="left"/>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3、本项目不接受联合体投标。</w:t>
      </w:r>
    </w:p>
    <w:p>
      <w:pPr>
        <w:pStyle w:val="14"/>
        <w:tabs>
          <w:tab w:val="left" w:pos="840"/>
        </w:tabs>
        <w:spacing w:line="500" w:lineRule="exact"/>
        <w:jc w:val="left"/>
        <w:rPr>
          <w:rFonts w:hint="eastAsia" w:ascii="仿宋" w:hAnsi="仿宋" w:eastAsia="仿宋"/>
          <w:color w:val="000000" w:themeColor="text1"/>
          <w:kern w:val="2"/>
          <w:sz w:val="24"/>
          <w:highlight w:val="none"/>
          <w14:textFill>
            <w14:solidFill>
              <w14:schemeClr w14:val="tx1"/>
            </w14:solidFill>
          </w14:textFill>
        </w:rPr>
      </w:pPr>
      <w:r>
        <w:rPr>
          <w:rFonts w:hint="eastAsia" w:ascii="仿宋" w:hAnsi="仿宋" w:eastAsia="仿宋"/>
          <w:b w:val="0"/>
          <w:bCs w:val="0"/>
          <w:color w:val="000000" w:themeColor="text1"/>
          <w:kern w:val="2"/>
          <w:sz w:val="24"/>
          <w:highlight w:val="none"/>
          <w:lang w:val="en-US" w:eastAsia="zh-CN"/>
          <w14:textFill>
            <w14:solidFill>
              <w14:schemeClr w14:val="tx1"/>
            </w14:solidFill>
          </w14:textFill>
        </w:rPr>
        <w:t>4</w:t>
      </w:r>
      <w:r>
        <w:rPr>
          <w:rFonts w:hint="eastAsia" w:ascii="仿宋" w:hAnsi="仿宋" w:eastAsia="仿宋"/>
          <w:b w:val="0"/>
          <w:bCs w:val="0"/>
          <w:color w:val="000000" w:themeColor="text1"/>
          <w:kern w:val="2"/>
          <w:sz w:val="24"/>
          <w:highlight w:val="none"/>
          <w14:textFill>
            <w14:solidFill>
              <w14:schemeClr w14:val="tx1"/>
            </w14:solidFill>
          </w14:textFill>
        </w:rPr>
        <w:t>、本次招标采用资格后审。资格审查的具体要求见招标文件。</w:t>
      </w:r>
      <w:r>
        <w:rPr>
          <w:rFonts w:hint="eastAsia" w:ascii="仿宋" w:hAnsi="仿宋" w:eastAsia="仿宋"/>
          <w:color w:val="000000" w:themeColor="text1"/>
          <w:kern w:val="2"/>
          <w:sz w:val="24"/>
          <w:highlight w:val="none"/>
          <w14:textFill>
            <w14:solidFill>
              <w14:schemeClr w14:val="tx1"/>
            </w14:solidFill>
          </w14:textFill>
        </w:rPr>
        <w:t>资格后审不合格的投标人投标文件将被否决。</w:t>
      </w:r>
    </w:p>
    <w:p>
      <w:pPr>
        <w:pStyle w:val="14"/>
        <w:tabs>
          <w:tab w:val="left" w:pos="840"/>
        </w:tabs>
        <w:spacing w:line="500" w:lineRule="exact"/>
        <w:jc w:val="left"/>
        <w:rPr>
          <w:rFonts w:hint="eastAsia" w:ascii="仿宋" w:hAnsi="仿宋" w:eastAsia="仿宋" w:cs="宋体"/>
          <w:color w:val="000000" w:themeColor="text1"/>
          <w:kern w:val="2"/>
          <w:sz w:val="24"/>
          <w:highlight w:val="none"/>
          <w:lang w:eastAsia="zh-CN"/>
          <w14:textFill>
            <w14:solidFill>
              <w14:schemeClr w14:val="tx1"/>
            </w14:solidFill>
          </w14:textFill>
        </w:rPr>
      </w:pPr>
      <w:r>
        <w:rPr>
          <w:rFonts w:hint="eastAsia" w:ascii="仿宋" w:hAnsi="仿宋" w:eastAsia="仿宋"/>
          <w:color w:val="000000" w:themeColor="text1"/>
          <w:kern w:val="2"/>
          <w:sz w:val="24"/>
          <w:highlight w:val="none"/>
          <w:lang w:eastAsia="zh-CN"/>
          <w14:textFill>
            <w14:solidFill>
              <w14:schemeClr w14:val="tx1"/>
            </w14:solidFill>
          </w14:textFill>
        </w:rPr>
        <w:t>其他</w:t>
      </w:r>
      <w:r>
        <w:rPr>
          <w:rFonts w:hint="eastAsia" w:ascii="仿宋" w:hAnsi="仿宋" w:eastAsia="仿宋" w:cs="宋体"/>
          <w:color w:val="000000" w:themeColor="text1"/>
          <w:kern w:val="2"/>
          <w:sz w:val="24"/>
          <w:highlight w:val="none"/>
          <w:lang w:eastAsia="zh-CN"/>
          <w14:textFill>
            <w14:solidFill>
              <w14:schemeClr w14:val="tx1"/>
            </w14:solidFill>
          </w14:textFill>
        </w:rPr>
        <w:t>要求：</w:t>
      </w:r>
    </w:p>
    <w:p>
      <w:pPr>
        <w:pStyle w:val="14"/>
        <w:tabs>
          <w:tab w:val="left" w:pos="840"/>
        </w:tabs>
        <w:spacing w:line="500" w:lineRule="exact"/>
        <w:jc w:val="left"/>
        <w:rPr>
          <w:rFonts w:hint="eastAsia" w:ascii="仿宋" w:hAnsi="仿宋" w:eastAsia="仿宋" w:cs="宋体"/>
          <w:color w:val="000000" w:themeColor="text1"/>
          <w:kern w:val="2"/>
          <w:sz w:val="24"/>
          <w:highlight w:val="none"/>
          <w14:textFill>
            <w14:solidFill>
              <w14:schemeClr w14:val="tx1"/>
            </w14:solidFill>
          </w14:textFill>
        </w:rPr>
      </w:pPr>
      <w:r>
        <w:rPr>
          <w:rFonts w:hint="eastAsia" w:ascii="仿宋" w:hAnsi="仿宋" w:eastAsia="仿宋" w:cs="宋体"/>
          <w:color w:val="000000" w:themeColor="text1"/>
          <w:kern w:val="2"/>
          <w:sz w:val="24"/>
          <w:highlight w:val="none"/>
          <w:lang w:val="en-US" w:eastAsia="zh-CN"/>
          <w14:textFill>
            <w14:solidFill>
              <w14:schemeClr w14:val="tx1"/>
            </w14:solidFill>
          </w14:textFill>
        </w:rPr>
        <w:t>1.</w:t>
      </w:r>
      <w:r>
        <w:rPr>
          <w:rFonts w:hint="eastAsia" w:ascii="仿宋" w:hAnsi="仿宋" w:eastAsia="仿宋" w:cs="宋体"/>
          <w:color w:val="000000" w:themeColor="text1"/>
          <w:kern w:val="2"/>
          <w:sz w:val="24"/>
          <w:highlight w:val="none"/>
          <w14:textFill>
            <w14:solidFill>
              <w14:schemeClr w14:val="tx1"/>
            </w14:solidFill>
          </w14:textFill>
        </w:rPr>
        <w:t>）具备</w:t>
      </w:r>
      <w:r>
        <w:rPr>
          <w:rFonts w:hint="eastAsia" w:ascii="仿宋" w:hAnsi="仿宋" w:eastAsia="仿宋" w:cs="宋体"/>
          <w:color w:val="000000" w:themeColor="text1"/>
          <w:kern w:val="2"/>
          <w:sz w:val="24"/>
          <w:highlight w:val="none"/>
          <w:lang w:eastAsia="zh-CN"/>
          <w14:textFill>
            <w14:solidFill>
              <w14:schemeClr w14:val="tx1"/>
            </w14:solidFill>
          </w14:textFill>
        </w:rPr>
        <w:t>房屋建筑工程</w:t>
      </w:r>
      <w:r>
        <w:rPr>
          <w:rFonts w:hint="eastAsia" w:ascii="仿宋" w:hAnsi="仿宋" w:eastAsia="仿宋" w:cs="宋体"/>
          <w:color w:val="000000" w:themeColor="text1"/>
          <w:kern w:val="2"/>
          <w:sz w:val="24"/>
          <w:highlight w:val="none"/>
          <w14:textFill>
            <w14:solidFill>
              <w14:schemeClr w14:val="tx1"/>
            </w14:solidFill>
          </w14:textFill>
        </w:rPr>
        <w:t>总承包叁级（含）叁级以上资质，并在人员、设备、资金等方面具有相应的施工能力。</w:t>
      </w:r>
    </w:p>
    <w:p>
      <w:pPr>
        <w:pStyle w:val="14"/>
        <w:tabs>
          <w:tab w:val="left" w:pos="840"/>
        </w:tabs>
        <w:spacing w:line="500" w:lineRule="exact"/>
        <w:jc w:val="left"/>
        <w:rPr>
          <w:rFonts w:hint="eastAsia" w:ascii="仿宋" w:hAnsi="仿宋" w:eastAsia="仿宋" w:cs="宋体"/>
          <w:color w:val="000000" w:themeColor="text1"/>
          <w:kern w:val="2"/>
          <w:sz w:val="24"/>
          <w:highlight w:val="none"/>
          <w14:textFill>
            <w14:solidFill>
              <w14:schemeClr w14:val="tx1"/>
            </w14:solidFill>
          </w14:textFill>
        </w:rPr>
      </w:pPr>
      <w:r>
        <w:rPr>
          <w:rFonts w:hint="eastAsia" w:ascii="仿宋" w:hAnsi="仿宋" w:eastAsia="仿宋" w:cs="宋体"/>
          <w:color w:val="000000" w:themeColor="text1"/>
          <w:kern w:val="2"/>
          <w:sz w:val="24"/>
          <w:highlight w:val="none"/>
          <w:lang w:val="en-US" w:eastAsia="zh-CN"/>
          <w14:textFill>
            <w14:solidFill>
              <w14:schemeClr w14:val="tx1"/>
            </w14:solidFill>
          </w14:textFill>
        </w:rPr>
        <w:t>2.</w:t>
      </w:r>
      <w:r>
        <w:rPr>
          <w:rFonts w:hint="eastAsia" w:ascii="仿宋" w:hAnsi="仿宋" w:eastAsia="仿宋" w:cs="宋体"/>
          <w:color w:val="000000" w:themeColor="text1"/>
          <w:kern w:val="2"/>
          <w:sz w:val="24"/>
          <w:highlight w:val="none"/>
          <w14:textFill>
            <w14:solidFill>
              <w14:schemeClr w14:val="tx1"/>
            </w14:solidFill>
          </w14:textFill>
        </w:rPr>
        <w:t>）拟投入本工程的项目经理具备</w:t>
      </w:r>
      <w:r>
        <w:rPr>
          <w:rFonts w:hint="eastAsia" w:ascii="仿宋" w:hAnsi="仿宋" w:eastAsia="仿宋" w:cs="宋体"/>
          <w:color w:val="000000" w:themeColor="text1"/>
          <w:kern w:val="2"/>
          <w:sz w:val="24"/>
          <w:highlight w:val="none"/>
          <w:lang w:val="en-US" w:eastAsia="zh-CN"/>
          <w14:textFill>
            <w14:solidFill>
              <w14:schemeClr w14:val="tx1"/>
            </w14:solidFill>
          </w14:textFill>
        </w:rPr>
        <w:t>房屋建筑工程专业</w:t>
      </w:r>
      <w:r>
        <w:rPr>
          <w:rFonts w:hint="eastAsia" w:ascii="仿宋" w:hAnsi="仿宋" w:eastAsia="仿宋" w:cs="宋体"/>
          <w:color w:val="000000" w:themeColor="text1"/>
          <w:kern w:val="2"/>
          <w:sz w:val="24"/>
          <w:highlight w:val="none"/>
          <w14:textFill>
            <w14:solidFill>
              <w14:schemeClr w14:val="tx1"/>
            </w14:solidFill>
          </w14:textFill>
        </w:rPr>
        <w:t>二级建造师执业资格证、有效的注册证、有效的安全生产考核合格证。</w:t>
      </w:r>
    </w:p>
    <w:p>
      <w:pPr>
        <w:pStyle w:val="14"/>
        <w:tabs>
          <w:tab w:val="left" w:pos="840"/>
        </w:tabs>
        <w:spacing w:line="500" w:lineRule="exact"/>
        <w:jc w:val="left"/>
        <w:rPr>
          <w:rFonts w:hint="eastAsia" w:ascii="仿宋" w:hAnsi="仿宋" w:eastAsia="仿宋" w:cs="宋体"/>
          <w:color w:val="000000" w:themeColor="text1"/>
          <w:kern w:val="2"/>
          <w:sz w:val="24"/>
          <w:highlight w:val="none"/>
          <w14:textFill>
            <w14:solidFill>
              <w14:schemeClr w14:val="tx1"/>
            </w14:solidFill>
          </w14:textFill>
        </w:rPr>
      </w:pPr>
      <w:r>
        <w:rPr>
          <w:rFonts w:hint="eastAsia" w:ascii="仿宋" w:hAnsi="仿宋" w:eastAsia="仿宋" w:cs="宋体"/>
          <w:color w:val="000000" w:themeColor="text1"/>
          <w:kern w:val="2"/>
          <w:sz w:val="24"/>
          <w:highlight w:val="none"/>
          <w:lang w:val="en-US" w:eastAsia="zh-CN"/>
          <w14:textFill>
            <w14:solidFill>
              <w14:schemeClr w14:val="tx1"/>
            </w14:solidFill>
          </w14:textFill>
        </w:rPr>
        <w:t>3.</w:t>
      </w:r>
      <w:r>
        <w:rPr>
          <w:rFonts w:hint="eastAsia" w:ascii="仿宋" w:hAnsi="仿宋" w:eastAsia="仿宋" w:cs="宋体"/>
          <w:color w:val="000000" w:themeColor="text1"/>
          <w:kern w:val="2"/>
          <w:sz w:val="24"/>
          <w:highlight w:val="none"/>
          <w14:textFill>
            <w14:solidFill>
              <w14:schemeClr w14:val="tx1"/>
            </w14:solidFill>
          </w14:textFill>
        </w:rPr>
        <w:t>）拟派技术负责人具备建筑相关专业中级及以上任职资格，项目管理人员中施工员、安全员、质检员、资料员须具有效的相关证件。</w:t>
      </w:r>
    </w:p>
    <w:p>
      <w:pPr>
        <w:pStyle w:val="14"/>
        <w:tabs>
          <w:tab w:val="left" w:pos="840"/>
        </w:tabs>
        <w:spacing w:line="500" w:lineRule="exact"/>
        <w:jc w:val="left"/>
        <w:rPr>
          <w:rFonts w:hint="eastAsia" w:ascii="仿宋" w:hAnsi="仿宋" w:eastAsia="仿宋"/>
          <w:color w:val="000000" w:themeColor="text1"/>
          <w:sz w:val="24"/>
          <w:highlight w:val="none"/>
          <w14:textFill>
            <w14:solidFill>
              <w14:schemeClr w14:val="tx1"/>
            </w14:solidFill>
          </w14:textFill>
        </w:rPr>
      </w:pPr>
    </w:p>
    <w:p>
      <w:pPr>
        <w:pStyle w:val="4"/>
        <w:keepNext w:val="0"/>
        <w:keepLines w:val="0"/>
        <w:spacing w:before="0" w:after="0" w:line="360" w:lineRule="auto"/>
        <w:jc w:val="left"/>
        <w:rPr>
          <w:rFonts w:ascii="仿宋" w:hAnsi="仿宋" w:eastAsia="仿宋" w:cs="宋体"/>
          <w:color w:val="000000" w:themeColor="text1"/>
          <w:kern w:val="0"/>
          <w:sz w:val="32"/>
          <w:szCs w:val="32"/>
          <w:highlight w:val="none"/>
          <w14:textFill>
            <w14:solidFill>
              <w14:schemeClr w14:val="tx1"/>
            </w14:solidFill>
          </w14:textFill>
        </w:rPr>
      </w:pPr>
      <w:bookmarkStart w:id="15" w:name="_Toc21456"/>
      <w:r>
        <w:rPr>
          <w:rFonts w:hint="eastAsia" w:ascii="仿宋" w:hAnsi="仿宋" w:eastAsia="仿宋" w:cs="宋体"/>
          <w:color w:val="000000" w:themeColor="text1"/>
          <w:kern w:val="0"/>
          <w:sz w:val="32"/>
          <w:szCs w:val="32"/>
          <w:highlight w:val="none"/>
          <w14:textFill>
            <w14:solidFill>
              <w14:schemeClr w14:val="tx1"/>
            </w14:solidFill>
          </w14:textFill>
        </w:rPr>
        <w:t>二、询比采购文件</w:t>
      </w:r>
      <w:bookmarkEnd w:id="15"/>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1</w:t>
      </w:r>
      <w:r>
        <w:rPr>
          <w:rFonts w:hint="eastAsia" w:ascii="仿宋" w:hAnsi="仿宋" w:eastAsia="仿宋" w:cs="宋体"/>
          <w:b/>
          <w:bCs/>
          <w:color w:val="000000" w:themeColor="text1"/>
          <w:sz w:val="24"/>
          <w:szCs w:val="24"/>
          <w:highlight w:val="none"/>
          <w14:textFill>
            <w14:solidFill>
              <w14:schemeClr w14:val="tx1"/>
            </w14:solidFill>
          </w14:textFill>
        </w:rPr>
        <w:t>、询比采购文件</w:t>
      </w:r>
    </w:p>
    <w:p>
      <w:pPr>
        <w:autoSpaceDE w:val="0"/>
        <w:autoSpaceDN w:val="0"/>
        <w:adjustRightInd w:val="0"/>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询比采购文件由询比采购文件总目录所列内容组成；</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应详细阅读询比采购文件中所有的事项、格式、条款和规范要求</w:t>
      </w:r>
      <w:r>
        <w:rPr>
          <w:rFonts w:ascii="仿宋" w:hAnsi="仿宋" w:eastAsia="仿宋" w:cs="宋体"/>
          <w:color w:val="000000" w:themeColor="text1"/>
          <w:sz w:val="24"/>
          <w:szCs w:val="24"/>
          <w:highlight w:val="none"/>
          <w14:textFill>
            <w14:solidFill>
              <w14:schemeClr w14:val="tx1"/>
            </w14:solidFill>
          </w14:textFill>
        </w:rPr>
        <w:t>,</w:t>
      </w:r>
      <w:r>
        <w:rPr>
          <w:rFonts w:hint="eastAsia" w:ascii="仿宋" w:hAnsi="仿宋" w:eastAsia="仿宋" w:cs="宋体"/>
          <w:color w:val="000000" w:themeColor="text1"/>
          <w:sz w:val="24"/>
          <w:szCs w:val="24"/>
          <w:highlight w:val="none"/>
          <w14:textFill>
            <w14:solidFill>
              <w14:schemeClr w14:val="tx1"/>
            </w14:solidFill>
          </w14:textFill>
        </w:rPr>
        <w:t>在响应文件中对询比采购文件的各方面都应做出实质性的响应，按照询比采购文件的要求提交全部资料。</w:t>
      </w:r>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2</w:t>
      </w:r>
      <w:r>
        <w:rPr>
          <w:rFonts w:hint="eastAsia" w:ascii="仿宋" w:hAnsi="仿宋" w:eastAsia="仿宋" w:cs="宋体"/>
          <w:b/>
          <w:bCs/>
          <w:color w:val="000000" w:themeColor="text1"/>
          <w:sz w:val="24"/>
          <w:szCs w:val="24"/>
          <w:highlight w:val="none"/>
          <w14:textFill>
            <w14:solidFill>
              <w14:schemeClr w14:val="tx1"/>
            </w14:solidFill>
          </w14:textFill>
        </w:rPr>
        <w:t>、询比采购文件的澄清</w:t>
      </w:r>
    </w:p>
    <w:p>
      <w:pPr>
        <w:autoSpaceDE w:val="0"/>
        <w:autoSpaceDN w:val="0"/>
        <w:adjustRightInd w:val="0"/>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任何要求对询比采购文件进行澄清的</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，均应在询比时间截止前</w:t>
      </w:r>
      <w:r>
        <w:rPr>
          <w:rFonts w:ascii="仿宋" w:hAnsi="仿宋" w:eastAsia="仿宋" w:cs="宋体"/>
          <w:color w:val="000000" w:themeColor="text1"/>
          <w:sz w:val="24"/>
          <w:szCs w:val="24"/>
          <w:highlight w:val="none"/>
          <w14:textFill>
            <w14:solidFill>
              <w14:schemeClr w14:val="tx1"/>
            </w14:solidFill>
          </w14:textFill>
        </w:rPr>
        <w:t>2</w:t>
      </w:r>
      <w:r>
        <w:rPr>
          <w:rFonts w:hint="eastAsia" w:ascii="仿宋" w:hAnsi="仿宋" w:eastAsia="仿宋" w:cs="宋体"/>
          <w:color w:val="000000" w:themeColor="text1"/>
          <w:sz w:val="24"/>
          <w:szCs w:val="24"/>
          <w:highlight w:val="none"/>
          <w14:textFill>
            <w14:solidFill>
              <w14:schemeClr w14:val="tx1"/>
            </w14:solidFill>
          </w14:textFill>
        </w:rPr>
        <w:t>日前按询比采购文件中的通讯地址以书面形式通知采购代理机构，采购代理机构对收到的书面澄清将以书面形式在提交响应文件截止之日</w:t>
      </w: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个工作日前予以答复，并通知其它购买询比采购文件的</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。对询比采购文件中有关表述不准确或难以理解或有疑义的内容，各</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应及时与有关部门人员联系；否则，因此带来的一切不利后果由各</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自负。</w:t>
      </w:r>
    </w:p>
    <w:p>
      <w:pPr>
        <w:spacing w:line="360" w:lineRule="auto"/>
        <w:rPr>
          <w:rFonts w:hint="eastAsia" w:ascii="仿宋" w:hAnsi="仿宋" w:eastAsia="仿宋" w:cs="宋体"/>
          <w:b/>
          <w:bCs/>
          <w:color w:val="000000" w:themeColor="text1"/>
          <w:sz w:val="24"/>
          <w:szCs w:val="24"/>
          <w:highlight w:val="none"/>
          <w:lang w:val="en-US" w:eastAsia="zh-CN"/>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3</w:t>
      </w:r>
      <w:r>
        <w:rPr>
          <w:rFonts w:hint="eastAsia" w:ascii="仿宋" w:hAnsi="仿宋" w:eastAsia="仿宋" w:cs="宋体"/>
          <w:b/>
          <w:bCs/>
          <w:color w:val="000000" w:themeColor="text1"/>
          <w:sz w:val="24"/>
          <w:szCs w:val="24"/>
          <w:highlight w:val="none"/>
          <w14:textFill>
            <w14:solidFill>
              <w14:schemeClr w14:val="tx1"/>
            </w14:solidFill>
          </w14:textFill>
        </w:rPr>
        <w:t>、询比采购文件的修改</w:t>
      </w: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 xml:space="preserve"> </w:t>
      </w:r>
    </w:p>
    <w:p>
      <w:pPr>
        <w:autoSpaceDE w:val="0"/>
        <w:autoSpaceDN w:val="0"/>
        <w:adjustRightInd w:val="0"/>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提交首次响应文件截止之日前，采购人、采购代理机构或者询比小组可以对已发出的询比采购文件进行必要的澄清或者修改，澄清或者修改的内容作为询比采购文件的组成部分。澄清或者修改的内容可能影响响应文件编制的，采购人、采购代理机构或者询比小组应当在提交首次响应文件截止之日</w:t>
      </w: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个工作日前，以书面形式通知所有接收询比采购文件的</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，不足</w:t>
      </w: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个工作日的，应当顺延提交首次响应文件截止之日。</w:t>
      </w:r>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4</w:t>
      </w:r>
      <w:r>
        <w:rPr>
          <w:rFonts w:hint="eastAsia" w:ascii="仿宋" w:hAnsi="仿宋" w:eastAsia="仿宋" w:cs="宋体"/>
          <w:b/>
          <w:bCs/>
          <w:color w:val="000000" w:themeColor="text1"/>
          <w:sz w:val="24"/>
          <w:szCs w:val="24"/>
          <w:highlight w:val="none"/>
          <w14:textFill>
            <w14:solidFill>
              <w14:schemeClr w14:val="tx1"/>
            </w14:solidFill>
          </w14:textFill>
        </w:rPr>
        <w:t>、询比的处理依据</w:t>
      </w:r>
    </w:p>
    <w:p>
      <w:pPr>
        <w:autoSpaceDE w:val="0"/>
        <w:autoSpaceDN w:val="0"/>
        <w:adjustRightInd w:val="0"/>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询比小组有权对在询比过程中出现的一切问题，根据《青海省发展和改革委员会文件</w:t>
      </w:r>
      <w:r>
        <w:rPr>
          <w:rFonts w:ascii="仿宋" w:hAnsi="仿宋" w:eastAsia="仿宋" w:cs="宋体"/>
          <w:color w:val="000000" w:themeColor="text1"/>
          <w:sz w:val="24"/>
          <w:szCs w:val="24"/>
          <w:highlight w:val="none"/>
          <w14:textFill>
            <w14:solidFill>
              <w14:schemeClr w14:val="tx1"/>
            </w14:solidFill>
          </w14:textFill>
        </w:rPr>
        <w:t>——</w:t>
      </w:r>
      <w:r>
        <w:rPr>
          <w:rFonts w:hint="eastAsia" w:ascii="仿宋" w:hAnsi="仿宋" w:eastAsia="仿宋" w:cs="宋体"/>
          <w:color w:val="000000" w:themeColor="text1"/>
          <w:sz w:val="24"/>
          <w:szCs w:val="24"/>
          <w:highlight w:val="none"/>
          <w14:textFill>
            <w14:solidFill>
              <w14:schemeClr w14:val="tx1"/>
            </w14:solidFill>
          </w14:textFill>
        </w:rPr>
        <w:t>关于印发青海省非招标方式招标采购代理规范的通知》青发改法规[2019]184号等的条款，本着公开、公平、公正的原则进行处理。</w:t>
      </w:r>
    </w:p>
    <w:p>
      <w:pPr>
        <w:pStyle w:val="4"/>
        <w:keepNext w:val="0"/>
        <w:keepLines w:val="0"/>
        <w:spacing w:before="0" w:after="0" w:line="360" w:lineRule="auto"/>
        <w:jc w:val="left"/>
        <w:rPr>
          <w:rFonts w:ascii="仿宋" w:hAnsi="仿宋" w:eastAsia="仿宋" w:cs="宋体"/>
          <w:color w:val="000000" w:themeColor="text1"/>
          <w:kern w:val="0"/>
          <w:sz w:val="32"/>
          <w:szCs w:val="32"/>
          <w:highlight w:val="none"/>
          <w14:textFill>
            <w14:solidFill>
              <w14:schemeClr w14:val="tx1"/>
            </w14:solidFill>
          </w14:textFill>
        </w:rPr>
      </w:pPr>
      <w:bookmarkStart w:id="16" w:name="_Toc24734"/>
      <w:r>
        <w:rPr>
          <w:rFonts w:hint="eastAsia" w:ascii="仿宋" w:hAnsi="仿宋" w:eastAsia="仿宋" w:cs="宋体"/>
          <w:color w:val="000000" w:themeColor="text1"/>
          <w:kern w:val="0"/>
          <w:sz w:val="32"/>
          <w:szCs w:val="32"/>
          <w:highlight w:val="none"/>
          <w14:textFill>
            <w14:solidFill>
              <w14:schemeClr w14:val="tx1"/>
            </w14:solidFill>
          </w14:textFill>
        </w:rPr>
        <w:t>三、询比要求</w:t>
      </w:r>
      <w:bookmarkEnd w:id="16"/>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1</w:t>
      </w:r>
      <w:r>
        <w:rPr>
          <w:rFonts w:hint="eastAsia" w:ascii="仿宋" w:hAnsi="仿宋" w:eastAsia="仿宋" w:cs="宋体"/>
          <w:b/>
          <w:bCs/>
          <w:color w:val="000000" w:themeColor="text1"/>
          <w:sz w:val="24"/>
          <w:szCs w:val="24"/>
          <w:highlight w:val="none"/>
          <w14:textFill>
            <w14:solidFill>
              <w14:schemeClr w14:val="tx1"/>
            </w14:solidFill>
          </w14:textFill>
        </w:rPr>
        <w:t>、询比要求</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可根据自身的资质情况和经营范围进行询比，不得将项目再行分解或只响应其中的一部分内容，否则询比无效；询比、成交、签订合同均以本项目为单位进行。</w:t>
      </w:r>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2</w:t>
      </w:r>
      <w:r>
        <w:rPr>
          <w:rFonts w:hint="eastAsia" w:ascii="仿宋" w:hAnsi="仿宋" w:eastAsia="仿宋" w:cs="宋体"/>
          <w:b/>
          <w:bCs/>
          <w:color w:val="000000" w:themeColor="text1"/>
          <w:sz w:val="24"/>
          <w:szCs w:val="24"/>
          <w:highlight w:val="none"/>
          <w14:textFill>
            <w14:solidFill>
              <w14:schemeClr w14:val="tx1"/>
            </w14:solidFill>
          </w14:textFill>
        </w:rPr>
        <w:t>、响应文件的编制</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响应文件必须根据询比采购文件提供的内容及格式编制，并对询比采购文件做出实质性响应；具体内容包括：</w:t>
      </w:r>
    </w:p>
    <w:p>
      <w:pPr>
        <w:spacing w:line="360" w:lineRule="auto"/>
        <w:ind w:firstLine="480" w:firstLineChars="200"/>
        <w:rPr>
          <w:rFonts w:hint="eastAsia" w:ascii="仿宋" w:hAnsi="仿宋" w:eastAsia="仿宋" w:cs="宋体"/>
          <w:color w:val="000000" w:themeColor="text1"/>
          <w:sz w:val="24"/>
          <w:szCs w:val="24"/>
          <w:highlight w:val="none"/>
          <w:lang w:val="zh-CN"/>
          <w14:textFill>
            <w14:solidFill>
              <w14:schemeClr w14:val="tx1"/>
            </w14:solidFill>
          </w14:textFill>
        </w:rPr>
      </w:pPr>
      <w:r>
        <w:rPr>
          <w:rFonts w:hint="eastAsia" w:ascii="仿宋" w:hAnsi="仿宋" w:eastAsia="仿宋" w:cs="宋体"/>
          <w:color w:val="000000" w:themeColor="text1"/>
          <w:sz w:val="24"/>
          <w:szCs w:val="24"/>
          <w:highlight w:val="none"/>
          <w:lang w:val="zh-CN"/>
          <w14:textFill>
            <w14:solidFill>
              <w14:schemeClr w14:val="tx1"/>
            </w14:solidFill>
          </w14:textFill>
        </w:rPr>
        <w:t>（1）响应函</w:t>
      </w:r>
    </w:p>
    <w:p>
      <w:pPr>
        <w:spacing w:line="360" w:lineRule="auto"/>
        <w:ind w:firstLine="480" w:firstLineChars="200"/>
        <w:rPr>
          <w:rFonts w:hint="eastAsia" w:ascii="仿宋" w:hAnsi="仿宋" w:eastAsia="仿宋" w:cs="宋体"/>
          <w:color w:val="000000" w:themeColor="text1"/>
          <w:sz w:val="24"/>
          <w:szCs w:val="24"/>
          <w:highlight w:val="none"/>
          <w:lang w:val="zh-CN"/>
          <w14:textFill>
            <w14:solidFill>
              <w14:schemeClr w14:val="tx1"/>
            </w14:solidFill>
          </w14:textFill>
        </w:rPr>
      </w:pPr>
      <w:r>
        <w:rPr>
          <w:rFonts w:hint="eastAsia" w:ascii="仿宋" w:hAnsi="仿宋" w:eastAsia="仿宋" w:cs="宋体"/>
          <w:color w:val="000000" w:themeColor="text1"/>
          <w:sz w:val="24"/>
          <w:szCs w:val="24"/>
          <w:highlight w:val="none"/>
          <w:lang w:val="zh-CN"/>
          <w14:textFill>
            <w14:solidFill>
              <w14:schemeClr w14:val="tx1"/>
            </w14:solidFill>
          </w14:textFill>
        </w:rPr>
        <w:t>（</w:t>
      </w:r>
      <w:r>
        <w:rPr>
          <w:rFonts w:hint="eastAsia" w:ascii="仿宋" w:hAnsi="仿宋" w:eastAsia="仿宋" w:cs="宋体"/>
          <w:color w:val="000000" w:themeColor="text1"/>
          <w:sz w:val="24"/>
          <w:szCs w:val="24"/>
          <w:highlight w:val="none"/>
          <w:lang w:val="en-US" w:eastAsia="zh-CN"/>
          <w14:textFill>
            <w14:solidFill>
              <w14:schemeClr w14:val="tx1"/>
            </w14:solidFill>
          </w14:textFill>
        </w:rPr>
        <w:t>2</w:t>
      </w:r>
      <w:r>
        <w:rPr>
          <w:rFonts w:hint="eastAsia" w:ascii="仿宋" w:hAnsi="仿宋" w:eastAsia="仿宋" w:cs="宋体"/>
          <w:color w:val="000000" w:themeColor="text1"/>
          <w:sz w:val="24"/>
          <w:szCs w:val="24"/>
          <w:highlight w:val="none"/>
          <w:lang w:val="zh-CN"/>
          <w14:textFill>
            <w14:solidFill>
              <w14:schemeClr w14:val="tx1"/>
            </w14:solidFill>
          </w14:textFill>
        </w:rPr>
        <w:t>）投标报价</w:t>
      </w:r>
    </w:p>
    <w:p>
      <w:pPr>
        <w:spacing w:line="360" w:lineRule="auto"/>
        <w:ind w:firstLine="480" w:firstLineChars="200"/>
        <w:rPr>
          <w:rFonts w:hint="eastAsia" w:ascii="仿宋" w:hAnsi="仿宋" w:eastAsia="仿宋" w:cs="宋体"/>
          <w:color w:val="000000" w:themeColor="text1"/>
          <w:sz w:val="24"/>
          <w:szCs w:val="24"/>
          <w:highlight w:val="none"/>
          <w:lang w:val="zh-CN"/>
          <w14:textFill>
            <w14:solidFill>
              <w14:schemeClr w14:val="tx1"/>
            </w14:solidFill>
          </w14:textFill>
        </w:rPr>
      </w:pPr>
      <w:r>
        <w:rPr>
          <w:rFonts w:hint="eastAsia" w:ascii="仿宋" w:hAnsi="仿宋" w:eastAsia="仿宋" w:cs="宋体"/>
          <w:color w:val="000000" w:themeColor="text1"/>
          <w:sz w:val="24"/>
          <w:szCs w:val="24"/>
          <w:highlight w:val="none"/>
          <w:lang w:val="zh-CN"/>
          <w14:textFill>
            <w14:solidFill>
              <w14:schemeClr w14:val="tx1"/>
            </w14:solidFill>
          </w14:textFill>
        </w:rPr>
        <w:t>（</w:t>
      </w:r>
      <w:r>
        <w:rPr>
          <w:rFonts w:hint="eastAsia" w:ascii="仿宋" w:hAnsi="仿宋" w:eastAsia="仿宋" w:cs="宋体"/>
          <w:color w:val="000000" w:themeColor="text1"/>
          <w:sz w:val="24"/>
          <w:szCs w:val="24"/>
          <w:highlight w:val="none"/>
          <w:lang w:val="en-US" w:eastAsia="zh-CN"/>
          <w14:textFill>
            <w14:solidFill>
              <w14:schemeClr w14:val="tx1"/>
            </w14:solidFill>
          </w14:textFill>
        </w:rPr>
        <w:t>3</w:t>
      </w:r>
      <w:r>
        <w:rPr>
          <w:rFonts w:hint="eastAsia" w:ascii="仿宋" w:hAnsi="仿宋" w:eastAsia="仿宋" w:cs="宋体"/>
          <w:color w:val="000000" w:themeColor="text1"/>
          <w:sz w:val="24"/>
          <w:szCs w:val="24"/>
          <w:highlight w:val="none"/>
          <w:lang w:val="zh-CN"/>
          <w14:textFill>
            <w14:solidFill>
              <w14:schemeClr w14:val="tx1"/>
            </w14:solidFill>
          </w14:textFill>
        </w:rPr>
        <w:t>）法定代表人证明书</w:t>
      </w:r>
    </w:p>
    <w:p>
      <w:pPr>
        <w:spacing w:line="360" w:lineRule="auto"/>
        <w:ind w:firstLine="480" w:firstLineChars="200"/>
        <w:rPr>
          <w:rFonts w:hint="eastAsia" w:ascii="仿宋" w:hAnsi="仿宋" w:eastAsia="仿宋" w:cs="宋体"/>
          <w:color w:val="000000" w:themeColor="text1"/>
          <w:sz w:val="24"/>
          <w:szCs w:val="24"/>
          <w:highlight w:val="none"/>
          <w:lang w:val="zh-CN"/>
          <w14:textFill>
            <w14:solidFill>
              <w14:schemeClr w14:val="tx1"/>
            </w14:solidFill>
          </w14:textFill>
        </w:rPr>
      </w:pPr>
      <w:r>
        <w:rPr>
          <w:rFonts w:hint="eastAsia" w:ascii="仿宋" w:hAnsi="仿宋" w:eastAsia="仿宋" w:cs="宋体"/>
          <w:color w:val="000000" w:themeColor="text1"/>
          <w:sz w:val="24"/>
          <w:szCs w:val="24"/>
          <w:highlight w:val="none"/>
          <w:lang w:val="zh-CN"/>
          <w14:textFill>
            <w14:solidFill>
              <w14:schemeClr w14:val="tx1"/>
            </w14:solidFill>
          </w14:textFill>
        </w:rPr>
        <w:t>（</w:t>
      </w:r>
      <w:r>
        <w:rPr>
          <w:rFonts w:hint="eastAsia" w:ascii="仿宋" w:hAnsi="仿宋" w:eastAsia="仿宋" w:cs="宋体"/>
          <w:color w:val="000000" w:themeColor="text1"/>
          <w:sz w:val="24"/>
          <w:szCs w:val="24"/>
          <w:highlight w:val="none"/>
          <w:lang w:val="en-US" w:eastAsia="zh-CN"/>
          <w14:textFill>
            <w14:solidFill>
              <w14:schemeClr w14:val="tx1"/>
            </w14:solidFill>
          </w14:textFill>
        </w:rPr>
        <w:t>4</w:t>
      </w:r>
      <w:r>
        <w:rPr>
          <w:rFonts w:hint="eastAsia" w:ascii="仿宋" w:hAnsi="仿宋" w:eastAsia="仿宋" w:cs="宋体"/>
          <w:color w:val="000000" w:themeColor="text1"/>
          <w:sz w:val="24"/>
          <w:szCs w:val="24"/>
          <w:highlight w:val="none"/>
          <w:lang w:val="zh-CN"/>
          <w14:textFill>
            <w14:solidFill>
              <w14:schemeClr w14:val="tx1"/>
            </w14:solidFill>
          </w14:textFill>
        </w:rPr>
        <w:t>）法定代表人授权书</w:t>
      </w:r>
    </w:p>
    <w:p>
      <w:pPr>
        <w:spacing w:line="360" w:lineRule="auto"/>
        <w:ind w:firstLine="480" w:firstLineChars="200"/>
        <w:rPr>
          <w:rFonts w:hint="eastAsia" w:ascii="仿宋" w:hAnsi="仿宋" w:eastAsia="仿宋" w:cs="宋体"/>
          <w:color w:val="000000" w:themeColor="text1"/>
          <w:sz w:val="24"/>
          <w:szCs w:val="24"/>
          <w:highlight w:val="none"/>
          <w:lang w:val="zh-CN"/>
          <w14:textFill>
            <w14:solidFill>
              <w14:schemeClr w14:val="tx1"/>
            </w14:solidFill>
          </w14:textFill>
        </w:rPr>
      </w:pPr>
      <w:r>
        <w:rPr>
          <w:rFonts w:hint="eastAsia" w:ascii="仿宋" w:hAnsi="仿宋" w:eastAsia="仿宋" w:cs="宋体"/>
          <w:color w:val="000000" w:themeColor="text1"/>
          <w:sz w:val="24"/>
          <w:szCs w:val="24"/>
          <w:highlight w:val="none"/>
          <w:lang w:val="zh-CN"/>
          <w14:textFill>
            <w14:solidFill>
              <w14:schemeClr w14:val="tx1"/>
            </w14:solidFill>
          </w14:textFill>
        </w:rPr>
        <w:t>（</w:t>
      </w:r>
      <w:r>
        <w:rPr>
          <w:rFonts w:hint="eastAsia" w:ascii="仿宋" w:hAnsi="仿宋" w:eastAsia="仿宋" w:cs="宋体"/>
          <w:color w:val="000000" w:themeColor="text1"/>
          <w:sz w:val="24"/>
          <w:szCs w:val="24"/>
          <w:highlight w:val="none"/>
          <w:lang w:val="en-US" w:eastAsia="zh-CN"/>
          <w14:textFill>
            <w14:solidFill>
              <w14:schemeClr w14:val="tx1"/>
            </w14:solidFill>
          </w14:textFill>
        </w:rPr>
        <w:t>5</w:t>
      </w:r>
      <w:r>
        <w:rPr>
          <w:rFonts w:hint="eastAsia" w:ascii="仿宋" w:hAnsi="仿宋" w:eastAsia="仿宋" w:cs="宋体"/>
          <w:color w:val="000000" w:themeColor="text1"/>
          <w:sz w:val="24"/>
          <w:szCs w:val="24"/>
          <w:highlight w:val="none"/>
          <w:lang w:val="zh-CN"/>
          <w14:textFill>
            <w14:solidFill>
              <w14:schemeClr w14:val="tx1"/>
            </w14:solidFill>
          </w14:textFill>
        </w:rPr>
        <w:t>）投标人诚信承诺函</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(6)施工组织设计方案</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（7）项目管理机构</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（8）资格证明材料</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（9）近年财务状况表、依法缴纳税收和社会保障金的相关材料</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（10）几年完成的类似项目情况表</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（11）近年发生的诉讼及仲裁情况</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（12）近三年内，在经营活动中没有重大违法记录声明</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（13）投标保证金证明</w:t>
      </w:r>
    </w:p>
    <w:p>
      <w:pPr>
        <w:spacing w:line="360" w:lineRule="auto"/>
        <w:ind w:firstLine="480" w:firstLineChars="200"/>
        <w:rPr>
          <w:rFonts w:hint="default"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（14）投标人认为在其他方面有必要说明的事项</w:t>
      </w:r>
    </w:p>
    <w:p>
      <w:pPr>
        <w:spacing w:line="360" w:lineRule="auto"/>
        <w:rPr>
          <w:rFonts w:ascii="仿宋" w:hAnsi="仿宋" w:eastAsia="仿宋" w:cs="宋体"/>
          <w:b/>
          <w:bCs/>
          <w:color w:val="000000" w:themeColor="text1"/>
          <w:sz w:val="21"/>
          <w:szCs w:val="21"/>
          <w:highlight w:val="none"/>
          <w14:textFill>
            <w14:solidFill>
              <w14:schemeClr w14:val="tx1"/>
            </w14:solidFill>
          </w14:textFill>
        </w:rPr>
      </w:pPr>
      <w:r>
        <w:rPr>
          <w:rFonts w:ascii="仿宋" w:hAnsi="仿宋" w:eastAsia="仿宋" w:cs="宋体"/>
          <w:b/>
          <w:bCs/>
          <w:color w:val="000000" w:themeColor="text1"/>
          <w:sz w:val="21"/>
          <w:szCs w:val="21"/>
          <w:highlight w:val="none"/>
          <w14:textFill>
            <w14:solidFill>
              <w14:schemeClr w14:val="tx1"/>
            </w14:solidFill>
          </w14:textFill>
        </w:rPr>
        <w:t>3</w:t>
      </w:r>
      <w:r>
        <w:rPr>
          <w:rFonts w:hint="eastAsia" w:ascii="仿宋" w:hAnsi="仿宋" w:eastAsia="仿宋" w:cs="宋体"/>
          <w:b/>
          <w:bCs/>
          <w:color w:val="000000" w:themeColor="text1"/>
          <w:sz w:val="21"/>
          <w:szCs w:val="21"/>
          <w:highlight w:val="none"/>
          <w14:textFill>
            <w14:solidFill>
              <w14:schemeClr w14:val="tx1"/>
            </w14:solidFill>
          </w14:textFill>
        </w:rPr>
        <w:t>、询比报价</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1</w:t>
      </w:r>
      <w:r>
        <w:rPr>
          <w:rFonts w:hint="eastAsia" w:ascii="仿宋" w:hAnsi="仿宋" w:eastAsia="仿宋" w:cs="宋体"/>
          <w:color w:val="000000" w:themeColor="text1"/>
          <w:sz w:val="24"/>
          <w:szCs w:val="24"/>
          <w:highlight w:val="none"/>
          <w14:textFill>
            <w14:solidFill>
              <w14:schemeClr w14:val="tx1"/>
            </w14:solidFill>
          </w14:textFill>
        </w:rPr>
        <w:t>）报价应为完成本询比采购文件中所要求的服务所应包括内容的所有价格，包括价格、税金、不可预见费等所有费用；</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2</w:t>
      </w:r>
      <w:r>
        <w:rPr>
          <w:rFonts w:hint="eastAsia" w:ascii="仿宋" w:hAnsi="仿宋" w:eastAsia="仿宋" w:cs="宋体"/>
          <w:color w:val="000000" w:themeColor="text1"/>
          <w:sz w:val="24"/>
          <w:szCs w:val="24"/>
          <w:highlight w:val="none"/>
          <w14:textFill>
            <w14:solidFill>
              <w14:schemeClr w14:val="tx1"/>
            </w14:solidFill>
          </w14:textFill>
        </w:rPr>
        <w:t>）凡因</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对询比采购文件阅读不深、理解不透、误解、疏漏、或因市场行情了解不清造成的后果和风险均由</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自负；</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不得以低于成本的报价参加询比。当询比小组认为某个</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的询比报价或者某些分项报价明显不合理或者低于成本，有可能影响服务质量和不能诚信履约的，可要求该</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在规定的期限内提供书面文件予以解释说明，并提交相关证明材料；否则，询比小组可以取消该</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的成交候选资格。</w:t>
      </w:r>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4</w:t>
      </w:r>
      <w:r>
        <w:rPr>
          <w:rFonts w:hint="eastAsia" w:ascii="仿宋" w:hAnsi="仿宋" w:eastAsia="仿宋" w:cs="宋体"/>
          <w:b/>
          <w:bCs/>
          <w:color w:val="000000" w:themeColor="text1"/>
          <w:sz w:val="24"/>
          <w:szCs w:val="24"/>
          <w:highlight w:val="none"/>
          <w14:textFill>
            <w14:solidFill>
              <w14:schemeClr w14:val="tx1"/>
            </w14:solidFill>
          </w14:textFill>
        </w:rPr>
        <w:t>、保证金</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1</w:t>
      </w:r>
      <w:r>
        <w:rPr>
          <w:rFonts w:hint="eastAsia" w:ascii="仿宋" w:hAnsi="仿宋" w:eastAsia="仿宋" w:cs="宋体"/>
          <w:color w:val="000000" w:themeColor="text1"/>
          <w:sz w:val="24"/>
          <w:szCs w:val="24"/>
          <w:highlight w:val="none"/>
          <w14:textFill>
            <w14:solidFill>
              <w14:schemeClr w14:val="tx1"/>
            </w14:solidFill>
          </w14:textFill>
        </w:rPr>
        <w:t>）提交方式：按询比采购文件须知前附表第10款内容所列提交；</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2</w:t>
      </w:r>
      <w:r>
        <w:rPr>
          <w:rFonts w:hint="eastAsia" w:ascii="仿宋" w:hAnsi="仿宋" w:eastAsia="仿宋" w:cs="宋体"/>
          <w:color w:val="000000" w:themeColor="text1"/>
          <w:sz w:val="24"/>
          <w:szCs w:val="24"/>
          <w:highlight w:val="none"/>
          <w14:textFill>
            <w14:solidFill>
              <w14:schemeClr w14:val="tx1"/>
            </w14:solidFill>
          </w14:textFill>
        </w:rPr>
        <w:t>）未成交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的投标保证金，在成交通知书发出后五个工作日内无息全额退还；成交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的投标保证金在与采购人签订合同后五个工作日内无息退还；</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）发生下列情况之一，保证金将不予退还：</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A</w:t>
      </w:r>
      <w:r>
        <w:rPr>
          <w:rFonts w:hint="eastAsia" w:ascii="仿宋" w:hAnsi="仿宋" w:eastAsia="仿宋" w:cs="宋体"/>
          <w:color w:val="000000" w:themeColor="text1"/>
          <w:sz w:val="24"/>
          <w:szCs w:val="24"/>
          <w:highlight w:val="none"/>
          <w14:textFill>
            <w14:solidFill>
              <w14:schemeClr w14:val="tx1"/>
            </w14:solidFill>
          </w14:textFill>
        </w:rPr>
        <w:t>．递交响应文件截止时间后在询比有效期间，</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撤回其响应文件；</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B</w:t>
      </w:r>
      <w:r>
        <w:rPr>
          <w:rFonts w:hint="eastAsia" w:ascii="仿宋" w:hAnsi="仿宋" w:eastAsia="仿宋" w:cs="宋体"/>
          <w:color w:val="000000" w:themeColor="text1"/>
          <w:sz w:val="24"/>
          <w:szCs w:val="24"/>
          <w:highlight w:val="none"/>
          <w14:textFill>
            <w14:solidFill>
              <w14:schemeClr w14:val="tx1"/>
            </w14:solidFill>
          </w14:textFill>
        </w:rPr>
        <w:t>．成交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在规定的时间内未能签订合同的。</w:t>
      </w:r>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5</w:t>
      </w:r>
      <w:r>
        <w:rPr>
          <w:rFonts w:hint="eastAsia" w:ascii="仿宋" w:hAnsi="仿宋" w:eastAsia="仿宋" w:cs="宋体"/>
          <w:b/>
          <w:bCs/>
          <w:color w:val="000000" w:themeColor="text1"/>
          <w:sz w:val="24"/>
          <w:szCs w:val="24"/>
          <w:highlight w:val="none"/>
          <w14:textFill>
            <w14:solidFill>
              <w14:schemeClr w14:val="tx1"/>
            </w14:solidFill>
          </w14:textFill>
        </w:rPr>
        <w:t>、响应文件的份数及密封要求</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1</w:t>
      </w:r>
      <w:r>
        <w:rPr>
          <w:rFonts w:hint="eastAsia" w:ascii="仿宋" w:hAnsi="仿宋" w:eastAsia="仿宋" w:cs="宋体"/>
          <w:color w:val="000000" w:themeColor="text1"/>
          <w:sz w:val="24"/>
          <w:szCs w:val="24"/>
          <w:highlight w:val="none"/>
          <w14:textFill>
            <w14:solidFill>
              <w14:schemeClr w14:val="tx1"/>
            </w14:solidFill>
          </w14:textFill>
        </w:rPr>
        <w:t>）</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须依据本询比采购文件内容和响应文件格式的要求编制响应文件；</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2</w:t>
      </w:r>
      <w:r>
        <w:rPr>
          <w:rFonts w:hint="eastAsia" w:ascii="仿宋" w:hAnsi="仿宋" w:eastAsia="仿宋" w:cs="宋体"/>
          <w:color w:val="000000" w:themeColor="text1"/>
          <w:sz w:val="24"/>
          <w:szCs w:val="24"/>
          <w:highlight w:val="none"/>
          <w14:textFill>
            <w14:solidFill>
              <w14:schemeClr w14:val="tx1"/>
            </w14:solidFill>
          </w14:textFill>
        </w:rPr>
        <w:t>）响应文件的正本和所有的副本均需使用不褪色的材料打印或书写，并注明“正本”、“副本”字样，须单独密封，加盖公章。若发生正本和副本不符，以正本为准。响应文件统一使用</w:t>
      </w:r>
      <w:r>
        <w:rPr>
          <w:rFonts w:ascii="仿宋" w:hAnsi="仿宋" w:eastAsia="仿宋" w:cs="宋体"/>
          <w:color w:val="000000" w:themeColor="text1"/>
          <w:sz w:val="24"/>
          <w:szCs w:val="24"/>
          <w:highlight w:val="none"/>
          <w14:textFill>
            <w14:solidFill>
              <w14:schemeClr w14:val="tx1"/>
            </w14:solidFill>
          </w14:textFill>
        </w:rPr>
        <w:t>A4</w:t>
      </w:r>
      <w:r>
        <w:rPr>
          <w:rFonts w:hint="eastAsia" w:ascii="仿宋" w:hAnsi="仿宋" w:eastAsia="仿宋" w:cs="宋体"/>
          <w:color w:val="000000" w:themeColor="text1"/>
          <w:sz w:val="24"/>
          <w:szCs w:val="24"/>
          <w:highlight w:val="none"/>
          <w14:textFill>
            <w14:solidFill>
              <w14:schemeClr w14:val="tx1"/>
            </w14:solidFill>
          </w14:textFill>
        </w:rPr>
        <w:t>幅面的纸张印制，左侧胶装。</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）响应文件份数：正本一份，副本二份；</w:t>
      </w:r>
      <w:r>
        <w:rPr>
          <w:rFonts w:hint="eastAsia" w:ascii="仿宋" w:hAnsi="仿宋" w:eastAsia="仿宋" w:cs="宋体"/>
          <w:color w:val="000000" w:themeColor="text1"/>
          <w:sz w:val="24"/>
          <w:szCs w:val="24"/>
          <w:highlight w:val="none"/>
          <w:lang w:val="en-US" w:eastAsia="zh-CN"/>
          <w14:textFill>
            <w14:solidFill>
              <w14:schemeClr w14:val="tx1"/>
            </w14:solidFill>
          </w14:textFill>
        </w:rPr>
        <w:t>一电子：</w:t>
      </w:r>
    </w:p>
    <w:p>
      <w:pPr>
        <w:pStyle w:val="4"/>
        <w:keepNext w:val="0"/>
        <w:keepLines w:val="0"/>
        <w:spacing w:before="0" w:after="0" w:line="360" w:lineRule="auto"/>
        <w:jc w:val="left"/>
        <w:rPr>
          <w:rFonts w:ascii="仿宋" w:hAnsi="仿宋" w:eastAsia="仿宋" w:cs="宋体"/>
          <w:color w:val="000000" w:themeColor="text1"/>
          <w:kern w:val="0"/>
          <w:sz w:val="32"/>
          <w:szCs w:val="32"/>
          <w:highlight w:val="none"/>
          <w14:textFill>
            <w14:solidFill>
              <w14:schemeClr w14:val="tx1"/>
            </w14:solidFill>
          </w14:textFill>
        </w:rPr>
      </w:pPr>
      <w:bookmarkStart w:id="17" w:name="_Toc4326"/>
      <w:r>
        <w:rPr>
          <w:rFonts w:hint="eastAsia" w:ascii="仿宋" w:hAnsi="仿宋" w:eastAsia="仿宋" w:cs="宋体"/>
          <w:color w:val="000000" w:themeColor="text1"/>
          <w:kern w:val="0"/>
          <w:sz w:val="32"/>
          <w:szCs w:val="32"/>
          <w:highlight w:val="none"/>
          <w14:textFill>
            <w14:solidFill>
              <w14:schemeClr w14:val="tx1"/>
            </w14:solidFill>
          </w14:textFill>
        </w:rPr>
        <w:t>四、询比、成交</w:t>
      </w:r>
      <w:bookmarkEnd w:id="17"/>
    </w:p>
    <w:p>
      <w:pPr>
        <w:spacing w:line="360" w:lineRule="auto"/>
        <w:rPr>
          <w:rFonts w:ascii="仿宋" w:hAnsi="仿宋" w:eastAsia="仿宋" w:cs="宋体"/>
          <w:color w:val="000000" w:themeColor="text1"/>
          <w:sz w:val="24"/>
          <w:szCs w:val="24"/>
          <w:highlight w:val="none"/>
          <w14:textFill>
            <w14:solidFill>
              <w14:schemeClr w14:val="tx1"/>
            </w14:solidFill>
          </w14:textFill>
        </w:rPr>
      </w:pPr>
      <w:bookmarkStart w:id="18" w:name="_Toc331584871"/>
      <w:r>
        <w:rPr>
          <w:rFonts w:ascii="仿宋" w:hAnsi="仿宋" w:eastAsia="仿宋" w:cs="宋体"/>
          <w:b/>
          <w:bCs/>
          <w:color w:val="000000" w:themeColor="text1"/>
          <w:sz w:val="24"/>
          <w:szCs w:val="24"/>
          <w:highlight w:val="none"/>
          <w14:textFill>
            <w14:solidFill>
              <w14:schemeClr w14:val="tx1"/>
            </w14:solidFill>
          </w14:textFill>
        </w:rPr>
        <w:t xml:space="preserve">1 </w:t>
      </w:r>
      <w:r>
        <w:rPr>
          <w:rFonts w:hint="eastAsia" w:ascii="仿宋" w:hAnsi="仿宋" w:eastAsia="仿宋" w:cs="宋体"/>
          <w:b/>
          <w:bCs/>
          <w:color w:val="000000" w:themeColor="text1"/>
          <w:sz w:val="24"/>
          <w:szCs w:val="24"/>
          <w:highlight w:val="none"/>
          <w14:textFill>
            <w14:solidFill>
              <w14:schemeClr w14:val="tx1"/>
            </w14:solidFill>
          </w14:textFill>
        </w:rPr>
        <w:t>、询比程序和评定成交的办法</w:t>
      </w:r>
      <w:bookmarkEnd w:id="18"/>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根据《青海省发展和改革委员会文件</w:t>
      </w:r>
      <w:r>
        <w:rPr>
          <w:rFonts w:ascii="仿宋" w:hAnsi="仿宋" w:eastAsia="仿宋" w:cs="宋体"/>
          <w:color w:val="000000" w:themeColor="text1"/>
          <w:sz w:val="24"/>
          <w:szCs w:val="24"/>
          <w:highlight w:val="none"/>
          <w14:textFill>
            <w14:solidFill>
              <w14:schemeClr w14:val="tx1"/>
            </w14:solidFill>
          </w14:textFill>
        </w:rPr>
        <w:t>——</w:t>
      </w:r>
      <w:r>
        <w:rPr>
          <w:rFonts w:hint="eastAsia" w:ascii="仿宋" w:hAnsi="仿宋" w:eastAsia="仿宋" w:cs="宋体"/>
          <w:color w:val="000000" w:themeColor="text1"/>
          <w:sz w:val="24"/>
          <w:szCs w:val="24"/>
          <w:highlight w:val="none"/>
          <w14:textFill>
            <w14:solidFill>
              <w14:schemeClr w14:val="tx1"/>
            </w14:solidFill>
          </w14:textFill>
        </w:rPr>
        <w:t>关于印发青海省非招标方式招标采购代理规范的通知》青发改法规[2019]184号等的规定并结合本次采购项目的实际情况，询比小组由采购单位的代表和评审专家共</w:t>
      </w: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人以上的单数组成，其中专家人数不得少于询比小组成员总数的三分之二，负责本次采购项目的询比和评审工作。</w:t>
      </w:r>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2.</w:t>
      </w:r>
      <w:r>
        <w:rPr>
          <w:rFonts w:hint="eastAsia" w:ascii="仿宋" w:hAnsi="仿宋" w:eastAsia="仿宋" w:cs="宋体"/>
          <w:b/>
          <w:bCs/>
          <w:color w:val="000000" w:themeColor="text1"/>
          <w:sz w:val="24"/>
          <w:szCs w:val="24"/>
          <w:highlight w:val="none"/>
          <w14:textFill>
            <w14:solidFill>
              <w14:schemeClr w14:val="tx1"/>
            </w14:solidFill>
          </w14:textFill>
        </w:rPr>
        <w:t>询比小组对所有</w:t>
      </w:r>
      <w:r>
        <w:rPr>
          <w:rFonts w:hint="eastAsia" w:ascii="仿宋" w:hAnsi="仿宋" w:eastAsia="仿宋" w:cs="宋体"/>
          <w:b/>
          <w:bCs/>
          <w:color w:val="000000" w:themeColor="text1"/>
          <w:sz w:val="24"/>
          <w:szCs w:val="24"/>
          <w:highlight w:val="none"/>
          <w:lang w:eastAsia="zh-CN"/>
          <w14:textFill>
            <w14:solidFill>
              <w14:schemeClr w14:val="tx1"/>
            </w14:solidFill>
          </w14:textFill>
        </w:rPr>
        <w:t>投标人</w:t>
      </w:r>
      <w:r>
        <w:rPr>
          <w:rFonts w:hint="eastAsia" w:ascii="仿宋" w:hAnsi="仿宋" w:eastAsia="仿宋" w:cs="宋体"/>
          <w:b/>
          <w:bCs/>
          <w:color w:val="000000" w:themeColor="text1"/>
          <w:sz w:val="24"/>
          <w:szCs w:val="24"/>
          <w:highlight w:val="none"/>
          <w14:textFill>
            <w14:solidFill>
              <w14:schemeClr w14:val="tx1"/>
            </w14:solidFill>
          </w14:textFill>
        </w:rPr>
        <w:t>进行资格审查</w:t>
      </w:r>
    </w:p>
    <w:p>
      <w:pPr>
        <w:autoSpaceDE w:val="0"/>
        <w:autoSpaceDN w:val="0"/>
        <w:adjustRightInd w:val="0"/>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bookmarkStart w:id="19" w:name="_Toc238434655"/>
      <w:bookmarkStart w:id="20" w:name="_Toc219085214"/>
      <w:bookmarkStart w:id="21" w:name="_Toc218313874"/>
      <w:bookmarkStart w:id="22" w:name="_Toc219020207"/>
      <w:bookmarkStart w:id="23" w:name="_Toc215393026"/>
      <w:r>
        <w:rPr>
          <w:rFonts w:hint="eastAsia" w:ascii="仿宋" w:hAnsi="仿宋" w:eastAsia="仿宋" w:cs="宋体"/>
          <w:color w:val="000000" w:themeColor="text1"/>
          <w:sz w:val="24"/>
          <w:szCs w:val="24"/>
          <w:highlight w:val="none"/>
          <w14:textFill>
            <w14:solidFill>
              <w14:schemeClr w14:val="tx1"/>
            </w14:solidFill>
          </w14:textFill>
        </w:rPr>
        <w:t>询比前将由评标委员会对</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的资格合法性进行审查，有下述情况之一者，按照询比采购文件的规定，其响应人的响应将被否决：</w:t>
      </w:r>
      <w:bookmarkEnd w:id="19"/>
      <w:bookmarkEnd w:id="20"/>
      <w:bookmarkEnd w:id="21"/>
      <w:bookmarkEnd w:id="22"/>
      <w:bookmarkEnd w:id="23"/>
    </w:p>
    <w:tbl>
      <w:tblPr>
        <w:tblStyle w:val="25"/>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3"/>
        <w:gridCol w:w="1117"/>
        <w:gridCol w:w="1738"/>
        <w:gridCol w:w="5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83" w:type="dxa"/>
            <w:noWrap w:val="0"/>
            <w:vAlign w:val="top"/>
          </w:tcPr>
          <w:p>
            <w:pPr>
              <w:autoSpaceDE w:val="0"/>
              <w:autoSpaceDN w:val="0"/>
              <w:spacing w:line="520" w:lineRule="exact"/>
              <w:jc w:val="center"/>
              <w:rPr>
                <w:rFonts w:hint="eastAsia"/>
                <w:b/>
                <w:color w:val="000000"/>
              </w:rPr>
            </w:pPr>
            <w:r>
              <w:rPr>
                <w:rFonts w:hint="eastAsia"/>
                <w:b/>
                <w:color w:val="000000"/>
              </w:rPr>
              <w:t>序号</w:t>
            </w:r>
          </w:p>
        </w:tc>
        <w:tc>
          <w:tcPr>
            <w:tcW w:w="1117" w:type="dxa"/>
            <w:noWrap w:val="0"/>
            <w:vAlign w:val="top"/>
          </w:tcPr>
          <w:p>
            <w:pPr>
              <w:autoSpaceDE w:val="0"/>
              <w:autoSpaceDN w:val="0"/>
              <w:spacing w:line="520" w:lineRule="exact"/>
              <w:jc w:val="center"/>
              <w:rPr>
                <w:rFonts w:hint="eastAsia"/>
                <w:b/>
                <w:color w:val="000000"/>
              </w:rPr>
            </w:pPr>
            <w:r>
              <w:rPr>
                <w:rFonts w:hint="eastAsia"/>
                <w:b/>
                <w:color w:val="000000"/>
              </w:rPr>
              <w:t>评审内容</w:t>
            </w:r>
          </w:p>
        </w:tc>
        <w:tc>
          <w:tcPr>
            <w:tcW w:w="1738" w:type="dxa"/>
            <w:noWrap w:val="0"/>
            <w:vAlign w:val="top"/>
          </w:tcPr>
          <w:p>
            <w:pPr>
              <w:autoSpaceDE w:val="0"/>
              <w:autoSpaceDN w:val="0"/>
              <w:spacing w:line="520" w:lineRule="exact"/>
              <w:jc w:val="center"/>
              <w:rPr>
                <w:rFonts w:hint="eastAsia"/>
                <w:b/>
                <w:color w:val="000000"/>
              </w:rPr>
            </w:pPr>
            <w:r>
              <w:rPr>
                <w:rFonts w:hint="eastAsia"/>
                <w:b/>
                <w:color w:val="000000"/>
              </w:rPr>
              <w:t>评审因素</w:t>
            </w:r>
          </w:p>
        </w:tc>
        <w:tc>
          <w:tcPr>
            <w:tcW w:w="5100" w:type="dxa"/>
            <w:noWrap w:val="0"/>
            <w:vAlign w:val="top"/>
          </w:tcPr>
          <w:p>
            <w:pPr>
              <w:autoSpaceDE w:val="0"/>
              <w:autoSpaceDN w:val="0"/>
              <w:spacing w:line="520" w:lineRule="exact"/>
              <w:jc w:val="center"/>
              <w:rPr>
                <w:rFonts w:hint="eastAsia"/>
                <w:b/>
                <w:color w:val="000000"/>
              </w:rPr>
            </w:pPr>
            <w:r>
              <w:rPr>
                <w:rFonts w:hint="eastAsia"/>
                <w:b/>
                <w:color w:val="000000"/>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83" w:type="dxa"/>
            <w:vMerge w:val="restart"/>
            <w:noWrap w:val="0"/>
            <w:vAlign w:val="center"/>
          </w:tcPr>
          <w:p>
            <w:pPr>
              <w:autoSpaceDE w:val="0"/>
              <w:autoSpaceDN w:val="0"/>
              <w:spacing w:line="520" w:lineRule="exact"/>
              <w:jc w:val="center"/>
              <w:rPr>
                <w:rFonts w:hint="eastAsia"/>
                <w:color w:val="000000"/>
              </w:rPr>
            </w:pPr>
            <w:r>
              <w:rPr>
                <w:rFonts w:hint="eastAsia"/>
                <w:color w:val="000000"/>
              </w:rPr>
              <w:t>1</w:t>
            </w:r>
          </w:p>
        </w:tc>
        <w:tc>
          <w:tcPr>
            <w:tcW w:w="1117" w:type="dxa"/>
            <w:vMerge w:val="restart"/>
            <w:noWrap w:val="0"/>
            <w:vAlign w:val="center"/>
          </w:tcPr>
          <w:p>
            <w:pPr>
              <w:autoSpaceDE w:val="0"/>
              <w:autoSpaceDN w:val="0"/>
              <w:spacing w:line="520" w:lineRule="exact"/>
              <w:jc w:val="center"/>
              <w:rPr>
                <w:rFonts w:hint="eastAsia"/>
                <w:color w:val="000000"/>
              </w:rPr>
            </w:pPr>
            <w:r>
              <w:rPr>
                <w:rFonts w:hint="eastAsia"/>
                <w:color w:val="000000"/>
              </w:rPr>
              <w:t>形式评审标准</w:t>
            </w:r>
          </w:p>
        </w:tc>
        <w:tc>
          <w:tcPr>
            <w:tcW w:w="1738" w:type="dxa"/>
            <w:noWrap w:val="0"/>
            <w:vAlign w:val="top"/>
          </w:tcPr>
          <w:p>
            <w:pPr>
              <w:autoSpaceDE w:val="0"/>
              <w:autoSpaceDN w:val="0"/>
              <w:spacing w:line="520" w:lineRule="exact"/>
              <w:ind w:left="0" w:leftChars="0" w:firstLine="0" w:firstLineChars="0"/>
              <w:rPr>
                <w:rFonts w:hint="eastAsia"/>
                <w:color w:val="000000"/>
              </w:rPr>
            </w:pPr>
            <w:r>
              <w:rPr>
                <w:rFonts w:hint="eastAsia"/>
                <w:color w:val="000000"/>
              </w:rPr>
              <w:t>供应商名称</w:t>
            </w:r>
          </w:p>
        </w:tc>
        <w:tc>
          <w:tcPr>
            <w:tcW w:w="5100" w:type="dxa"/>
            <w:noWrap w:val="0"/>
            <w:vAlign w:val="center"/>
          </w:tcPr>
          <w:p>
            <w:pPr>
              <w:autoSpaceDE w:val="0"/>
              <w:autoSpaceDN w:val="0"/>
              <w:spacing w:line="520" w:lineRule="exact"/>
              <w:rPr>
                <w:rFonts w:hint="eastAsia"/>
                <w:color w:val="000000"/>
              </w:rPr>
            </w:pPr>
            <w:r>
              <w:rPr>
                <w:rFonts w:hint="eastAsia"/>
                <w:color w:val="000000"/>
              </w:rPr>
              <w:t>与营业执照、资质证书、安全生产许可证一致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83" w:type="dxa"/>
            <w:vMerge w:val="continue"/>
            <w:noWrap w:val="0"/>
            <w:vAlign w:val="center"/>
          </w:tcPr>
          <w:p>
            <w:pPr>
              <w:autoSpaceDE w:val="0"/>
              <w:autoSpaceDN w:val="0"/>
              <w:spacing w:line="520" w:lineRule="exact"/>
              <w:ind w:firstLine="420"/>
              <w:jc w:val="center"/>
              <w:rPr>
                <w:rFonts w:hint="eastAsia"/>
                <w:color w:val="000000"/>
              </w:rPr>
            </w:pPr>
          </w:p>
        </w:tc>
        <w:tc>
          <w:tcPr>
            <w:tcW w:w="1117" w:type="dxa"/>
            <w:vMerge w:val="continue"/>
            <w:noWrap w:val="0"/>
            <w:vAlign w:val="center"/>
          </w:tcPr>
          <w:p>
            <w:pPr>
              <w:autoSpaceDE w:val="0"/>
              <w:autoSpaceDN w:val="0"/>
              <w:spacing w:line="520" w:lineRule="exact"/>
              <w:ind w:firstLine="420"/>
              <w:jc w:val="center"/>
              <w:rPr>
                <w:rFonts w:hint="eastAsia"/>
                <w:color w:val="000000"/>
              </w:rPr>
            </w:pPr>
          </w:p>
        </w:tc>
        <w:tc>
          <w:tcPr>
            <w:tcW w:w="1738" w:type="dxa"/>
            <w:noWrap w:val="0"/>
            <w:vAlign w:val="top"/>
          </w:tcPr>
          <w:p>
            <w:pPr>
              <w:autoSpaceDE w:val="0"/>
              <w:autoSpaceDN w:val="0"/>
              <w:spacing w:line="520" w:lineRule="exact"/>
              <w:ind w:left="0" w:leftChars="0" w:firstLine="0" w:firstLineChars="0"/>
              <w:rPr>
                <w:rFonts w:hint="eastAsia"/>
                <w:color w:val="000000"/>
              </w:rPr>
            </w:pPr>
            <w:r>
              <w:rPr>
                <w:rFonts w:hint="eastAsia"/>
                <w:color w:val="000000"/>
              </w:rPr>
              <w:t>响应文件签字盖章</w:t>
            </w:r>
          </w:p>
        </w:tc>
        <w:tc>
          <w:tcPr>
            <w:tcW w:w="5100" w:type="dxa"/>
            <w:noWrap w:val="0"/>
            <w:vAlign w:val="center"/>
          </w:tcPr>
          <w:p>
            <w:pPr>
              <w:autoSpaceDE w:val="0"/>
              <w:autoSpaceDN w:val="0"/>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83" w:type="dxa"/>
            <w:vMerge w:val="continue"/>
            <w:noWrap w:val="0"/>
            <w:vAlign w:val="center"/>
          </w:tcPr>
          <w:p>
            <w:pPr>
              <w:autoSpaceDE w:val="0"/>
              <w:autoSpaceDN w:val="0"/>
              <w:spacing w:line="520" w:lineRule="exact"/>
              <w:ind w:firstLine="420"/>
              <w:jc w:val="center"/>
              <w:rPr>
                <w:rFonts w:hint="eastAsia"/>
                <w:color w:val="000000"/>
              </w:rPr>
            </w:pPr>
          </w:p>
        </w:tc>
        <w:tc>
          <w:tcPr>
            <w:tcW w:w="1117" w:type="dxa"/>
            <w:vMerge w:val="continue"/>
            <w:noWrap w:val="0"/>
            <w:vAlign w:val="center"/>
          </w:tcPr>
          <w:p>
            <w:pPr>
              <w:autoSpaceDE w:val="0"/>
              <w:autoSpaceDN w:val="0"/>
              <w:spacing w:line="520" w:lineRule="exact"/>
              <w:ind w:firstLine="420"/>
              <w:jc w:val="center"/>
              <w:rPr>
                <w:rFonts w:hint="eastAsia"/>
                <w:color w:val="000000"/>
              </w:rPr>
            </w:pPr>
          </w:p>
        </w:tc>
        <w:tc>
          <w:tcPr>
            <w:tcW w:w="1738" w:type="dxa"/>
            <w:noWrap w:val="0"/>
            <w:vAlign w:val="top"/>
          </w:tcPr>
          <w:p>
            <w:pPr>
              <w:autoSpaceDE w:val="0"/>
              <w:autoSpaceDN w:val="0"/>
              <w:spacing w:line="520" w:lineRule="exact"/>
              <w:ind w:left="0" w:leftChars="0" w:firstLine="0" w:firstLineChars="0"/>
              <w:rPr>
                <w:rFonts w:hint="eastAsia"/>
                <w:color w:val="000000"/>
              </w:rPr>
            </w:pPr>
            <w:r>
              <w:rPr>
                <w:rFonts w:hint="eastAsia"/>
                <w:color w:val="000000"/>
              </w:rPr>
              <w:t>响应文件格式</w:t>
            </w:r>
          </w:p>
        </w:tc>
        <w:tc>
          <w:tcPr>
            <w:tcW w:w="5100" w:type="dxa"/>
            <w:noWrap w:val="0"/>
            <w:vAlign w:val="center"/>
          </w:tcPr>
          <w:p>
            <w:pPr>
              <w:autoSpaceDE w:val="0"/>
              <w:autoSpaceDN w:val="0"/>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83" w:type="dxa"/>
            <w:vMerge w:val="continue"/>
            <w:noWrap w:val="0"/>
            <w:vAlign w:val="center"/>
          </w:tcPr>
          <w:p>
            <w:pPr>
              <w:autoSpaceDE w:val="0"/>
              <w:autoSpaceDN w:val="0"/>
              <w:spacing w:line="520" w:lineRule="exact"/>
              <w:ind w:firstLine="420"/>
              <w:jc w:val="center"/>
              <w:rPr>
                <w:rFonts w:hint="eastAsia"/>
                <w:color w:val="000000"/>
              </w:rPr>
            </w:pPr>
          </w:p>
        </w:tc>
        <w:tc>
          <w:tcPr>
            <w:tcW w:w="1117" w:type="dxa"/>
            <w:vMerge w:val="continue"/>
            <w:noWrap w:val="0"/>
            <w:vAlign w:val="center"/>
          </w:tcPr>
          <w:p>
            <w:pPr>
              <w:autoSpaceDE w:val="0"/>
              <w:autoSpaceDN w:val="0"/>
              <w:spacing w:line="520" w:lineRule="exact"/>
              <w:ind w:firstLine="420"/>
              <w:jc w:val="center"/>
              <w:rPr>
                <w:rFonts w:hint="eastAsia"/>
                <w:color w:val="000000"/>
              </w:rPr>
            </w:pPr>
          </w:p>
        </w:tc>
        <w:tc>
          <w:tcPr>
            <w:tcW w:w="1738" w:type="dxa"/>
            <w:noWrap w:val="0"/>
            <w:vAlign w:val="top"/>
          </w:tcPr>
          <w:p>
            <w:pPr>
              <w:spacing w:line="520" w:lineRule="exact"/>
              <w:ind w:left="0" w:leftChars="0" w:firstLine="0" w:firstLineChars="0"/>
              <w:rPr>
                <w:rFonts w:hint="eastAsia"/>
                <w:color w:val="000000"/>
              </w:rPr>
            </w:pPr>
            <w:r>
              <w:rPr>
                <w:rFonts w:hint="eastAsia"/>
                <w:color w:val="000000"/>
                <w:lang w:eastAsia="zh-CN"/>
              </w:rPr>
              <w:t>投标</w:t>
            </w:r>
            <w:r>
              <w:rPr>
                <w:rFonts w:hint="eastAsia"/>
                <w:color w:val="000000"/>
              </w:rPr>
              <w:t>有效期</w:t>
            </w:r>
          </w:p>
        </w:tc>
        <w:tc>
          <w:tcPr>
            <w:tcW w:w="5100" w:type="dxa"/>
            <w:noWrap w:val="0"/>
            <w:vAlign w:val="center"/>
          </w:tcPr>
          <w:p>
            <w:pPr>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83" w:type="dxa"/>
            <w:vMerge w:val="continue"/>
            <w:noWrap w:val="0"/>
            <w:vAlign w:val="center"/>
          </w:tcPr>
          <w:p>
            <w:pPr>
              <w:autoSpaceDE w:val="0"/>
              <w:autoSpaceDN w:val="0"/>
              <w:spacing w:line="520" w:lineRule="exact"/>
              <w:ind w:firstLine="420"/>
              <w:jc w:val="center"/>
              <w:rPr>
                <w:rFonts w:hint="eastAsia"/>
                <w:color w:val="000000"/>
              </w:rPr>
            </w:pPr>
          </w:p>
        </w:tc>
        <w:tc>
          <w:tcPr>
            <w:tcW w:w="1117" w:type="dxa"/>
            <w:vMerge w:val="continue"/>
            <w:noWrap w:val="0"/>
            <w:vAlign w:val="center"/>
          </w:tcPr>
          <w:p>
            <w:pPr>
              <w:autoSpaceDE w:val="0"/>
              <w:autoSpaceDN w:val="0"/>
              <w:spacing w:line="520" w:lineRule="exact"/>
              <w:ind w:firstLine="420"/>
              <w:jc w:val="center"/>
              <w:rPr>
                <w:rFonts w:hint="eastAsia"/>
                <w:color w:val="000000"/>
              </w:rPr>
            </w:pPr>
          </w:p>
        </w:tc>
        <w:tc>
          <w:tcPr>
            <w:tcW w:w="1738" w:type="dxa"/>
            <w:noWrap w:val="0"/>
            <w:vAlign w:val="top"/>
          </w:tcPr>
          <w:p>
            <w:pPr>
              <w:spacing w:line="520" w:lineRule="exact"/>
              <w:ind w:left="0" w:leftChars="0" w:firstLine="0" w:firstLineChars="0"/>
              <w:rPr>
                <w:rFonts w:hint="eastAsia"/>
                <w:color w:val="000000"/>
              </w:rPr>
            </w:pPr>
            <w:r>
              <w:rPr>
                <w:rFonts w:hint="eastAsia"/>
                <w:color w:val="000000"/>
              </w:rPr>
              <w:t>安全生产许可证</w:t>
            </w:r>
          </w:p>
        </w:tc>
        <w:tc>
          <w:tcPr>
            <w:tcW w:w="5100" w:type="dxa"/>
            <w:noWrap w:val="0"/>
            <w:vAlign w:val="center"/>
          </w:tcPr>
          <w:p>
            <w:pPr>
              <w:spacing w:line="520" w:lineRule="exact"/>
              <w:rPr>
                <w:rFonts w:hint="eastAsia"/>
                <w:color w:val="000000"/>
              </w:rPr>
            </w:pPr>
            <w:r>
              <w:rPr>
                <w:rFonts w:hint="eastAsia"/>
                <w:color w:val="000000"/>
              </w:rPr>
              <w:t>具备有效的安全生产许可证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983" w:type="dxa"/>
            <w:vMerge w:val="continue"/>
            <w:noWrap w:val="0"/>
            <w:vAlign w:val="center"/>
          </w:tcPr>
          <w:p>
            <w:pPr>
              <w:autoSpaceDE w:val="0"/>
              <w:autoSpaceDN w:val="0"/>
              <w:spacing w:line="520" w:lineRule="exact"/>
              <w:ind w:firstLine="420"/>
              <w:jc w:val="center"/>
              <w:rPr>
                <w:rFonts w:hint="eastAsia"/>
                <w:color w:val="000000"/>
              </w:rPr>
            </w:pPr>
          </w:p>
        </w:tc>
        <w:tc>
          <w:tcPr>
            <w:tcW w:w="1117" w:type="dxa"/>
            <w:vMerge w:val="continue"/>
            <w:noWrap w:val="0"/>
            <w:vAlign w:val="center"/>
          </w:tcPr>
          <w:p>
            <w:pPr>
              <w:autoSpaceDE w:val="0"/>
              <w:autoSpaceDN w:val="0"/>
              <w:spacing w:line="520" w:lineRule="exact"/>
              <w:ind w:firstLine="420"/>
              <w:jc w:val="center"/>
              <w:rPr>
                <w:rFonts w:hint="eastAsia"/>
                <w:color w:val="000000"/>
              </w:rPr>
            </w:pPr>
          </w:p>
        </w:tc>
        <w:tc>
          <w:tcPr>
            <w:tcW w:w="1738" w:type="dxa"/>
            <w:noWrap w:val="0"/>
            <w:vAlign w:val="top"/>
          </w:tcPr>
          <w:p>
            <w:pPr>
              <w:spacing w:line="520" w:lineRule="exact"/>
              <w:ind w:left="0" w:leftChars="0" w:firstLine="0" w:firstLineChars="0"/>
              <w:rPr>
                <w:rFonts w:hint="eastAsia"/>
                <w:color w:val="000000"/>
              </w:rPr>
            </w:pPr>
            <w:r>
              <w:rPr>
                <w:rFonts w:hint="eastAsia"/>
                <w:color w:val="000000"/>
              </w:rPr>
              <w:t>有效的进青备案登记</w:t>
            </w:r>
          </w:p>
        </w:tc>
        <w:tc>
          <w:tcPr>
            <w:tcW w:w="5100" w:type="dxa"/>
            <w:noWrap w:val="0"/>
            <w:vAlign w:val="center"/>
          </w:tcPr>
          <w:p>
            <w:pPr>
              <w:spacing w:line="520" w:lineRule="exact"/>
              <w:rPr>
                <w:rFonts w:hint="eastAsia"/>
                <w:color w:val="000000"/>
              </w:rPr>
            </w:pPr>
            <w:r>
              <w:rPr>
                <w:rFonts w:hint="eastAsia"/>
                <w:color w:val="000000"/>
              </w:rPr>
              <w:t>（指外地进青企业）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83" w:type="dxa"/>
            <w:vMerge w:val="continue"/>
            <w:noWrap w:val="0"/>
            <w:vAlign w:val="center"/>
          </w:tcPr>
          <w:p>
            <w:pPr>
              <w:autoSpaceDE w:val="0"/>
              <w:autoSpaceDN w:val="0"/>
              <w:spacing w:line="520" w:lineRule="exact"/>
              <w:ind w:firstLine="420"/>
              <w:jc w:val="center"/>
              <w:rPr>
                <w:rFonts w:hint="eastAsia"/>
                <w:color w:val="000000"/>
              </w:rPr>
            </w:pPr>
          </w:p>
        </w:tc>
        <w:tc>
          <w:tcPr>
            <w:tcW w:w="1117" w:type="dxa"/>
            <w:vMerge w:val="continue"/>
            <w:noWrap w:val="0"/>
            <w:vAlign w:val="center"/>
          </w:tcPr>
          <w:p>
            <w:pPr>
              <w:autoSpaceDE w:val="0"/>
              <w:autoSpaceDN w:val="0"/>
              <w:spacing w:line="520" w:lineRule="exact"/>
              <w:ind w:firstLine="420"/>
              <w:jc w:val="center"/>
              <w:rPr>
                <w:rFonts w:hint="eastAsia"/>
                <w:color w:val="000000"/>
              </w:rPr>
            </w:pPr>
          </w:p>
        </w:tc>
        <w:tc>
          <w:tcPr>
            <w:tcW w:w="1738" w:type="dxa"/>
            <w:noWrap w:val="0"/>
            <w:vAlign w:val="top"/>
          </w:tcPr>
          <w:p>
            <w:pPr>
              <w:spacing w:line="520" w:lineRule="exact"/>
              <w:ind w:left="0" w:leftChars="0" w:firstLine="0" w:firstLineChars="0"/>
              <w:rPr>
                <w:rFonts w:hint="eastAsia"/>
                <w:color w:val="000000"/>
              </w:rPr>
            </w:pPr>
            <w:r>
              <w:rPr>
                <w:rFonts w:hint="eastAsia"/>
                <w:color w:val="000000"/>
              </w:rPr>
              <w:t>企业资质等级</w:t>
            </w:r>
          </w:p>
        </w:tc>
        <w:tc>
          <w:tcPr>
            <w:tcW w:w="5100" w:type="dxa"/>
            <w:noWrap w:val="0"/>
            <w:vAlign w:val="center"/>
          </w:tcPr>
          <w:p>
            <w:pPr>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83" w:type="dxa"/>
            <w:vMerge w:val="continue"/>
            <w:noWrap w:val="0"/>
            <w:vAlign w:val="center"/>
          </w:tcPr>
          <w:p>
            <w:pPr>
              <w:autoSpaceDE w:val="0"/>
              <w:autoSpaceDN w:val="0"/>
              <w:spacing w:line="520" w:lineRule="exact"/>
              <w:ind w:firstLine="420"/>
              <w:jc w:val="center"/>
              <w:rPr>
                <w:rFonts w:hint="eastAsia"/>
                <w:color w:val="000000"/>
              </w:rPr>
            </w:pPr>
          </w:p>
        </w:tc>
        <w:tc>
          <w:tcPr>
            <w:tcW w:w="1117" w:type="dxa"/>
            <w:vMerge w:val="continue"/>
            <w:noWrap w:val="0"/>
            <w:vAlign w:val="center"/>
          </w:tcPr>
          <w:p>
            <w:pPr>
              <w:autoSpaceDE w:val="0"/>
              <w:autoSpaceDN w:val="0"/>
              <w:spacing w:line="520" w:lineRule="exact"/>
              <w:ind w:firstLine="420"/>
              <w:jc w:val="center"/>
              <w:rPr>
                <w:rFonts w:hint="eastAsia"/>
                <w:color w:val="000000"/>
              </w:rPr>
            </w:pPr>
          </w:p>
        </w:tc>
        <w:tc>
          <w:tcPr>
            <w:tcW w:w="1738" w:type="dxa"/>
            <w:noWrap w:val="0"/>
            <w:vAlign w:val="top"/>
          </w:tcPr>
          <w:p>
            <w:pPr>
              <w:spacing w:line="520" w:lineRule="exact"/>
              <w:rPr>
                <w:rFonts w:hint="eastAsia"/>
                <w:color w:val="000000"/>
              </w:rPr>
            </w:pPr>
            <w:r>
              <w:rPr>
                <w:rFonts w:hint="eastAsia"/>
                <w:color w:val="000000"/>
              </w:rPr>
              <w:t>财务状况</w:t>
            </w:r>
          </w:p>
        </w:tc>
        <w:tc>
          <w:tcPr>
            <w:tcW w:w="5100" w:type="dxa"/>
            <w:noWrap w:val="0"/>
            <w:vAlign w:val="center"/>
          </w:tcPr>
          <w:p>
            <w:pPr>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83" w:type="dxa"/>
            <w:vMerge w:val="continue"/>
            <w:noWrap w:val="0"/>
            <w:vAlign w:val="center"/>
          </w:tcPr>
          <w:p>
            <w:pPr>
              <w:autoSpaceDE w:val="0"/>
              <w:autoSpaceDN w:val="0"/>
              <w:spacing w:line="520" w:lineRule="exact"/>
              <w:ind w:firstLine="420"/>
              <w:jc w:val="center"/>
              <w:rPr>
                <w:rFonts w:hint="eastAsia"/>
                <w:color w:val="000000"/>
              </w:rPr>
            </w:pPr>
          </w:p>
        </w:tc>
        <w:tc>
          <w:tcPr>
            <w:tcW w:w="1117" w:type="dxa"/>
            <w:vMerge w:val="continue"/>
            <w:noWrap w:val="0"/>
            <w:vAlign w:val="center"/>
          </w:tcPr>
          <w:p>
            <w:pPr>
              <w:autoSpaceDE w:val="0"/>
              <w:autoSpaceDN w:val="0"/>
              <w:spacing w:line="520" w:lineRule="exact"/>
              <w:ind w:firstLine="420"/>
              <w:jc w:val="center"/>
              <w:rPr>
                <w:rFonts w:hint="eastAsia"/>
                <w:color w:val="000000"/>
              </w:rPr>
            </w:pPr>
          </w:p>
        </w:tc>
        <w:tc>
          <w:tcPr>
            <w:tcW w:w="1738" w:type="dxa"/>
            <w:noWrap w:val="0"/>
            <w:vAlign w:val="top"/>
          </w:tcPr>
          <w:p>
            <w:pPr>
              <w:spacing w:line="520" w:lineRule="exact"/>
              <w:rPr>
                <w:rFonts w:hint="eastAsia"/>
                <w:color w:val="000000"/>
              </w:rPr>
            </w:pPr>
            <w:r>
              <w:rPr>
                <w:rFonts w:hint="eastAsia"/>
                <w:color w:val="000000"/>
              </w:rPr>
              <w:t>项目负责人</w:t>
            </w:r>
          </w:p>
        </w:tc>
        <w:tc>
          <w:tcPr>
            <w:tcW w:w="5100" w:type="dxa"/>
            <w:noWrap w:val="0"/>
            <w:vAlign w:val="center"/>
          </w:tcPr>
          <w:p>
            <w:pPr>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83" w:type="dxa"/>
            <w:vMerge w:val="continue"/>
            <w:noWrap w:val="0"/>
            <w:vAlign w:val="center"/>
          </w:tcPr>
          <w:p>
            <w:pPr>
              <w:autoSpaceDE w:val="0"/>
              <w:autoSpaceDN w:val="0"/>
              <w:spacing w:line="520" w:lineRule="exact"/>
              <w:ind w:firstLine="420"/>
              <w:jc w:val="center"/>
              <w:rPr>
                <w:rFonts w:hint="eastAsia"/>
                <w:color w:val="000000"/>
              </w:rPr>
            </w:pPr>
          </w:p>
        </w:tc>
        <w:tc>
          <w:tcPr>
            <w:tcW w:w="1117" w:type="dxa"/>
            <w:vMerge w:val="continue"/>
            <w:noWrap w:val="0"/>
            <w:vAlign w:val="center"/>
          </w:tcPr>
          <w:p>
            <w:pPr>
              <w:autoSpaceDE w:val="0"/>
              <w:autoSpaceDN w:val="0"/>
              <w:spacing w:line="520" w:lineRule="exact"/>
              <w:ind w:firstLine="420"/>
              <w:jc w:val="center"/>
              <w:rPr>
                <w:rFonts w:hint="eastAsia"/>
                <w:color w:val="000000"/>
              </w:rPr>
            </w:pPr>
          </w:p>
        </w:tc>
        <w:tc>
          <w:tcPr>
            <w:tcW w:w="1738" w:type="dxa"/>
            <w:noWrap w:val="0"/>
            <w:vAlign w:val="top"/>
          </w:tcPr>
          <w:p>
            <w:pPr>
              <w:spacing w:line="520" w:lineRule="exact"/>
              <w:rPr>
                <w:rFonts w:hint="eastAsia"/>
                <w:color w:val="000000"/>
              </w:rPr>
            </w:pPr>
            <w:r>
              <w:rPr>
                <w:rFonts w:hint="eastAsia"/>
                <w:color w:val="000000"/>
              </w:rPr>
              <w:t>其他资格</w:t>
            </w:r>
          </w:p>
        </w:tc>
        <w:tc>
          <w:tcPr>
            <w:tcW w:w="5100" w:type="dxa"/>
            <w:noWrap w:val="0"/>
            <w:vAlign w:val="center"/>
          </w:tcPr>
          <w:p>
            <w:pPr>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83" w:type="dxa"/>
            <w:vMerge w:val="continue"/>
            <w:noWrap w:val="0"/>
            <w:vAlign w:val="center"/>
          </w:tcPr>
          <w:p>
            <w:pPr>
              <w:autoSpaceDE w:val="0"/>
              <w:autoSpaceDN w:val="0"/>
              <w:spacing w:line="520" w:lineRule="exact"/>
              <w:ind w:firstLine="420"/>
              <w:jc w:val="center"/>
              <w:rPr>
                <w:rFonts w:hint="eastAsia"/>
                <w:color w:val="000000"/>
              </w:rPr>
            </w:pPr>
          </w:p>
        </w:tc>
        <w:tc>
          <w:tcPr>
            <w:tcW w:w="1117" w:type="dxa"/>
            <w:vMerge w:val="continue"/>
            <w:noWrap w:val="0"/>
            <w:vAlign w:val="center"/>
          </w:tcPr>
          <w:p>
            <w:pPr>
              <w:autoSpaceDE w:val="0"/>
              <w:autoSpaceDN w:val="0"/>
              <w:spacing w:line="520" w:lineRule="exact"/>
              <w:ind w:firstLine="420"/>
              <w:jc w:val="center"/>
              <w:rPr>
                <w:rFonts w:hint="eastAsia"/>
                <w:color w:val="000000"/>
              </w:rPr>
            </w:pPr>
          </w:p>
        </w:tc>
        <w:tc>
          <w:tcPr>
            <w:tcW w:w="1738" w:type="dxa"/>
            <w:noWrap w:val="0"/>
            <w:vAlign w:val="top"/>
          </w:tcPr>
          <w:p>
            <w:pPr>
              <w:spacing w:line="520" w:lineRule="exact"/>
              <w:rPr>
                <w:rFonts w:hint="eastAsia"/>
                <w:color w:val="000000"/>
              </w:rPr>
            </w:pPr>
            <w:r>
              <w:rPr>
                <w:rFonts w:hint="eastAsia"/>
                <w:color w:val="000000"/>
                <w:lang w:eastAsia="zh-CN"/>
              </w:rPr>
              <w:t>询比</w:t>
            </w:r>
            <w:r>
              <w:rPr>
                <w:rFonts w:hint="eastAsia"/>
                <w:color w:val="000000"/>
              </w:rPr>
              <w:t>报价</w:t>
            </w:r>
          </w:p>
        </w:tc>
        <w:tc>
          <w:tcPr>
            <w:tcW w:w="5100" w:type="dxa"/>
            <w:noWrap w:val="0"/>
            <w:vAlign w:val="center"/>
          </w:tcPr>
          <w:p>
            <w:pPr>
              <w:spacing w:line="520" w:lineRule="exact"/>
              <w:rPr>
                <w:rFonts w:hint="eastAsia"/>
                <w:color w:val="000000"/>
              </w:rPr>
            </w:pPr>
            <w:r>
              <w:rPr>
                <w:rFonts w:hint="eastAsia"/>
                <w:color w:val="000000"/>
                <w:lang w:eastAsia="zh-CN"/>
              </w:rPr>
              <w:t>询比</w:t>
            </w:r>
            <w:r>
              <w:rPr>
                <w:rFonts w:hint="eastAsia"/>
                <w:color w:val="000000"/>
              </w:rPr>
              <w:t>报价超过采购控制价的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983" w:type="dxa"/>
            <w:vMerge w:val="continue"/>
            <w:noWrap w:val="0"/>
            <w:vAlign w:val="center"/>
          </w:tcPr>
          <w:p>
            <w:pPr>
              <w:autoSpaceDE w:val="0"/>
              <w:autoSpaceDN w:val="0"/>
              <w:spacing w:line="520" w:lineRule="exact"/>
              <w:ind w:firstLine="420"/>
              <w:jc w:val="center"/>
              <w:rPr>
                <w:rFonts w:hint="eastAsia"/>
                <w:color w:val="000000"/>
              </w:rPr>
            </w:pPr>
          </w:p>
        </w:tc>
        <w:tc>
          <w:tcPr>
            <w:tcW w:w="1117" w:type="dxa"/>
            <w:vMerge w:val="continue"/>
            <w:noWrap w:val="0"/>
            <w:vAlign w:val="center"/>
          </w:tcPr>
          <w:p>
            <w:pPr>
              <w:autoSpaceDE w:val="0"/>
              <w:autoSpaceDN w:val="0"/>
              <w:spacing w:line="520" w:lineRule="exact"/>
              <w:ind w:firstLine="420"/>
              <w:jc w:val="center"/>
              <w:rPr>
                <w:rFonts w:hint="eastAsia"/>
                <w:color w:val="000000"/>
              </w:rPr>
            </w:pPr>
          </w:p>
        </w:tc>
        <w:tc>
          <w:tcPr>
            <w:tcW w:w="1738" w:type="dxa"/>
            <w:noWrap w:val="0"/>
            <w:vAlign w:val="top"/>
          </w:tcPr>
          <w:p>
            <w:pPr>
              <w:spacing w:line="520" w:lineRule="exact"/>
              <w:rPr>
                <w:rFonts w:hint="eastAsia"/>
                <w:color w:val="000000"/>
              </w:rPr>
            </w:pPr>
            <w:r>
              <w:rPr>
                <w:rFonts w:hint="eastAsia"/>
                <w:color w:val="000000"/>
              </w:rPr>
              <w:t>串通、虚假响应及其他违法行为</w:t>
            </w:r>
          </w:p>
        </w:tc>
        <w:tc>
          <w:tcPr>
            <w:tcW w:w="5100" w:type="dxa"/>
            <w:noWrap w:val="0"/>
            <w:vAlign w:val="center"/>
          </w:tcPr>
          <w:p>
            <w:pPr>
              <w:spacing w:line="520" w:lineRule="exact"/>
              <w:rPr>
                <w:rFonts w:hint="eastAsia"/>
                <w:color w:val="000000"/>
              </w:rPr>
            </w:pPr>
            <w:r>
              <w:rPr>
                <w:rFonts w:hint="eastAsia"/>
                <w:color w:val="000000"/>
              </w:rPr>
              <w:t>响应文件中不存在串通</w:t>
            </w:r>
            <w:r>
              <w:rPr>
                <w:rFonts w:hint="eastAsia"/>
                <w:color w:val="000000"/>
                <w:lang w:eastAsia="zh-CN"/>
              </w:rPr>
              <w:t>询比</w:t>
            </w:r>
            <w:r>
              <w:rPr>
                <w:rFonts w:hint="eastAsia"/>
                <w:color w:val="000000"/>
              </w:rPr>
              <w:t>或弄虚作假或有其他违法行为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83" w:type="dxa"/>
            <w:vMerge w:val="restart"/>
            <w:noWrap w:val="0"/>
            <w:vAlign w:val="center"/>
          </w:tcPr>
          <w:p>
            <w:pPr>
              <w:autoSpaceDE w:val="0"/>
              <w:autoSpaceDN w:val="0"/>
              <w:spacing w:line="520" w:lineRule="exact"/>
              <w:jc w:val="center"/>
              <w:rPr>
                <w:rFonts w:hint="eastAsia"/>
                <w:color w:val="000000"/>
              </w:rPr>
            </w:pPr>
            <w:r>
              <w:rPr>
                <w:rFonts w:hint="eastAsia"/>
                <w:color w:val="000000"/>
              </w:rPr>
              <w:t>3</w:t>
            </w:r>
          </w:p>
        </w:tc>
        <w:tc>
          <w:tcPr>
            <w:tcW w:w="1117" w:type="dxa"/>
            <w:vMerge w:val="restart"/>
            <w:noWrap w:val="0"/>
            <w:vAlign w:val="center"/>
          </w:tcPr>
          <w:p>
            <w:pPr>
              <w:autoSpaceDE w:val="0"/>
              <w:autoSpaceDN w:val="0"/>
              <w:spacing w:line="520" w:lineRule="exact"/>
              <w:jc w:val="center"/>
              <w:rPr>
                <w:rFonts w:hint="eastAsia"/>
                <w:color w:val="000000"/>
              </w:rPr>
            </w:pPr>
            <w:r>
              <w:rPr>
                <w:rFonts w:hint="eastAsia"/>
                <w:color w:val="000000"/>
              </w:rPr>
              <w:t>响应性评审标准</w:t>
            </w:r>
          </w:p>
        </w:tc>
        <w:tc>
          <w:tcPr>
            <w:tcW w:w="1738" w:type="dxa"/>
            <w:noWrap w:val="0"/>
            <w:vAlign w:val="top"/>
          </w:tcPr>
          <w:p>
            <w:pPr>
              <w:autoSpaceDE w:val="0"/>
              <w:autoSpaceDN w:val="0"/>
              <w:spacing w:line="520" w:lineRule="exact"/>
              <w:rPr>
                <w:rFonts w:hint="eastAsia"/>
                <w:color w:val="000000"/>
              </w:rPr>
            </w:pPr>
            <w:r>
              <w:rPr>
                <w:rFonts w:hint="eastAsia"/>
                <w:color w:val="000000"/>
                <w:lang w:eastAsia="zh-CN"/>
              </w:rPr>
              <w:t>询比</w:t>
            </w:r>
            <w:r>
              <w:rPr>
                <w:rFonts w:hint="eastAsia"/>
                <w:color w:val="000000"/>
              </w:rPr>
              <w:t>内容</w:t>
            </w:r>
          </w:p>
        </w:tc>
        <w:tc>
          <w:tcPr>
            <w:tcW w:w="5100" w:type="dxa"/>
            <w:noWrap w:val="0"/>
            <w:vAlign w:val="center"/>
          </w:tcPr>
          <w:p>
            <w:pPr>
              <w:autoSpaceDE w:val="0"/>
              <w:autoSpaceDN w:val="0"/>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83" w:type="dxa"/>
            <w:vMerge w:val="continue"/>
            <w:noWrap w:val="0"/>
            <w:vAlign w:val="top"/>
          </w:tcPr>
          <w:p>
            <w:pPr>
              <w:autoSpaceDE w:val="0"/>
              <w:autoSpaceDN w:val="0"/>
              <w:spacing w:line="520" w:lineRule="exact"/>
              <w:ind w:firstLine="420"/>
              <w:rPr>
                <w:rFonts w:hint="eastAsia"/>
                <w:color w:val="000000"/>
              </w:rPr>
            </w:pPr>
          </w:p>
        </w:tc>
        <w:tc>
          <w:tcPr>
            <w:tcW w:w="1117" w:type="dxa"/>
            <w:vMerge w:val="continue"/>
            <w:noWrap w:val="0"/>
            <w:vAlign w:val="top"/>
          </w:tcPr>
          <w:p>
            <w:pPr>
              <w:autoSpaceDE w:val="0"/>
              <w:autoSpaceDN w:val="0"/>
              <w:spacing w:line="520" w:lineRule="exact"/>
              <w:ind w:firstLine="420"/>
              <w:rPr>
                <w:rFonts w:hint="eastAsia"/>
                <w:color w:val="000000"/>
              </w:rPr>
            </w:pPr>
          </w:p>
        </w:tc>
        <w:tc>
          <w:tcPr>
            <w:tcW w:w="1738" w:type="dxa"/>
            <w:noWrap w:val="0"/>
            <w:vAlign w:val="top"/>
          </w:tcPr>
          <w:p>
            <w:pPr>
              <w:autoSpaceDE w:val="0"/>
              <w:autoSpaceDN w:val="0"/>
              <w:spacing w:line="520" w:lineRule="exact"/>
              <w:rPr>
                <w:rFonts w:hint="eastAsia"/>
                <w:color w:val="000000"/>
              </w:rPr>
            </w:pPr>
            <w:r>
              <w:rPr>
                <w:rFonts w:hint="eastAsia"/>
                <w:color w:val="000000"/>
              </w:rPr>
              <w:t>工期</w:t>
            </w:r>
          </w:p>
        </w:tc>
        <w:tc>
          <w:tcPr>
            <w:tcW w:w="5100" w:type="dxa"/>
            <w:noWrap w:val="0"/>
            <w:vAlign w:val="center"/>
          </w:tcPr>
          <w:p>
            <w:pPr>
              <w:autoSpaceDE w:val="0"/>
              <w:autoSpaceDN w:val="0"/>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83" w:type="dxa"/>
            <w:vMerge w:val="continue"/>
            <w:noWrap w:val="0"/>
            <w:vAlign w:val="top"/>
          </w:tcPr>
          <w:p>
            <w:pPr>
              <w:autoSpaceDE w:val="0"/>
              <w:autoSpaceDN w:val="0"/>
              <w:spacing w:line="520" w:lineRule="exact"/>
              <w:ind w:firstLine="420"/>
              <w:rPr>
                <w:rFonts w:hint="eastAsia"/>
                <w:color w:val="000000"/>
              </w:rPr>
            </w:pPr>
          </w:p>
        </w:tc>
        <w:tc>
          <w:tcPr>
            <w:tcW w:w="1117" w:type="dxa"/>
            <w:vMerge w:val="continue"/>
            <w:noWrap w:val="0"/>
            <w:vAlign w:val="top"/>
          </w:tcPr>
          <w:p>
            <w:pPr>
              <w:autoSpaceDE w:val="0"/>
              <w:autoSpaceDN w:val="0"/>
              <w:spacing w:line="520" w:lineRule="exact"/>
              <w:ind w:firstLine="420"/>
              <w:rPr>
                <w:rFonts w:hint="eastAsia"/>
                <w:color w:val="000000"/>
              </w:rPr>
            </w:pPr>
          </w:p>
        </w:tc>
        <w:tc>
          <w:tcPr>
            <w:tcW w:w="1738" w:type="dxa"/>
            <w:noWrap w:val="0"/>
            <w:vAlign w:val="top"/>
          </w:tcPr>
          <w:p>
            <w:pPr>
              <w:autoSpaceDE w:val="0"/>
              <w:autoSpaceDN w:val="0"/>
              <w:spacing w:line="520" w:lineRule="exact"/>
              <w:rPr>
                <w:rFonts w:hint="eastAsia"/>
                <w:color w:val="000000"/>
              </w:rPr>
            </w:pPr>
            <w:r>
              <w:rPr>
                <w:rFonts w:hint="eastAsia"/>
                <w:color w:val="000000"/>
              </w:rPr>
              <w:t>工程质量</w:t>
            </w:r>
          </w:p>
        </w:tc>
        <w:tc>
          <w:tcPr>
            <w:tcW w:w="5100" w:type="dxa"/>
            <w:noWrap w:val="0"/>
            <w:vAlign w:val="center"/>
          </w:tcPr>
          <w:p>
            <w:pPr>
              <w:autoSpaceDE w:val="0"/>
              <w:autoSpaceDN w:val="0"/>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83" w:type="dxa"/>
            <w:vMerge w:val="continue"/>
            <w:noWrap w:val="0"/>
            <w:vAlign w:val="top"/>
          </w:tcPr>
          <w:p>
            <w:pPr>
              <w:autoSpaceDE w:val="0"/>
              <w:autoSpaceDN w:val="0"/>
              <w:spacing w:line="520" w:lineRule="exact"/>
              <w:ind w:firstLine="420"/>
              <w:rPr>
                <w:rFonts w:hint="eastAsia"/>
                <w:color w:val="000000"/>
              </w:rPr>
            </w:pPr>
          </w:p>
        </w:tc>
        <w:tc>
          <w:tcPr>
            <w:tcW w:w="1117" w:type="dxa"/>
            <w:vMerge w:val="continue"/>
            <w:noWrap w:val="0"/>
            <w:vAlign w:val="top"/>
          </w:tcPr>
          <w:p>
            <w:pPr>
              <w:autoSpaceDE w:val="0"/>
              <w:autoSpaceDN w:val="0"/>
              <w:spacing w:line="520" w:lineRule="exact"/>
              <w:ind w:firstLine="420"/>
              <w:rPr>
                <w:rFonts w:hint="eastAsia"/>
                <w:color w:val="000000"/>
              </w:rPr>
            </w:pPr>
          </w:p>
        </w:tc>
        <w:tc>
          <w:tcPr>
            <w:tcW w:w="1738" w:type="dxa"/>
            <w:noWrap w:val="0"/>
            <w:vAlign w:val="top"/>
          </w:tcPr>
          <w:p>
            <w:pPr>
              <w:autoSpaceDE w:val="0"/>
              <w:autoSpaceDN w:val="0"/>
              <w:spacing w:line="520" w:lineRule="exact"/>
              <w:rPr>
                <w:rFonts w:hint="eastAsia"/>
                <w:color w:val="000000"/>
              </w:rPr>
            </w:pPr>
            <w:r>
              <w:rPr>
                <w:rFonts w:hint="eastAsia"/>
                <w:color w:val="000000"/>
                <w:lang w:eastAsia="zh-CN"/>
              </w:rPr>
              <w:t>询比</w:t>
            </w:r>
            <w:r>
              <w:rPr>
                <w:rFonts w:hint="eastAsia"/>
                <w:color w:val="000000"/>
              </w:rPr>
              <w:t>保证金</w:t>
            </w:r>
          </w:p>
        </w:tc>
        <w:tc>
          <w:tcPr>
            <w:tcW w:w="5100" w:type="dxa"/>
            <w:noWrap w:val="0"/>
            <w:vAlign w:val="center"/>
          </w:tcPr>
          <w:p>
            <w:pPr>
              <w:autoSpaceDE w:val="0"/>
              <w:autoSpaceDN w:val="0"/>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83" w:type="dxa"/>
            <w:vMerge w:val="continue"/>
            <w:noWrap w:val="0"/>
            <w:vAlign w:val="top"/>
          </w:tcPr>
          <w:p>
            <w:pPr>
              <w:autoSpaceDE w:val="0"/>
              <w:autoSpaceDN w:val="0"/>
              <w:spacing w:line="520" w:lineRule="exact"/>
              <w:ind w:firstLine="420"/>
              <w:rPr>
                <w:rFonts w:hint="eastAsia"/>
                <w:color w:val="000000"/>
              </w:rPr>
            </w:pPr>
          </w:p>
        </w:tc>
        <w:tc>
          <w:tcPr>
            <w:tcW w:w="1117" w:type="dxa"/>
            <w:vMerge w:val="continue"/>
            <w:noWrap w:val="0"/>
            <w:vAlign w:val="top"/>
          </w:tcPr>
          <w:p>
            <w:pPr>
              <w:autoSpaceDE w:val="0"/>
              <w:autoSpaceDN w:val="0"/>
              <w:spacing w:line="520" w:lineRule="exact"/>
              <w:ind w:firstLine="420"/>
              <w:rPr>
                <w:rFonts w:hint="eastAsia"/>
                <w:color w:val="000000"/>
              </w:rPr>
            </w:pPr>
          </w:p>
        </w:tc>
        <w:tc>
          <w:tcPr>
            <w:tcW w:w="1738" w:type="dxa"/>
            <w:noWrap w:val="0"/>
            <w:vAlign w:val="top"/>
          </w:tcPr>
          <w:p>
            <w:pPr>
              <w:spacing w:line="520" w:lineRule="exact"/>
              <w:rPr>
                <w:color w:val="000000"/>
              </w:rPr>
            </w:pPr>
            <w:r>
              <w:rPr>
                <w:rFonts w:hint="eastAsia"/>
                <w:color w:val="000000"/>
              </w:rPr>
              <w:t>澄清、说明或补正</w:t>
            </w:r>
          </w:p>
        </w:tc>
        <w:tc>
          <w:tcPr>
            <w:tcW w:w="5100" w:type="dxa"/>
            <w:noWrap w:val="0"/>
            <w:vAlign w:val="top"/>
          </w:tcPr>
          <w:p>
            <w:pPr>
              <w:spacing w:line="520" w:lineRule="exact"/>
              <w:rPr>
                <w:color w:val="000000"/>
              </w:rPr>
            </w:pPr>
            <w:r>
              <w:rPr>
                <w:rFonts w:hint="eastAsia"/>
                <w:color w:val="000000"/>
              </w:rPr>
              <w:t>按</w:t>
            </w:r>
            <w:r>
              <w:rPr>
                <w:rFonts w:hint="eastAsia"/>
                <w:color w:val="000000"/>
                <w:lang w:eastAsia="zh-CN"/>
              </w:rPr>
              <w:t>询比</w:t>
            </w:r>
            <w:r>
              <w:rPr>
                <w:rFonts w:hint="eastAsia"/>
                <w:color w:val="000000"/>
              </w:rPr>
              <w:t>小组会要求澄清、说明或补正的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983" w:type="dxa"/>
            <w:noWrap w:val="0"/>
            <w:vAlign w:val="top"/>
          </w:tcPr>
          <w:p>
            <w:pPr>
              <w:autoSpaceDE w:val="0"/>
              <w:autoSpaceDN w:val="0"/>
              <w:spacing w:line="520" w:lineRule="exact"/>
              <w:rPr>
                <w:rFonts w:hint="eastAsia"/>
                <w:color w:val="000000"/>
              </w:rPr>
            </w:pPr>
          </w:p>
        </w:tc>
        <w:tc>
          <w:tcPr>
            <w:tcW w:w="1117" w:type="dxa"/>
            <w:noWrap w:val="0"/>
            <w:vAlign w:val="top"/>
          </w:tcPr>
          <w:p>
            <w:pPr>
              <w:autoSpaceDE w:val="0"/>
              <w:autoSpaceDN w:val="0"/>
              <w:spacing w:line="520" w:lineRule="exact"/>
              <w:rPr>
                <w:rFonts w:hint="eastAsia"/>
                <w:color w:val="000000"/>
              </w:rPr>
            </w:pPr>
          </w:p>
        </w:tc>
        <w:tc>
          <w:tcPr>
            <w:tcW w:w="1738" w:type="dxa"/>
            <w:noWrap w:val="0"/>
            <w:vAlign w:val="top"/>
          </w:tcPr>
          <w:p>
            <w:pPr>
              <w:spacing w:line="520" w:lineRule="exact"/>
              <w:rPr>
                <w:rFonts w:hint="eastAsia"/>
                <w:color w:val="000000"/>
              </w:rPr>
            </w:pPr>
            <w:r>
              <w:rPr>
                <w:rFonts w:hint="eastAsia"/>
                <w:color w:val="000000"/>
              </w:rPr>
              <w:t>其他情形</w:t>
            </w:r>
          </w:p>
        </w:tc>
        <w:tc>
          <w:tcPr>
            <w:tcW w:w="5100" w:type="dxa"/>
            <w:noWrap w:val="0"/>
            <w:vAlign w:val="top"/>
          </w:tcPr>
          <w:p>
            <w:pPr>
              <w:spacing w:line="520" w:lineRule="exact"/>
              <w:rPr>
                <w:rFonts w:hint="eastAsia"/>
                <w:color w:val="000000"/>
              </w:rPr>
            </w:pPr>
            <w:r>
              <w:rPr>
                <w:rFonts w:hint="eastAsia"/>
                <w:color w:val="000000"/>
                <w:szCs w:val="20"/>
              </w:rPr>
              <w:t>响应文件中无有采购人不能接受的条件或</w:t>
            </w:r>
            <w:r>
              <w:rPr>
                <w:rFonts w:hint="eastAsia"/>
                <w:color w:val="000000"/>
                <w:lang w:eastAsia="zh-CN"/>
              </w:rPr>
              <w:t>询比</w:t>
            </w:r>
            <w:r>
              <w:rPr>
                <w:rFonts w:hint="eastAsia"/>
                <w:color w:val="000000"/>
              </w:rPr>
              <w:t>专家小组认为应按无效</w:t>
            </w:r>
            <w:r>
              <w:rPr>
                <w:rFonts w:hint="eastAsia"/>
                <w:color w:val="000000"/>
                <w:lang w:eastAsia="zh-CN"/>
              </w:rPr>
              <w:t>询比</w:t>
            </w:r>
            <w:r>
              <w:rPr>
                <w:rFonts w:hint="eastAsia"/>
                <w:color w:val="000000"/>
              </w:rPr>
              <w:t>处理的其他情况</w:t>
            </w:r>
          </w:p>
        </w:tc>
      </w:tr>
    </w:tbl>
    <w:p>
      <w:pPr>
        <w:spacing w:line="312"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3.</w:t>
      </w:r>
      <w:r>
        <w:rPr>
          <w:rFonts w:hint="eastAsia" w:ascii="仿宋" w:hAnsi="仿宋" w:eastAsia="仿宋" w:cs="宋体"/>
          <w:b/>
          <w:bCs/>
          <w:color w:val="000000" w:themeColor="text1"/>
          <w:sz w:val="24"/>
          <w:szCs w:val="24"/>
          <w:highlight w:val="none"/>
          <w14:textFill>
            <w14:solidFill>
              <w14:schemeClr w14:val="tx1"/>
            </w14:solidFill>
          </w14:textFill>
        </w:rPr>
        <w:t>询比程序</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1</w:t>
      </w:r>
      <w:r>
        <w:rPr>
          <w:rFonts w:hint="eastAsia" w:ascii="仿宋" w:hAnsi="仿宋" w:eastAsia="仿宋" w:cs="宋体"/>
          <w:color w:val="000000" w:themeColor="text1"/>
          <w:sz w:val="24"/>
          <w:szCs w:val="24"/>
          <w:highlight w:val="none"/>
          <w14:textFill>
            <w14:solidFill>
              <w14:schemeClr w14:val="tx1"/>
            </w14:solidFill>
          </w14:textFill>
        </w:rPr>
        <w:t>）询比小组分别与响应人就询比内容进行一对一的询比。</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2</w:t>
      </w:r>
      <w:r>
        <w:rPr>
          <w:rFonts w:hint="eastAsia" w:ascii="仿宋" w:hAnsi="仿宋" w:eastAsia="仿宋" w:cs="宋体"/>
          <w:color w:val="000000" w:themeColor="text1"/>
          <w:sz w:val="24"/>
          <w:szCs w:val="24"/>
          <w:highlight w:val="none"/>
          <w14:textFill>
            <w14:solidFill>
              <w14:schemeClr w14:val="tx1"/>
            </w14:solidFill>
          </w14:textFill>
        </w:rPr>
        <w:t>）询比小组采取综合评议的评定办法进行评议，即从商务、技术、资信等方面，分别对响应人进行询比评审：</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）响应人的基本情况。</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4</w:t>
      </w:r>
      <w:r>
        <w:rPr>
          <w:rFonts w:hint="eastAsia" w:ascii="仿宋" w:hAnsi="仿宋" w:eastAsia="仿宋" w:cs="宋体"/>
          <w:color w:val="000000" w:themeColor="text1"/>
          <w:sz w:val="24"/>
          <w:szCs w:val="24"/>
          <w:highlight w:val="none"/>
          <w14:textFill>
            <w14:solidFill>
              <w14:schemeClr w14:val="tx1"/>
            </w14:solidFill>
          </w14:textFill>
        </w:rPr>
        <w:t>）响应人的资信情况。</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5</w:t>
      </w:r>
      <w:r>
        <w:rPr>
          <w:rFonts w:hint="eastAsia" w:ascii="仿宋" w:hAnsi="仿宋" w:eastAsia="仿宋" w:cs="宋体"/>
          <w:color w:val="000000" w:themeColor="text1"/>
          <w:sz w:val="24"/>
          <w:szCs w:val="24"/>
          <w:highlight w:val="none"/>
          <w14:textFill>
            <w14:solidFill>
              <w14:schemeClr w14:val="tx1"/>
            </w14:solidFill>
          </w14:textFill>
        </w:rPr>
        <w:t>）商务报价情况。</w:t>
      </w:r>
    </w:p>
    <w:p>
      <w:pPr>
        <w:spacing w:line="312"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 xml:space="preserve">4. </w:t>
      </w:r>
      <w:r>
        <w:rPr>
          <w:rFonts w:hint="eastAsia" w:ascii="仿宋" w:hAnsi="仿宋" w:eastAsia="仿宋" w:cs="宋体"/>
          <w:b/>
          <w:bCs/>
          <w:color w:val="000000" w:themeColor="text1"/>
          <w:sz w:val="24"/>
          <w:szCs w:val="24"/>
          <w:highlight w:val="none"/>
          <w14:textFill>
            <w14:solidFill>
              <w14:schemeClr w14:val="tx1"/>
            </w14:solidFill>
          </w14:textFill>
        </w:rPr>
        <w:t>询比评定成交的办法</w:t>
      </w:r>
    </w:p>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询比小组在询比的基础上，询比小组根据技术、商务等完全符合采购单位需求的情况下结合该项目的特点制定本评审办法。本次评审采用综合评分法。</w:t>
      </w:r>
    </w:p>
    <w:tbl>
      <w:tblPr>
        <w:tblStyle w:val="25"/>
        <w:tblW w:w="8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598"/>
        <w:gridCol w:w="980"/>
        <w:gridCol w:w="1484"/>
        <w:gridCol w:w="5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39" w:hRule="atLeast"/>
          <w:jc w:val="center"/>
        </w:trPr>
        <w:tc>
          <w:tcPr>
            <w:tcW w:w="1578" w:type="dxa"/>
            <w:gridSpan w:val="2"/>
            <w:noWrap w:val="0"/>
            <w:vAlign w:val="top"/>
          </w:tcPr>
          <w:p>
            <w:pPr>
              <w:autoSpaceDE w:val="0"/>
              <w:autoSpaceDN w:val="0"/>
              <w:spacing w:line="520" w:lineRule="exact"/>
              <w:jc w:val="center"/>
              <w:rPr>
                <w:rFonts w:hint="eastAsia"/>
                <w:b/>
                <w:color w:val="000000"/>
              </w:rPr>
            </w:pPr>
            <w:r>
              <w:rPr>
                <w:rFonts w:hint="eastAsia"/>
                <w:b/>
                <w:color w:val="000000"/>
              </w:rPr>
              <w:t>条款号</w:t>
            </w:r>
          </w:p>
        </w:tc>
        <w:tc>
          <w:tcPr>
            <w:tcW w:w="1484" w:type="dxa"/>
            <w:noWrap w:val="0"/>
            <w:vAlign w:val="top"/>
          </w:tcPr>
          <w:p>
            <w:pPr>
              <w:autoSpaceDE w:val="0"/>
              <w:autoSpaceDN w:val="0"/>
              <w:spacing w:line="520" w:lineRule="exact"/>
              <w:jc w:val="center"/>
              <w:rPr>
                <w:rFonts w:hint="eastAsia"/>
                <w:b/>
                <w:color w:val="000000"/>
              </w:rPr>
            </w:pPr>
            <w:r>
              <w:rPr>
                <w:rFonts w:hint="eastAsia"/>
                <w:b/>
                <w:color w:val="000000"/>
              </w:rPr>
              <w:t>评分因素</w:t>
            </w:r>
          </w:p>
        </w:tc>
        <w:tc>
          <w:tcPr>
            <w:tcW w:w="5436" w:type="dxa"/>
            <w:noWrap w:val="0"/>
            <w:vAlign w:val="top"/>
          </w:tcPr>
          <w:p>
            <w:pPr>
              <w:autoSpaceDE w:val="0"/>
              <w:autoSpaceDN w:val="0"/>
              <w:spacing w:line="520" w:lineRule="exact"/>
              <w:jc w:val="center"/>
              <w:rPr>
                <w:rFonts w:hint="eastAsia"/>
                <w:b/>
                <w:color w:val="000000"/>
              </w:rPr>
            </w:pPr>
            <w:r>
              <w:rPr>
                <w:rFonts w:hint="eastAsia"/>
                <w:b/>
                <w:color w:val="000000"/>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96" w:hRule="atLeast"/>
          <w:jc w:val="center"/>
        </w:trPr>
        <w:tc>
          <w:tcPr>
            <w:tcW w:w="598" w:type="dxa"/>
            <w:vMerge w:val="restart"/>
            <w:noWrap w:val="0"/>
            <w:vAlign w:val="center"/>
          </w:tcPr>
          <w:p>
            <w:pPr>
              <w:autoSpaceDE w:val="0"/>
              <w:autoSpaceDN w:val="0"/>
              <w:spacing w:line="520" w:lineRule="exact"/>
              <w:jc w:val="center"/>
              <w:rPr>
                <w:rFonts w:hint="eastAsia"/>
                <w:color w:val="000000"/>
              </w:rPr>
            </w:pPr>
            <w:r>
              <w:rPr>
                <w:rFonts w:hint="eastAsia"/>
                <w:color w:val="000000"/>
              </w:rPr>
              <w:t>1</w:t>
            </w:r>
          </w:p>
        </w:tc>
        <w:tc>
          <w:tcPr>
            <w:tcW w:w="980" w:type="dxa"/>
            <w:vMerge w:val="restart"/>
            <w:noWrap w:val="0"/>
            <w:vAlign w:val="center"/>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 xml:space="preserve">                 施工组织设计评分标准  （</w:t>
            </w:r>
            <w:r>
              <w:rPr>
                <w:rFonts w:hint="eastAsia" w:ascii="仿宋" w:hAnsi="仿宋" w:eastAsia="仿宋" w:cs="宋体"/>
                <w:color w:val="000000" w:themeColor="text1"/>
                <w:sz w:val="24"/>
                <w:szCs w:val="24"/>
                <w:highlight w:val="none"/>
                <w:lang w:val="en-US" w:eastAsia="zh-CN"/>
                <w14:textFill>
                  <w14:solidFill>
                    <w14:schemeClr w14:val="tx1"/>
                  </w14:solidFill>
                </w14:textFill>
              </w:rPr>
              <w:t>46</w:t>
            </w:r>
            <w:r>
              <w:rPr>
                <w:rFonts w:hint="eastAsia" w:ascii="仿宋" w:hAnsi="仿宋" w:eastAsia="仿宋" w:cs="宋体"/>
                <w:color w:val="000000" w:themeColor="text1"/>
                <w:sz w:val="24"/>
                <w:szCs w:val="24"/>
                <w:highlight w:val="none"/>
                <w14:textFill>
                  <w14:solidFill>
                    <w14:schemeClr w14:val="tx1"/>
                  </w14:solidFill>
                </w14:textFill>
              </w:rPr>
              <w:t>分）</w:t>
            </w:r>
          </w:p>
        </w:tc>
        <w:tc>
          <w:tcPr>
            <w:tcW w:w="1484" w:type="dxa"/>
            <w:noWrap w:val="0"/>
            <w:vAlign w:val="center"/>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施工方案与</w:t>
            </w:r>
          </w:p>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技术措施</w:t>
            </w:r>
            <w:r>
              <w:rPr>
                <w:rFonts w:hint="eastAsia" w:ascii="仿宋" w:hAnsi="仿宋" w:eastAsia="仿宋" w:cs="宋体"/>
                <w:color w:val="000000" w:themeColor="text1"/>
                <w:sz w:val="24"/>
                <w:szCs w:val="24"/>
                <w:highlight w:val="none"/>
                <w:lang w:val="en-US" w:eastAsia="zh-CN"/>
                <w14:textFill>
                  <w14:solidFill>
                    <w14:schemeClr w14:val="tx1"/>
                  </w14:solidFill>
                </w14:textFill>
              </w:rPr>
              <w:t>8</w:t>
            </w:r>
            <w:r>
              <w:rPr>
                <w:rFonts w:hint="eastAsia" w:ascii="仿宋" w:hAnsi="仿宋" w:eastAsia="仿宋" w:cs="宋体"/>
                <w:color w:val="000000" w:themeColor="text1"/>
                <w:sz w:val="24"/>
                <w:szCs w:val="24"/>
                <w:highlight w:val="none"/>
                <w14:textFill>
                  <w14:solidFill>
                    <w14:schemeClr w14:val="tx1"/>
                  </w14:solidFill>
                </w14:textFill>
              </w:rPr>
              <w:t>分</w:t>
            </w:r>
          </w:p>
        </w:tc>
        <w:tc>
          <w:tcPr>
            <w:tcW w:w="5436" w:type="dxa"/>
            <w:noWrap w:val="0"/>
            <w:vAlign w:val="top"/>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施工部署合理，施工顺序及方案切实可行、针对性强；各项管理目标明确，技术措施满足工期、质量、安全生产及文明施工要求。较好者</w:t>
            </w:r>
            <w:r>
              <w:rPr>
                <w:rFonts w:hint="eastAsia" w:ascii="仿宋" w:hAnsi="仿宋" w:eastAsia="仿宋" w:cs="宋体"/>
                <w:color w:val="000000" w:themeColor="text1"/>
                <w:sz w:val="24"/>
                <w:szCs w:val="24"/>
                <w:highlight w:val="none"/>
                <w:lang w:val="en-US" w:eastAsia="zh-CN"/>
                <w14:textFill>
                  <w14:solidFill>
                    <w14:schemeClr w14:val="tx1"/>
                  </w14:solidFill>
                </w14:textFill>
              </w:rPr>
              <w:t>4-8</w:t>
            </w:r>
            <w:r>
              <w:rPr>
                <w:rFonts w:hint="eastAsia" w:ascii="仿宋" w:hAnsi="仿宋" w:eastAsia="仿宋" w:cs="宋体"/>
                <w:color w:val="000000" w:themeColor="text1"/>
                <w:sz w:val="24"/>
                <w:szCs w:val="24"/>
                <w:highlight w:val="none"/>
                <w14:textFill>
                  <w14:solidFill>
                    <w14:schemeClr w14:val="tx1"/>
                  </w14:solidFill>
                </w14:textFill>
              </w:rPr>
              <w:t>分，一般者</w:t>
            </w:r>
            <w:r>
              <w:rPr>
                <w:rFonts w:hint="eastAsia" w:ascii="仿宋" w:hAnsi="仿宋" w:eastAsia="仿宋" w:cs="宋体"/>
                <w:color w:val="000000" w:themeColor="text1"/>
                <w:sz w:val="24"/>
                <w:szCs w:val="24"/>
                <w:highlight w:val="none"/>
                <w:lang w:val="en-US" w:eastAsia="zh-CN"/>
                <w14:textFill>
                  <w14:solidFill>
                    <w14:schemeClr w14:val="tx1"/>
                  </w14:solidFill>
                </w14:textFill>
              </w:rPr>
              <w:t>1-3</w:t>
            </w:r>
            <w:r>
              <w:rPr>
                <w:rFonts w:hint="eastAsia" w:ascii="仿宋" w:hAnsi="仿宋" w:eastAsia="仿宋" w:cs="宋体"/>
                <w:color w:val="000000" w:themeColor="text1"/>
                <w:sz w:val="24"/>
                <w:szCs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96" w:hRule="atLeast"/>
          <w:jc w:val="center"/>
        </w:trPr>
        <w:tc>
          <w:tcPr>
            <w:tcW w:w="598" w:type="dxa"/>
            <w:vMerge w:val="continue"/>
            <w:noWrap w:val="0"/>
            <w:vAlign w:val="center"/>
          </w:tcPr>
          <w:p>
            <w:pPr>
              <w:autoSpaceDE w:val="0"/>
              <w:autoSpaceDN w:val="0"/>
              <w:spacing w:line="520" w:lineRule="exact"/>
              <w:jc w:val="center"/>
              <w:rPr>
                <w:rFonts w:hint="eastAsia"/>
                <w:color w:val="000000"/>
              </w:rPr>
            </w:pPr>
          </w:p>
        </w:tc>
        <w:tc>
          <w:tcPr>
            <w:tcW w:w="980" w:type="dxa"/>
            <w:vMerge w:val="continue"/>
            <w:noWrap w:val="0"/>
            <w:vAlign w:val="center"/>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p>
        </w:tc>
        <w:tc>
          <w:tcPr>
            <w:tcW w:w="1484" w:type="dxa"/>
            <w:noWrap w:val="0"/>
            <w:vAlign w:val="center"/>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质量管理体系与措施</w:t>
            </w:r>
            <w:r>
              <w:rPr>
                <w:rFonts w:hint="eastAsia" w:ascii="仿宋" w:hAnsi="仿宋" w:eastAsia="仿宋" w:cs="宋体"/>
                <w:color w:val="000000" w:themeColor="text1"/>
                <w:sz w:val="24"/>
                <w:szCs w:val="24"/>
                <w:highlight w:val="none"/>
                <w:lang w:val="en-US" w:eastAsia="zh-CN"/>
                <w14:textFill>
                  <w14:solidFill>
                    <w14:schemeClr w14:val="tx1"/>
                  </w14:solidFill>
                </w14:textFill>
              </w:rPr>
              <w:t>8</w:t>
            </w:r>
            <w:r>
              <w:rPr>
                <w:rFonts w:hint="eastAsia" w:ascii="仿宋" w:hAnsi="仿宋" w:eastAsia="仿宋" w:cs="宋体"/>
                <w:color w:val="000000" w:themeColor="text1"/>
                <w:sz w:val="24"/>
                <w:szCs w:val="24"/>
                <w:highlight w:val="none"/>
                <w14:textFill>
                  <w14:solidFill>
                    <w14:schemeClr w14:val="tx1"/>
                  </w14:solidFill>
                </w14:textFill>
              </w:rPr>
              <w:t>分</w:t>
            </w:r>
          </w:p>
        </w:tc>
        <w:tc>
          <w:tcPr>
            <w:tcW w:w="5436" w:type="dxa"/>
            <w:noWrap w:val="0"/>
            <w:vAlign w:val="top"/>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质量管理体系健全、管理人员责任明确、管理制度健全有效，各项技术措施、主要分项工程、作业指导书符合现行国家质量验收标准要求。较好者</w:t>
            </w:r>
            <w:r>
              <w:rPr>
                <w:rFonts w:hint="eastAsia" w:ascii="仿宋" w:hAnsi="仿宋" w:eastAsia="仿宋" w:cs="宋体"/>
                <w:color w:val="000000" w:themeColor="text1"/>
                <w:sz w:val="24"/>
                <w:szCs w:val="24"/>
                <w:highlight w:val="none"/>
                <w:lang w:val="en-US" w:eastAsia="zh-CN"/>
                <w14:textFill>
                  <w14:solidFill>
                    <w14:schemeClr w14:val="tx1"/>
                  </w14:solidFill>
                </w14:textFill>
              </w:rPr>
              <w:t>4-8</w:t>
            </w:r>
            <w:r>
              <w:rPr>
                <w:rFonts w:hint="eastAsia" w:ascii="仿宋" w:hAnsi="仿宋" w:eastAsia="仿宋" w:cs="宋体"/>
                <w:color w:val="000000" w:themeColor="text1"/>
                <w:sz w:val="24"/>
                <w:szCs w:val="24"/>
                <w:highlight w:val="none"/>
                <w14:textFill>
                  <w14:solidFill>
                    <w14:schemeClr w14:val="tx1"/>
                  </w14:solidFill>
                </w14:textFill>
              </w:rPr>
              <w:t>分，一般者</w:t>
            </w:r>
            <w:r>
              <w:rPr>
                <w:rFonts w:hint="eastAsia" w:ascii="仿宋" w:hAnsi="仿宋" w:eastAsia="仿宋" w:cs="宋体"/>
                <w:color w:val="000000" w:themeColor="text1"/>
                <w:sz w:val="24"/>
                <w:szCs w:val="24"/>
                <w:highlight w:val="none"/>
                <w:lang w:val="en-US" w:eastAsia="zh-CN"/>
                <w14:textFill>
                  <w14:solidFill>
                    <w14:schemeClr w14:val="tx1"/>
                  </w14:solidFill>
                </w14:textFill>
              </w:rPr>
              <w:t>1-3</w:t>
            </w:r>
            <w:r>
              <w:rPr>
                <w:rFonts w:hint="eastAsia" w:ascii="仿宋" w:hAnsi="仿宋" w:eastAsia="仿宋" w:cs="宋体"/>
                <w:color w:val="000000" w:themeColor="text1"/>
                <w:sz w:val="24"/>
                <w:szCs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96" w:hRule="atLeast"/>
          <w:jc w:val="center"/>
        </w:trPr>
        <w:tc>
          <w:tcPr>
            <w:tcW w:w="598" w:type="dxa"/>
            <w:vMerge w:val="continue"/>
            <w:noWrap w:val="0"/>
            <w:vAlign w:val="center"/>
          </w:tcPr>
          <w:p>
            <w:pPr>
              <w:autoSpaceDE w:val="0"/>
              <w:autoSpaceDN w:val="0"/>
              <w:spacing w:line="520" w:lineRule="exact"/>
              <w:jc w:val="center"/>
              <w:rPr>
                <w:rFonts w:hint="eastAsia"/>
                <w:color w:val="000000"/>
              </w:rPr>
            </w:pPr>
          </w:p>
        </w:tc>
        <w:tc>
          <w:tcPr>
            <w:tcW w:w="980" w:type="dxa"/>
            <w:vMerge w:val="continue"/>
            <w:noWrap w:val="0"/>
            <w:vAlign w:val="center"/>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p>
        </w:tc>
        <w:tc>
          <w:tcPr>
            <w:tcW w:w="1484" w:type="dxa"/>
            <w:noWrap w:val="0"/>
            <w:vAlign w:val="center"/>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安全管理体系</w:t>
            </w:r>
          </w:p>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与措施</w:t>
            </w:r>
            <w:r>
              <w:rPr>
                <w:rFonts w:hint="eastAsia" w:ascii="仿宋" w:hAnsi="仿宋" w:eastAsia="仿宋" w:cs="宋体"/>
                <w:color w:val="000000" w:themeColor="text1"/>
                <w:sz w:val="24"/>
                <w:szCs w:val="24"/>
                <w:highlight w:val="none"/>
                <w:lang w:val="en-US" w:eastAsia="zh-CN"/>
                <w14:textFill>
                  <w14:solidFill>
                    <w14:schemeClr w14:val="tx1"/>
                  </w14:solidFill>
                </w14:textFill>
              </w:rPr>
              <w:t>8</w:t>
            </w:r>
            <w:r>
              <w:rPr>
                <w:rFonts w:hint="eastAsia" w:ascii="仿宋" w:hAnsi="仿宋" w:eastAsia="仿宋" w:cs="宋体"/>
                <w:color w:val="000000" w:themeColor="text1"/>
                <w:sz w:val="24"/>
                <w:szCs w:val="24"/>
                <w:highlight w:val="none"/>
                <w14:textFill>
                  <w14:solidFill>
                    <w14:schemeClr w14:val="tx1"/>
                  </w14:solidFill>
                </w14:textFill>
              </w:rPr>
              <w:t>分</w:t>
            </w:r>
          </w:p>
        </w:tc>
        <w:tc>
          <w:tcPr>
            <w:tcW w:w="5436" w:type="dxa"/>
            <w:noWrap w:val="0"/>
            <w:vAlign w:val="top"/>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安全管理体系健全、管理人员岗位责任明确、各种安全教育制度健全有效、施工现场安全技术管理及防护、防范措施得力，符合国家安全生产管理规定。较好者</w:t>
            </w:r>
            <w:r>
              <w:rPr>
                <w:rFonts w:hint="eastAsia" w:ascii="仿宋" w:hAnsi="仿宋" w:eastAsia="仿宋" w:cs="宋体"/>
                <w:color w:val="000000" w:themeColor="text1"/>
                <w:sz w:val="24"/>
                <w:szCs w:val="24"/>
                <w:highlight w:val="none"/>
                <w:lang w:val="en-US" w:eastAsia="zh-CN"/>
                <w14:textFill>
                  <w14:solidFill>
                    <w14:schemeClr w14:val="tx1"/>
                  </w14:solidFill>
                </w14:textFill>
              </w:rPr>
              <w:t>4-8</w:t>
            </w:r>
            <w:r>
              <w:rPr>
                <w:rFonts w:hint="eastAsia" w:ascii="仿宋" w:hAnsi="仿宋" w:eastAsia="仿宋" w:cs="宋体"/>
                <w:color w:val="000000" w:themeColor="text1"/>
                <w:sz w:val="24"/>
                <w:szCs w:val="24"/>
                <w:highlight w:val="none"/>
                <w14:textFill>
                  <w14:solidFill>
                    <w14:schemeClr w14:val="tx1"/>
                  </w14:solidFill>
                </w14:textFill>
              </w:rPr>
              <w:t>分，一般者</w:t>
            </w:r>
            <w:r>
              <w:rPr>
                <w:rFonts w:hint="eastAsia" w:ascii="仿宋" w:hAnsi="仿宋" w:eastAsia="仿宋" w:cs="宋体"/>
                <w:color w:val="000000" w:themeColor="text1"/>
                <w:sz w:val="24"/>
                <w:szCs w:val="24"/>
                <w:highlight w:val="none"/>
                <w:lang w:val="en-US" w:eastAsia="zh-CN"/>
                <w14:textFill>
                  <w14:solidFill>
                    <w14:schemeClr w14:val="tx1"/>
                  </w14:solidFill>
                </w14:textFill>
              </w:rPr>
              <w:t>1-3</w:t>
            </w:r>
            <w:r>
              <w:rPr>
                <w:rFonts w:hint="eastAsia" w:ascii="仿宋" w:hAnsi="仿宋" w:eastAsia="仿宋" w:cs="宋体"/>
                <w:color w:val="000000" w:themeColor="text1"/>
                <w:sz w:val="24"/>
                <w:szCs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96" w:hRule="atLeast"/>
          <w:jc w:val="center"/>
        </w:trPr>
        <w:tc>
          <w:tcPr>
            <w:tcW w:w="598" w:type="dxa"/>
            <w:vMerge w:val="continue"/>
            <w:noWrap w:val="0"/>
            <w:vAlign w:val="center"/>
          </w:tcPr>
          <w:p>
            <w:pPr>
              <w:autoSpaceDE w:val="0"/>
              <w:autoSpaceDN w:val="0"/>
              <w:spacing w:line="520" w:lineRule="exact"/>
              <w:jc w:val="center"/>
              <w:rPr>
                <w:rFonts w:hint="eastAsia"/>
                <w:color w:val="000000"/>
              </w:rPr>
            </w:pPr>
          </w:p>
        </w:tc>
        <w:tc>
          <w:tcPr>
            <w:tcW w:w="980" w:type="dxa"/>
            <w:vMerge w:val="continue"/>
            <w:noWrap w:val="0"/>
            <w:vAlign w:val="center"/>
          </w:tcPr>
          <w:p>
            <w:pPr>
              <w:autoSpaceDE w:val="0"/>
              <w:autoSpaceDN w:val="0"/>
              <w:spacing w:line="520" w:lineRule="exact"/>
              <w:jc w:val="center"/>
              <w:rPr>
                <w:rFonts w:hint="eastAsia"/>
                <w:color w:val="000000"/>
              </w:rPr>
            </w:pPr>
          </w:p>
        </w:tc>
        <w:tc>
          <w:tcPr>
            <w:tcW w:w="1484" w:type="dxa"/>
            <w:noWrap w:val="0"/>
            <w:vAlign w:val="center"/>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环境保护管理体系与措施</w:t>
            </w:r>
            <w:r>
              <w:rPr>
                <w:rFonts w:hint="eastAsia" w:ascii="仿宋" w:hAnsi="仿宋" w:eastAsia="仿宋" w:cs="宋体"/>
                <w:color w:val="000000" w:themeColor="text1"/>
                <w:sz w:val="24"/>
                <w:szCs w:val="24"/>
                <w:highlight w:val="none"/>
                <w:lang w:val="en-US" w:eastAsia="zh-CN"/>
                <w14:textFill>
                  <w14:solidFill>
                    <w14:schemeClr w14:val="tx1"/>
                  </w14:solidFill>
                </w14:textFill>
              </w:rPr>
              <w:t>6</w:t>
            </w:r>
            <w:r>
              <w:rPr>
                <w:rFonts w:hint="eastAsia" w:ascii="仿宋" w:hAnsi="仿宋" w:eastAsia="仿宋" w:cs="宋体"/>
                <w:color w:val="000000" w:themeColor="text1"/>
                <w:sz w:val="24"/>
                <w:szCs w:val="24"/>
                <w:highlight w:val="none"/>
                <w14:textFill>
                  <w14:solidFill>
                    <w14:schemeClr w14:val="tx1"/>
                  </w14:solidFill>
                </w14:textFill>
              </w:rPr>
              <w:t>分</w:t>
            </w:r>
          </w:p>
        </w:tc>
        <w:tc>
          <w:tcPr>
            <w:tcW w:w="5436" w:type="dxa"/>
            <w:noWrap w:val="0"/>
            <w:vAlign w:val="top"/>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环境保护管理体系健全，管理人员岗位责任明确，环境管理方案切实可行、能有效运行。污物处理与排放符合国家及地方有关环境保护标准。较好者</w:t>
            </w:r>
            <w:r>
              <w:rPr>
                <w:rFonts w:hint="eastAsia" w:ascii="仿宋" w:hAnsi="仿宋" w:eastAsia="仿宋" w:cs="宋体"/>
                <w:color w:val="000000" w:themeColor="text1"/>
                <w:sz w:val="24"/>
                <w:szCs w:val="24"/>
                <w:highlight w:val="none"/>
                <w:lang w:val="en-US" w:eastAsia="zh-CN"/>
                <w14:textFill>
                  <w14:solidFill>
                    <w14:schemeClr w14:val="tx1"/>
                  </w14:solidFill>
                </w14:textFill>
              </w:rPr>
              <w:t>4-6</w:t>
            </w:r>
            <w:r>
              <w:rPr>
                <w:rFonts w:hint="eastAsia" w:ascii="仿宋" w:hAnsi="仿宋" w:eastAsia="仿宋" w:cs="宋体"/>
                <w:color w:val="000000" w:themeColor="text1"/>
                <w:sz w:val="24"/>
                <w:szCs w:val="24"/>
                <w:highlight w:val="none"/>
                <w14:textFill>
                  <w14:solidFill>
                    <w14:schemeClr w14:val="tx1"/>
                  </w14:solidFill>
                </w14:textFill>
              </w:rPr>
              <w:t>分，一般者</w:t>
            </w:r>
            <w:r>
              <w:rPr>
                <w:rFonts w:hint="eastAsia" w:ascii="仿宋" w:hAnsi="仿宋" w:eastAsia="仿宋" w:cs="宋体"/>
                <w:color w:val="000000" w:themeColor="text1"/>
                <w:sz w:val="24"/>
                <w:szCs w:val="24"/>
                <w:highlight w:val="none"/>
                <w:lang w:val="en-US" w:eastAsia="zh-CN"/>
                <w14:textFill>
                  <w14:solidFill>
                    <w14:schemeClr w14:val="tx1"/>
                  </w14:solidFill>
                </w14:textFill>
              </w:rPr>
              <w:t>1-3</w:t>
            </w:r>
            <w:r>
              <w:rPr>
                <w:rFonts w:hint="eastAsia" w:ascii="仿宋" w:hAnsi="仿宋" w:eastAsia="仿宋" w:cs="宋体"/>
                <w:color w:val="000000" w:themeColor="text1"/>
                <w:sz w:val="24"/>
                <w:szCs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75" w:hRule="atLeast"/>
          <w:jc w:val="center"/>
        </w:trPr>
        <w:tc>
          <w:tcPr>
            <w:tcW w:w="598" w:type="dxa"/>
            <w:vMerge w:val="continue"/>
            <w:noWrap w:val="0"/>
            <w:vAlign w:val="center"/>
          </w:tcPr>
          <w:p>
            <w:pPr>
              <w:autoSpaceDE w:val="0"/>
              <w:autoSpaceDN w:val="0"/>
              <w:spacing w:line="520" w:lineRule="exact"/>
              <w:jc w:val="center"/>
              <w:rPr>
                <w:rFonts w:hint="eastAsia"/>
                <w:color w:val="000000"/>
              </w:rPr>
            </w:pPr>
          </w:p>
        </w:tc>
        <w:tc>
          <w:tcPr>
            <w:tcW w:w="980" w:type="dxa"/>
            <w:vMerge w:val="continue"/>
            <w:noWrap w:val="0"/>
            <w:vAlign w:val="center"/>
          </w:tcPr>
          <w:p>
            <w:pPr>
              <w:autoSpaceDE w:val="0"/>
              <w:autoSpaceDN w:val="0"/>
              <w:spacing w:line="520" w:lineRule="exact"/>
              <w:jc w:val="center"/>
              <w:rPr>
                <w:rFonts w:hint="eastAsia"/>
                <w:color w:val="000000"/>
              </w:rPr>
            </w:pPr>
          </w:p>
        </w:tc>
        <w:tc>
          <w:tcPr>
            <w:tcW w:w="1484" w:type="dxa"/>
            <w:noWrap w:val="0"/>
            <w:vAlign w:val="center"/>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工程进度计划</w:t>
            </w:r>
          </w:p>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与措施</w:t>
            </w:r>
            <w:r>
              <w:rPr>
                <w:rFonts w:hint="eastAsia" w:ascii="仿宋" w:hAnsi="仿宋" w:eastAsia="仿宋" w:cs="宋体"/>
                <w:color w:val="000000" w:themeColor="text1"/>
                <w:sz w:val="24"/>
                <w:szCs w:val="24"/>
                <w:highlight w:val="none"/>
                <w:lang w:val="en-US" w:eastAsia="zh-CN"/>
                <w14:textFill>
                  <w14:solidFill>
                    <w14:schemeClr w14:val="tx1"/>
                  </w14:solidFill>
                </w14:textFill>
              </w:rPr>
              <w:t>6</w:t>
            </w:r>
            <w:r>
              <w:rPr>
                <w:rFonts w:hint="eastAsia" w:ascii="仿宋" w:hAnsi="仿宋" w:eastAsia="仿宋" w:cs="宋体"/>
                <w:color w:val="000000" w:themeColor="text1"/>
                <w:sz w:val="24"/>
                <w:szCs w:val="24"/>
                <w:highlight w:val="none"/>
                <w14:textFill>
                  <w14:solidFill>
                    <w14:schemeClr w14:val="tx1"/>
                  </w14:solidFill>
                </w14:textFill>
              </w:rPr>
              <w:t>分</w:t>
            </w:r>
          </w:p>
        </w:tc>
        <w:tc>
          <w:tcPr>
            <w:tcW w:w="5436" w:type="dxa"/>
            <w:noWrap w:val="0"/>
            <w:vAlign w:val="top"/>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施工流程能满足施工进度计划和保证工程质量要求，流水作业能保证施工连续、均衡、有节奏地进行。管理措施能有效保证</w:t>
            </w:r>
            <w:r>
              <w:rPr>
                <w:rFonts w:hint="eastAsia" w:ascii="仿宋" w:hAnsi="仿宋" w:eastAsia="仿宋" w:cs="宋体"/>
                <w:color w:val="000000" w:themeColor="text1"/>
                <w:sz w:val="24"/>
                <w:szCs w:val="24"/>
                <w:highlight w:val="none"/>
                <w:lang w:eastAsia="zh-CN"/>
                <w14:textFill>
                  <w14:solidFill>
                    <w14:schemeClr w14:val="tx1"/>
                  </w14:solidFill>
                </w14:textFill>
              </w:rPr>
              <w:t>询比</w:t>
            </w:r>
            <w:r>
              <w:rPr>
                <w:rFonts w:hint="eastAsia" w:ascii="仿宋" w:hAnsi="仿宋" w:eastAsia="仿宋" w:cs="宋体"/>
                <w:color w:val="000000" w:themeColor="text1"/>
                <w:sz w:val="24"/>
                <w:szCs w:val="24"/>
                <w:highlight w:val="none"/>
                <w14:textFill>
                  <w14:solidFill>
                    <w14:schemeClr w14:val="tx1"/>
                  </w14:solidFill>
                </w14:textFill>
              </w:rPr>
              <w:t>工期计划的顺利完成</w:t>
            </w:r>
            <w:r>
              <w:rPr>
                <w:rFonts w:hint="eastAsia" w:ascii="仿宋" w:hAnsi="仿宋" w:eastAsia="仿宋" w:cs="宋体"/>
                <w:color w:val="000000" w:themeColor="text1"/>
                <w:sz w:val="24"/>
                <w:szCs w:val="24"/>
                <w:highlight w:val="none"/>
                <w:lang w:eastAsia="zh-CN"/>
                <w14:textFill>
                  <w14:solidFill>
                    <w14:schemeClr w14:val="tx1"/>
                  </w14:solidFill>
                </w14:textFill>
              </w:rPr>
              <w:t>。</w:t>
            </w:r>
            <w:r>
              <w:rPr>
                <w:rFonts w:hint="eastAsia" w:ascii="仿宋" w:hAnsi="仿宋" w:eastAsia="仿宋" w:cs="宋体"/>
                <w:color w:val="000000" w:themeColor="text1"/>
                <w:sz w:val="24"/>
                <w:szCs w:val="24"/>
                <w:highlight w:val="none"/>
                <w14:textFill>
                  <w14:solidFill>
                    <w14:schemeClr w14:val="tx1"/>
                  </w14:solidFill>
                </w14:textFill>
              </w:rPr>
              <w:t>较好者</w:t>
            </w:r>
            <w:r>
              <w:rPr>
                <w:rFonts w:hint="eastAsia" w:ascii="仿宋" w:hAnsi="仿宋" w:eastAsia="仿宋" w:cs="宋体"/>
                <w:color w:val="000000" w:themeColor="text1"/>
                <w:sz w:val="24"/>
                <w:szCs w:val="24"/>
                <w:highlight w:val="none"/>
                <w:lang w:val="en-US" w:eastAsia="zh-CN"/>
                <w14:textFill>
                  <w14:solidFill>
                    <w14:schemeClr w14:val="tx1"/>
                  </w14:solidFill>
                </w14:textFill>
              </w:rPr>
              <w:t>4-6</w:t>
            </w:r>
            <w:r>
              <w:rPr>
                <w:rFonts w:hint="eastAsia" w:ascii="仿宋" w:hAnsi="仿宋" w:eastAsia="仿宋" w:cs="宋体"/>
                <w:color w:val="000000" w:themeColor="text1"/>
                <w:sz w:val="24"/>
                <w:szCs w:val="24"/>
                <w:highlight w:val="none"/>
                <w14:textFill>
                  <w14:solidFill>
                    <w14:schemeClr w14:val="tx1"/>
                  </w14:solidFill>
                </w14:textFill>
              </w:rPr>
              <w:t>分，一般者</w:t>
            </w:r>
            <w:r>
              <w:rPr>
                <w:rFonts w:hint="eastAsia" w:ascii="仿宋" w:hAnsi="仿宋" w:eastAsia="仿宋" w:cs="宋体"/>
                <w:color w:val="000000" w:themeColor="text1"/>
                <w:sz w:val="24"/>
                <w:szCs w:val="24"/>
                <w:highlight w:val="none"/>
                <w:lang w:val="en-US" w:eastAsia="zh-CN"/>
                <w14:textFill>
                  <w14:solidFill>
                    <w14:schemeClr w14:val="tx1"/>
                  </w14:solidFill>
                </w14:textFill>
              </w:rPr>
              <w:t>1-3</w:t>
            </w:r>
            <w:r>
              <w:rPr>
                <w:rFonts w:hint="eastAsia" w:ascii="仿宋" w:hAnsi="仿宋" w:eastAsia="仿宋" w:cs="宋体"/>
                <w:color w:val="000000" w:themeColor="text1"/>
                <w:sz w:val="24"/>
                <w:szCs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67" w:hRule="atLeast"/>
          <w:jc w:val="center"/>
        </w:trPr>
        <w:tc>
          <w:tcPr>
            <w:tcW w:w="598" w:type="dxa"/>
            <w:vMerge w:val="continue"/>
            <w:noWrap w:val="0"/>
            <w:vAlign w:val="center"/>
          </w:tcPr>
          <w:p>
            <w:pPr>
              <w:autoSpaceDE w:val="0"/>
              <w:autoSpaceDN w:val="0"/>
              <w:spacing w:line="520" w:lineRule="exact"/>
              <w:jc w:val="center"/>
              <w:rPr>
                <w:rFonts w:hint="eastAsia"/>
                <w:color w:val="000000"/>
              </w:rPr>
            </w:pPr>
          </w:p>
        </w:tc>
        <w:tc>
          <w:tcPr>
            <w:tcW w:w="980" w:type="dxa"/>
            <w:vMerge w:val="continue"/>
            <w:noWrap w:val="0"/>
            <w:vAlign w:val="center"/>
          </w:tcPr>
          <w:p>
            <w:pPr>
              <w:autoSpaceDE w:val="0"/>
              <w:autoSpaceDN w:val="0"/>
              <w:spacing w:line="520" w:lineRule="exact"/>
              <w:jc w:val="center"/>
              <w:rPr>
                <w:rFonts w:hint="eastAsia"/>
                <w:color w:val="000000"/>
              </w:rPr>
            </w:pPr>
          </w:p>
        </w:tc>
        <w:tc>
          <w:tcPr>
            <w:tcW w:w="1484" w:type="dxa"/>
            <w:noWrap w:val="0"/>
            <w:vAlign w:val="center"/>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资源配备计划</w:t>
            </w:r>
            <w:r>
              <w:rPr>
                <w:rFonts w:hint="eastAsia" w:ascii="仿宋" w:hAnsi="仿宋" w:eastAsia="仿宋" w:cs="宋体"/>
                <w:color w:val="000000" w:themeColor="text1"/>
                <w:sz w:val="24"/>
                <w:szCs w:val="24"/>
                <w:highlight w:val="none"/>
                <w:lang w:val="en-US" w:eastAsia="zh-CN"/>
                <w14:textFill>
                  <w14:solidFill>
                    <w14:schemeClr w14:val="tx1"/>
                  </w14:solidFill>
                </w14:textFill>
              </w:rPr>
              <w:t>6</w:t>
            </w:r>
            <w:r>
              <w:rPr>
                <w:rFonts w:hint="eastAsia" w:ascii="仿宋" w:hAnsi="仿宋" w:eastAsia="仿宋" w:cs="宋体"/>
                <w:color w:val="000000" w:themeColor="text1"/>
                <w:sz w:val="24"/>
                <w:szCs w:val="24"/>
                <w:highlight w:val="none"/>
                <w14:textFill>
                  <w14:solidFill>
                    <w14:schemeClr w14:val="tx1"/>
                  </w14:solidFill>
                </w14:textFill>
              </w:rPr>
              <w:t>分</w:t>
            </w:r>
          </w:p>
        </w:tc>
        <w:tc>
          <w:tcPr>
            <w:tcW w:w="5436" w:type="dxa"/>
            <w:noWrap w:val="0"/>
            <w:vAlign w:val="top"/>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施工设备、机具配置齐全、合理，能满足施工进度和工程质量要求。较好者</w:t>
            </w:r>
            <w:r>
              <w:rPr>
                <w:rFonts w:hint="eastAsia" w:ascii="仿宋" w:hAnsi="仿宋" w:eastAsia="仿宋" w:cs="宋体"/>
                <w:color w:val="000000" w:themeColor="text1"/>
                <w:sz w:val="24"/>
                <w:szCs w:val="24"/>
                <w:highlight w:val="none"/>
                <w:lang w:val="en-US" w:eastAsia="zh-CN"/>
                <w14:textFill>
                  <w14:solidFill>
                    <w14:schemeClr w14:val="tx1"/>
                  </w14:solidFill>
                </w14:textFill>
              </w:rPr>
              <w:t>4-6</w:t>
            </w:r>
            <w:r>
              <w:rPr>
                <w:rFonts w:hint="eastAsia" w:ascii="仿宋" w:hAnsi="仿宋" w:eastAsia="仿宋" w:cs="宋体"/>
                <w:color w:val="000000" w:themeColor="text1"/>
                <w:sz w:val="24"/>
                <w:szCs w:val="24"/>
                <w:highlight w:val="none"/>
                <w14:textFill>
                  <w14:solidFill>
                    <w14:schemeClr w14:val="tx1"/>
                  </w14:solidFill>
                </w14:textFill>
              </w:rPr>
              <w:t>分，一般者</w:t>
            </w:r>
            <w:r>
              <w:rPr>
                <w:rFonts w:hint="eastAsia" w:ascii="仿宋" w:hAnsi="仿宋" w:eastAsia="仿宋" w:cs="宋体"/>
                <w:color w:val="000000" w:themeColor="text1"/>
                <w:sz w:val="24"/>
                <w:szCs w:val="24"/>
                <w:highlight w:val="none"/>
                <w:lang w:val="en-US" w:eastAsia="zh-CN"/>
                <w14:textFill>
                  <w14:solidFill>
                    <w14:schemeClr w14:val="tx1"/>
                  </w14:solidFill>
                </w14:textFill>
              </w:rPr>
              <w:t>1-3</w:t>
            </w:r>
            <w:r>
              <w:rPr>
                <w:rFonts w:hint="eastAsia" w:ascii="仿宋" w:hAnsi="仿宋" w:eastAsia="仿宋" w:cs="宋体"/>
                <w:color w:val="000000" w:themeColor="text1"/>
                <w:sz w:val="24"/>
                <w:szCs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9" w:hRule="atLeast"/>
          <w:jc w:val="center"/>
        </w:trPr>
        <w:tc>
          <w:tcPr>
            <w:tcW w:w="598" w:type="dxa"/>
            <w:vMerge w:val="continue"/>
            <w:noWrap w:val="0"/>
            <w:vAlign w:val="center"/>
          </w:tcPr>
          <w:p>
            <w:pPr>
              <w:autoSpaceDE w:val="0"/>
              <w:autoSpaceDN w:val="0"/>
              <w:spacing w:line="520" w:lineRule="exact"/>
              <w:jc w:val="center"/>
              <w:rPr>
                <w:rFonts w:hint="eastAsia"/>
                <w:color w:val="000000"/>
              </w:rPr>
            </w:pPr>
          </w:p>
        </w:tc>
        <w:tc>
          <w:tcPr>
            <w:tcW w:w="980" w:type="dxa"/>
            <w:vMerge w:val="continue"/>
            <w:noWrap w:val="0"/>
            <w:vAlign w:val="center"/>
          </w:tcPr>
          <w:p>
            <w:pPr>
              <w:autoSpaceDE w:val="0"/>
              <w:autoSpaceDN w:val="0"/>
              <w:spacing w:line="520" w:lineRule="exact"/>
              <w:jc w:val="center"/>
              <w:rPr>
                <w:rFonts w:hint="eastAsia"/>
                <w:color w:val="000000"/>
              </w:rPr>
            </w:pPr>
          </w:p>
        </w:tc>
        <w:tc>
          <w:tcPr>
            <w:tcW w:w="1484" w:type="dxa"/>
            <w:noWrap w:val="0"/>
            <w:vAlign w:val="center"/>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施工总平面布置图</w:t>
            </w:r>
            <w:r>
              <w:rPr>
                <w:rFonts w:hint="eastAsia" w:ascii="仿宋" w:hAnsi="仿宋" w:eastAsia="仿宋" w:cs="宋体"/>
                <w:color w:val="000000" w:themeColor="text1"/>
                <w:sz w:val="24"/>
                <w:szCs w:val="24"/>
                <w:highlight w:val="none"/>
                <w:lang w:val="en-US" w:eastAsia="zh-CN"/>
                <w14:textFill>
                  <w14:solidFill>
                    <w14:schemeClr w14:val="tx1"/>
                  </w14:solidFill>
                </w14:textFill>
              </w:rPr>
              <w:t>4</w:t>
            </w:r>
            <w:r>
              <w:rPr>
                <w:rFonts w:hint="eastAsia" w:ascii="仿宋" w:hAnsi="仿宋" w:eastAsia="仿宋" w:cs="宋体"/>
                <w:color w:val="000000" w:themeColor="text1"/>
                <w:sz w:val="24"/>
                <w:szCs w:val="24"/>
                <w:highlight w:val="none"/>
                <w14:textFill>
                  <w14:solidFill>
                    <w14:schemeClr w14:val="tx1"/>
                  </w14:solidFill>
                </w14:textFill>
              </w:rPr>
              <w:t>分</w:t>
            </w:r>
          </w:p>
        </w:tc>
        <w:tc>
          <w:tcPr>
            <w:tcW w:w="5436" w:type="dxa"/>
            <w:noWrap w:val="0"/>
            <w:vAlign w:val="top"/>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施工场利用符合现场实际，生产、生活用临时设施布置合理、紧凑，短运输、少搬运，有利于生产、生活、安全、消防、环保、市容、卫生、劳动保护等，符合安全文明工地要求。较好者</w:t>
            </w:r>
            <w:r>
              <w:rPr>
                <w:rFonts w:hint="eastAsia" w:ascii="仿宋" w:hAnsi="仿宋" w:eastAsia="仿宋" w:cs="宋体"/>
                <w:color w:val="000000" w:themeColor="text1"/>
                <w:sz w:val="24"/>
                <w:szCs w:val="24"/>
                <w:highlight w:val="none"/>
                <w:lang w:val="en-US" w:eastAsia="zh-CN"/>
                <w14:textFill>
                  <w14:solidFill>
                    <w14:schemeClr w14:val="tx1"/>
                  </w14:solidFill>
                </w14:textFill>
              </w:rPr>
              <w:t>2-4</w:t>
            </w:r>
            <w:r>
              <w:rPr>
                <w:rFonts w:hint="eastAsia" w:ascii="仿宋" w:hAnsi="仿宋" w:eastAsia="仿宋" w:cs="宋体"/>
                <w:color w:val="000000" w:themeColor="text1"/>
                <w:sz w:val="24"/>
                <w:szCs w:val="24"/>
                <w:highlight w:val="none"/>
                <w14:textFill>
                  <w14:solidFill>
                    <w14:schemeClr w14:val="tx1"/>
                  </w14:solidFill>
                </w14:textFill>
              </w:rPr>
              <w:t>分，一般者</w:t>
            </w:r>
            <w:r>
              <w:rPr>
                <w:rFonts w:hint="eastAsia" w:ascii="仿宋" w:hAnsi="仿宋" w:eastAsia="仿宋" w:cs="宋体"/>
                <w:color w:val="000000" w:themeColor="text1"/>
                <w:sz w:val="24"/>
                <w:szCs w:val="24"/>
                <w:highlight w:val="none"/>
                <w:lang w:val="en-US" w:eastAsia="zh-CN"/>
                <w14:textFill>
                  <w14:solidFill>
                    <w14:schemeClr w14:val="tx1"/>
                  </w14:solidFill>
                </w14:textFill>
              </w:rPr>
              <w:t>0.5-1</w:t>
            </w:r>
            <w:r>
              <w:rPr>
                <w:rFonts w:hint="eastAsia" w:ascii="仿宋" w:hAnsi="仿宋" w:eastAsia="仿宋" w:cs="宋体"/>
                <w:color w:val="000000" w:themeColor="text1"/>
                <w:sz w:val="24"/>
                <w:szCs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27" w:hRule="atLeast"/>
          <w:jc w:val="center"/>
        </w:trPr>
        <w:tc>
          <w:tcPr>
            <w:tcW w:w="598" w:type="dxa"/>
            <w:vMerge w:val="restart"/>
            <w:noWrap w:val="0"/>
            <w:vAlign w:val="center"/>
          </w:tcPr>
          <w:p>
            <w:pPr>
              <w:autoSpaceDE w:val="0"/>
              <w:autoSpaceDN w:val="0"/>
              <w:spacing w:line="520" w:lineRule="exact"/>
              <w:jc w:val="center"/>
              <w:rPr>
                <w:rFonts w:hint="eastAsia"/>
                <w:color w:val="000000"/>
              </w:rPr>
            </w:pPr>
            <w:r>
              <w:rPr>
                <w:rFonts w:hint="eastAsia"/>
                <w:color w:val="000000"/>
              </w:rPr>
              <w:t>2</w:t>
            </w:r>
          </w:p>
        </w:tc>
        <w:tc>
          <w:tcPr>
            <w:tcW w:w="980" w:type="dxa"/>
            <w:vMerge w:val="restart"/>
            <w:noWrap w:val="0"/>
            <w:vAlign w:val="center"/>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项目管理机构（</w:t>
            </w:r>
            <w:r>
              <w:rPr>
                <w:rFonts w:hint="eastAsia" w:ascii="仿宋" w:hAnsi="仿宋" w:eastAsia="仿宋" w:cs="宋体"/>
                <w:color w:val="000000" w:themeColor="text1"/>
                <w:sz w:val="24"/>
                <w:szCs w:val="24"/>
                <w:highlight w:val="none"/>
                <w:lang w:val="en-US" w:eastAsia="zh-CN"/>
                <w14:textFill>
                  <w14:solidFill>
                    <w14:schemeClr w14:val="tx1"/>
                  </w14:solidFill>
                </w14:textFill>
              </w:rPr>
              <w:t>14</w:t>
            </w:r>
            <w:r>
              <w:rPr>
                <w:rFonts w:hint="eastAsia" w:ascii="仿宋" w:hAnsi="仿宋" w:eastAsia="仿宋" w:cs="宋体"/>
                <w:color w:val="000000" w:themeColor="text1"/>
                <w:sz w:val="24"/>
                <w:szCs w:val="24"/>
                <w:highlight w:val="none"/>
                <w14:textFill>
                  <w14:solidFill>
                    <w14:schemeClr w14:val="tx1"/>
                  </w14:solidFill>
                </w14:textFill>
              </w:rPr>
              <w:t>分）</w:t>
            </w:r>
          </w:p>
        </w:tc>
        <w:tc>
          <w:tcPr>
            <w:tcW w:w="1484" w:type="dxa"/>
            <w:noWrap w:val="0"/>
            <w:vAlign w:val="center"/>
          </w:tcPr>
          <w:p>
            <w:pPr>
              <w:autoSpaceDE w:val="0"/>
              <w:autoSpaceDN w:val="0"/>
              <w:adjustRightInd w:val="0"/>
              <w:spacing w:line="312" w:lineRule="auto"/>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项目经理业绩</w:t>
            </w:r>
            <w:r>
              <w:rPr>
                <w:rFonts w:hint="eastAsia" w:ascii="仿宋" w:hAnsi="仿宋" w:eastAsia="仿宋" w:cs="宋体"/>
                <w:color w:val="000000" w:themeColor="text1"/>
                <w:sz w:val="24"/>
                <w:szCs w:val="24"/>
                <w:highlight w:val="none"/>
                <w:lang w:val="en-US" w:eastAsia="zh-CN"/>
                <w14:textFill>
                  <w14:solidFill>
                    <w14:schemeClr w14:val="tx1"/>
                  </w14:solidFill>
                </w14:textFill>
              </w:rPr>
              <w:t>8</w:t>
            </w:r>
            <w:r>
              <w:rPr>
                <w:rFonts w:hint="eastAsia" w:ascii="仿宋" w:hAnsi="仿宋" w:eastAsia="仿宋" w:cs="宋体"/>
                <w:color w:val="000000" w:themeColor="text1"/>
                <w:sz w:val="24"/>
                <w:szCs w:val="24"/>
                <w:highlight w:val="none"/>
                <w14:textFill>
                  <w14:solidFill>
                    <w14:schemeClr w14:val="tx1"/>
                  </w14:solidFill>
                </w14:textFill>
              </w:rPr>
              <w:t>分</w:t>
            </w:r>
          </w:p>
        </w:tc>
        <w:tc>
          <w:tcPr>
            <w:tcW w:w="5436" w:type="dxa"/>
            <w:noWrap w:val="0"/>
            <w:vAlign w:val="center"/>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建造师提供（20</w:t>
            </w:r>
            <w:r>
              <w:rPr>
                <w:rFonts w:hint="eastAsia" w:ascii="仿宋" w:hAnsi="仿宋" w:eastAsia="仿宋" w:cs="宋体"/>
                <w:color w:val="000000" w:themeColor="text1"/>
                <w:sz w:val="24"/>
                <w:szCs w:val="24"/>
                <w:highlight w:val="none"/>
                <w:lang w:val="en-US" w:eastAsia="zh-CN"/>
                <w14:textFill>
                  <w14:solidFill>
                    <w14:schemeClr w14:val="tx1"/>
                  </w14:solidFill>
                </w14:textFill>
              </w:rPr>
              <w:t>18</w:t>
            </w:r>
            <w:r>
              <w:rPr>
                <w:rFonts w:hint="eastAsia" w:ascii="仿宋" w:hAnsi="仿宋" w:eastAsia="仿宋" w:cs="宋体"/>
                <w:color w:val="000000" w:themeColor="text1"/>
                <w:sz w:val="24"/>
                <w:szCs w:val="24"/>
                <w:highlight w:val="none"/>
                <w14:textFill>
                  <w14:solidFill>
                    <w14:schemeClr w14:val="tx1"/>
                  </w14:solidFill>
                </w14:textFill>
              </w:rPr>
              <w:t>年1月1日-至今）承建过的类似工程每承建一个得2分。需提供项目中标通知书或合同书的</w:t>
            </w:r>
            <w:r>
              <w:rPr>
                <w:rFonts w:hint="eastAsia" w:ascii="仿宋" w:hAnsi="仿宋" w:eastAsia="仿宋" w:cs="宋体"/>
                <w:color w:val="000000" w:themeColor="text1"/>
                <w:sz w:val="24"/>
                <w:szCs w:val="24"/>
                <w:highlight w:val="none"/>
                <w:lang w:eastAsia="zh-CN"/>
                <w14:textFill>
                  <w14:solidFill>
                    <w14:schemeClr w14:val="tx1"/>
                  </w14:solidFill>
                </w14:textFill>
              </w:rPr>
              <w:t>复印件</w:t>
            </w:r>
            <w:r>
              <w:rPr>
                <w:rFonts w:hint="eastAsia" w:ascii="仿宋" w:hAnsi="仿宋" w:eastAsia="仿宋" w:cs="宋体"/>
                <w:color w:val="000000" w:themeColor="text1"/>
                <w:sz w:val="24"/>
                <w:szCs w:val="24"/>
                <w:highlight w:val="none"/>
                <w14:textFill>
                  <w14:solidFill>
                    <w14:schemeClr w14:val="tx1"/>
                  </w14:solidFill>
                </w14:textFill>
              </w:rPr>
              <w:t>，满分</w:t>
            </w:r>
            <w:r>
              <w:rPr>
                <w:rFonts w:hint="eastAsia" w:ascii="仿宋" w:hAnsi="仿宋" w:eastAsia="仿宋" w:cs="宋体"/>
                <w:color w:val="000000" w:themeColor="text1"/>
                <w:sz w:val="24"/>
                <w:szCs w:val="24"/>
                <w:highlight w:val="none"/>
                <w:lang w:val="en-US" w:eastAsia="zh-CN"/>
                <w14:textFill>
                  <w14:solidFill>
                    <w14:schemeClr w14:val="tx1"/>
                  </w14:solidFill>
                </w14:textFill>
              </w:rPr>
              <w:t>8</w:t>
            </w:r>
            <w:r>
              <w:rPr>
                <w:rFonts w:hint="eastAsia" w:ascii="仿宋" w:hAnsi="仿宋" w:eastAsia="仿宋" w:cs="宋体"/>
                <w:color w:val="000000" w:themeColor="text1"/>
                <w:sz w:val="24"/>
                <w:szCs w:val="24"/>
                <w:highlight w:val="none"/>
                <w14:textFill>
                  <w14:solidFill>
                    <w14:schemeClr w14:val="tx1"/>
                  </w14:solidFill>
                </w14:textFill>
              </w:rPr>
              <w:t>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67" w:hRule="atLeast"/>
          <w:jc w:val="center"/>
        </w:trPr>
        <w:tc>
          <w:tcPr>
            <w:tcW w:w="598" w:type="dxa"/>
            <w:vMerge w:val="continue"/>
            <w:noWrap w:val="0"/>
            <w:vAlign w:val="center"/>
          </w:tcPr>
          <w:p>
            <w:pPr>
              <w:autoSpaceDE w:val="0"/>
              <w:autoSpaceDN w:val="0"/>
              <w:spacing w:line="520" w:lineRule="exact"/>
              <w:jc w:val="center"/>
              <w:rPr>
                <w:rFonts w:hint="eastAsia"/>
                <w:color w:val="000000"/>
              </w:rPr>
            </w:pPr>
          </w:p>
        </w:tc>
        <w:tc>
          <w:tcPr>
            <w:tcW w:w="980" w:type="dxa"/>
            <w:vMerge w:val="continue"/>
            <w:noWrap w:val="0"/>
            <w:vAlign w:val="center"/>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p>
        </w:tc>
        <w:tc>
          <w:tcPr>
            <w:tcW w:w="1484" w:type="dxa"/>
            <w:noWrap w:val="0"/>
            <w:vAlign w:val="center"/>
          </w:tcPr>
          <w:p>
            <w:pPr>
              <w:autoSpaceDE w:val="0"/>
              <w:autoSpaceDN w:val="0"/>
              <w:adjustRightInd w:val="0"/>
              <w:spacing w:line="312" w:lineRule="auto"/>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人员配置</w:t>
            </w:r>
            <w:r>
              <w:rPr>
                <w:rFonts w:hint="eastAsia" w:ascii="仿宋" w:hAnsi="仿宋" w:eastAsia="仿宋" w:cs="宋体"/>
                <w:color w:val="000000" w:themeColor="text1"/>
                <w:sz w:val="24"/>
                <w:szCs w:val="24"/>
                <w:highlight w:val="none"/>
                <w14:textFill>
                  <w14:solidFill>
                    <w14:schemeClr w14:val="tx1"/>
                  </w14:solidFill>
                </w14:textFill>
              </w:rPr>
              <w:t>（</w:t>
            </w:r>
            <w:r>
              <w:rPr>
                <w:rFonts w:hint="eastAsia" w:ascii="仿宋" w:hAnsi="仿宋" w:eastAsia="仿宋" w:cs="宋体"/>
                <w:color w:val="000000" w:themeColor="text1"/>
                <w:sz w:val="24"/>
                <w:szCs w:val="24"/>
                <w:highlight w:val="none"/>
                <w:lang w:val="en-US" w:eastAsia="zh-CN"/>
                <w14:textFill>
                  <w14:solidFill>
                    <w14:schemeClr w14:val="tx1"/>
                  </w14:solidFill>
                </w14:textFill>
              </w:rPr>
              <w:t>6</w:t>
            </w:r>
            <w:r>
              <w:rPr>
                <w:rFonts w:hint="eastAsia" w:ascii="仿宋" w:hAnsi="仿宋" w:eastAsia="仿宋" w:cs="宋体"/>
                <w:color w:val="000000" w:themeColor="text1"/>
                <w:sz w:val="24"/>
                <w:szCs w:val="24"/>
                <w:highlight w:val="none"/>
                <w14:textFill>
                  <w14:solidFill>
                    <w14:schemeClr w14:val="tx1"/>
                  </w14:solidFill>
                </w14:textFill>
              </w:rPr>
              <w:t>分）</w:t>
            </w:r>
          </w:p>
        </w:tc>
        <w:tc>
          <w:tcPr>
            <w:tcW w:w="5436" w:type="dxa"/>
            <w:noWrap w:val="0"/>
            <w:vAlign w:val="top"/>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结合本项目特点配备相关人员，好者5-6分，较好者3-4分，一般1-2分，未提供者不得分。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67" w:hRule="atLeast"/>
          <w:jc w:val="center"/>
        </w:trPr>
        <w:tc>
          <w:tcPr>
            <w:tcW w:w="598" w:type="dxa"/>
            <w:vMerge w:val="continue"/>
            <w:noWrap w:val="0"/>
            <w:vAlign w:val="center"/>
          </w:tcPr>
          <w:p>
            <w:pPr>
              <w:autoSpaceDE w:val="0"/>
              <w:autoSpaceDN w:val="0"/>
              <w:spacing w:line="520" w:lineRule="exact"/>
              <w:jc w:val="center"/>
              <w:rPr>
                <w:rFonts w:hint="eastAsia"/>
                <w:color w:val="000000"/>
              </w:rPr>
            </w:pPr>
          </w:p>
        </w:tc>
        <w:tc>
          <w:tcPr>
            <w:tcW w:w="980" w:type="dxa"/>
            <w:noWrap w:val="0"/>
            <w:vAlign w:val="center"/>
          </w:tcPr>
          <w:p>
            <w:pPr>
              <w:autoSpaceDE w:val="0"/>
              <w:autoSpaceDN w:val="0"/>
              <w:adjustRightInd w:val="0"/>
              <w:spacing w:line="312" w:lineRule="auto"/>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企业业绩</w:t>
            </w:r>
          </w:p>
          <w:p>
            <w:pPr>
              <w:autoSpaceDE w:val="0"/>
              <w:autoSpaceDN w:val="0"/>
              <w:adjustRightInd w:val="0"/>
              <w:spacing w:line="312" w:lineRule="auto"/>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（10分）</w:t>
            </w:r>
          </w:p>
        </w:tc>
        <w:tc>
          <w:tcPr>
            <w:tcW w:w="6920" w:type="dxa"/>
            <w:gridSpan w:val="2"/>
            <w:noWrap w:val="0"/>
            <w:vAlign w:val="center"/>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提供</w:t>
            </w:r>
            <w:r>
              <w:rPr>
                <w:rFonts w:hint="eastAsia" w:ascii="仿宋" w:hAnsi="仿宋" w:eastAsia="仿宋" w:cs="宋体"/>
                <w:color w:val="000000" w:themeColor="text1"/>
                <w:sz w:val="24"/>
                <w:szCs w:val="24"/>
                <w:highlight w:val="none"/>
                <w:lang w:val="en-US" w:eastAsia="zh-CN"/>
                <w14:textFill>
                  <w14:solidFill>
                    <w14:schemeClr w14:val="tx1"/>
                  </w14:solidFill>
                </w14:textFill>
              </w:rPr>
              <w:t>2018年至今</w:t>
            </w:r>
            <w:r>
              <w:rPr>
                <w:rFonts w:hint="eastAsia" w:ascii="仿宋" w:hAnsi="仿宋" w:eastAsia="仿宋" w:cs="宋体"/>
                <w:color w:val="000000" w:themeColor="text1"/>
                <w:sz w:val="24"/>
                <w:szCs w:val="24"/>
                <w:highlight w:val="none"/>
                <w14:textFill>
                  <w14:solidFill>
                    <w14:schemeClr w14:val="tx1"/>
                  </w14:solidFill>
                </w14:textFill>
              </w:rPr>
              <w:t>承建的类似工程每承建一个得2分，需提供项目中标通知书</w:t>
            </w:r>
            <w:r>
              <w:rPr>
                <w:rFonts w:hint="eastAsia" w:ascii="仿宋" w:hAnsi="仿宋" w:eastAsia="仿宋" w:cs="宋体"/>
                <w:color w:val="000000" w:themeColor="text1"/>
                <w:sz w:val="24"/>
                <w:szCs w:val="24"/>
                <w:highlight w:val="none"/>
                <w:lang w:eastAsia="zh-CN"/>
                <w14:textFill>
                  <w14:solidFill>
                    <w14:schemeClr w14:val="tx1"/>
                  </w14:solidFill>
                </w14:textFill>
              </w:rPr>
              <w:t>、</w:t>
            </w:r>
            <w:r>
              <w:rPr>
                <w:rFonts w:hint="eastAsia" w:ascii="仿宋" w:hAnsi="仿宋" w:eastAsia="仿宋" w:cs="宋体"/>
                <w:color w:val="000000" w:themeColor="text1"/>
                <w:sz w:val="24"/>
                <w:szCs w:val="24"/>
                <w:highlight w:val="none"/>
                <w14:textFill>
                  <w14:solidFill>
                    <w14:schemeClr w14:val="tx1"/>
                  </w14:solidFill>
                </w14:textFill>
              </w:rPr>
              <w:t>合同书的</w:t>
            </w:r>
            <w:r>
              <w:rPr>
                <w:rFonts w:hint="eastAsia" w:ascii="仿宋" w:hAnsi="仿宋" w:eastAsia="仿宋" w:cs="宋体"/>
                <w:color w:val="000000" w:themeColor="text1"/>
                <w:sz w:val="24"/>
                <w:szCs w:val="24"/>
                <w:highlight w:val="none"/>
                <w:lang w:eastAsia="zh-CN"/>
                <w14:textFill>
                  <w14:solidFill>
                    <w14:schemeClr w14:val="tx1"/>
                  </w14:solidFill>
                </w14:textFill>
              </w:rPr>
              <w:t>复印件</w:t>
            </w:r>
            <w:r>
              <w:rPr>
                <w:rFonts w:hint="eastAsia" w:ascii="仿宋" w:hAnsi="仿宋" w:eastAsia="仿宋" w:cs="宋体"/>
                <w:color w:val="000000" w:themeColor="text1"/>
                <w:sz w:val="24"/>
                <w:szCs w:val="24"/>
                <w:highlight w:val="none"/>
                <w14:textFill>
                  <w14:solidFill>
                    <w14:schemeClr w14:val="tx1"/>
                  </w14:solidFill>
                </w14:textFill>
              </w:rPr>
              <w:t>，最高10分，不提供不得分。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35" w:hRule="atLeast"/>
          <w:jc w:val="center"/>
        </w:trPr>
        <w:tc>
          <w:tcPr>
            <w:tcW w:w="598" w:type="dxa"/>
            <w:noWrap w:val="0"/>
            <w:vAlign w:val="center"/>
          </w:tcPr>
          <w:p>
            <w:pPr>
              <w:autoSpaceDE w:val="0"/>
              <w:autoSpaceDN w:val="0"/>
              <w:spacing w:line="520" w:lineRule="exact"/>
              <w:jc w:val="center"/>
              <w:rPr>
                <w:rFonts w:hint="eastAsia"/>
                <w:color w:val="000000"/>
              </w:rPr>
            </w:pPr>
            <w:r>
              <w:rPr>
                <w:rFonts w:hint="eastAsia"/>
                <w:color w:val="000000"/>
              </w:rPr>
              <w:t>3</w:t>
            </w:r>
          </w:p>
        </w:tc>
        <w:tc>
          <w:tcPr>
            <w:tcW w:w="980" w:type="dxa"/>
            <w:noWrap w:val="0"/>
            <w:vAlign w:val="center"/>
          </w:tcPr>
          <w:p>
            <w:pPr>
              <w:autoSpaceDE w:val="0"/>
              <w:autoSpaceDN w:val="0"/>
              <w:adjustRightInd w:val="0"/>
              <w:spacing w:line="312" w:lineRule="auto"/>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lang w:eastAsia="zh-CN"/>
                <w14:textFill>
                  <w14:solidFill>
                    <w14:schemeClr w14:val="tx1"/>
                  </w14:solidFill>
                </w14:textFill>
              </w:rPr>
              <w:t>询比</w:t>
            </w:r>
            <w:r>
              <w:rPr>
                <w:rFonts w:hint="eastAsia" w:ascii="仿宋" w:hAnsi="仿宋" w:eastAsia="仿宋" w:cs="宋体"/>
                <w:color w:val="000000" w:themeColor="text1"/>
                <w:sz w:val="24"/>
                <w:szCs w:val="24"/>
                <w:highlight w:val="none"/>
                <w14:textFill>
                  <w14:solidFill>
                    <w14:schemeClr w14:val="tx1"/>
                  </w14:solidFill>
                </w14:textFill>
              </w:rPr>
              <w:t>报价 （30分）</w:t>
            </w:r>
          </w:p>
        </w:tc>
        <w:tc>
          <w:tcPr>
            <w:tcW w:w="1484" w:type="dxa"/>
            <w:noWrap w:val="0"/>
            <w:vAlign w:val="center"/>
          </w:tcPr>
          <w:p>
            <w:pPr>
              <w:autoSpaceDE w:val="0"/>
              <w:autoSpaceDN w:val="0"/>
              <w:adjustRightInd w:val="0"/>
              <w:spacing w:line="312" w:lineRule="auto"/>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报价分30分</w:t>
            </w:r>
          </w:p>
        </w:tc>
        <w:tc>
          <w:tcPr>
            <w:tcW w:w="5436" w:type="dxa"/>
            <w:noWrap w:val="0"/>
            <w:vAlign w:val="top"/>
          </w:tcPr>
          <w:p>
            <w:pPr>
              <w:autoSpaceDE w:val="0"/>
              <w:autoSpaceDN w:val="0"/>
              <w:adjustRightInd w:val="0"/>
              <w:spacing w:line="312" w:lineRule="auto"/>
              <w:ind w:firstLine="480" w:firstLineChars="200"/>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满足</w:t>
            </w:r>
            <w:r>
              <w:rPr>
                <w:rFonts w:hint="eastAsia" w:ascii="仿宋" w:hAnsi="仿宋" w:eastAsia="仿宋" w:cs="宋体"/>
                <w:color w:val="000000" w:themeColor="text1"/>
                <w:sz w:val="24"/>
                <w:szCs w:val="24"/>
                <w:highlight w:val="none"/>
                <w:lang w:eastAsia="zh-CN"/>
                <w14:textFill>
                  <w14:solidFill>
                    <w14:schemeClr w14:val="tx1"/>
                  </w14:solidFill>
                </w14:textFill>
              </w:rPr>
              <w:t>询比</w:t>
            </w:r>
            <w:r>
              <w:rPr>
                <w:rFonts w:hint="eastAsia" w:ascii="仿宋" w:hAnsi="仿宋" w:eastAsia="仿宋" w:cs="宋体"/>
                <w:color w:val="000000" w:themeColor="text1"/>
                <w:sz w:val="24"/>
                <w:szCs w:val="24"/>
                <w:highlight w:val="none"/>
                <w14:textFill>
                  <w14:solidFill>
                    <w14:schemeClr w14:val="tx1"/>
                  </w14:solidFill>
                </w14:textFill>
              </w:rPr>
              <w:t>文件要求且</w:t>
            </w:r>
            <w:r>
              <w:rPr>
                <w:rFonts w:hint="eastAsia" w:ascii="仿宋" w:hAnsi="仿宋" w:eastAsia="仿宋" w:cs="宋体"/>
                <w:color w:val="000000" w:themeColor="text1"/>
                <w:sz w:val="24"/>
                <w:szCs w:val="24"/>
                <w:highlight w:val="none"/>
                <w:lang w:eastAsia="zh-CN"/>
                <w14:textFill>
                  <w14:solidFill>
                    <w14:schemeClr w14:val="tx1"/>
                  </w14:solidFill>
                </w14:textFill>
              </w:rPr>
              <w:t>最后报</w:t>
            </w:r>
            <w:r>
              <w:rPr>
                <w:rFonts w:hint="eastAsia" w:ascii="仿宋" w:hAnsi="仿宋" w:eastAsia="仿宋" w:cs="宋体"/>
                <w:color w:val="000000" w:themeColor="text1"/>
                <w:sz w:val="24"/>
                <w:szCs w:val="24"/>
                <w:highlight w:val="none"/>
                <w14:textFill>
                  <w14:solidFill>
                    <w14:schemeClr w14:val="tx1"/>
                  </w14:solidFill>
                </w14:textFill>
              </w:rPr>
              <w:t>价最低的供应商的价格为</w:t>
            </w:r>
            <w:r>
              <w:rPr>
                <w:rFonts w:hint="eastAsia" w:ascii="仿宋" w:hAnsi="仿宋" w:eastAsia="仿宋" w:cs="宋体"/>
                <w:color w:val="000000" w:themeColor="text1"/>
                <w:sz w:val="24"/>
                <w:szCs w:val="24"/>
                <w:highlight w:val="none"/>
                <w:lang w:eastAsia="zh-CN"/>
                <w14:textFill>
                  <w14:solidFill>
                    <w14:schemeClr w14:val="tx1"/>
                  </w14:solidFill>
                </w14:textFill>
              </w:rPr>
              <w:t>询比</w:t>
            </w:r>
            <w:r>
              <w:rPr>
                <w:rFonts w:hint="eastAsia" w:ascii="仿宋" w:hAnsi="仿宋" w:eastAsia="仿宋" w:cs="宋体"/>
                <w:color w:val="000000" w:themeColor="text1"/>
                <w:sz w:val="24"/>
                <w:szCs w:val="24"/>
                <w:highlight w:val="none"/>
                <w14:textFill>
                  <w14:solidFill>
                    <w14:schemeClr w14:val="tx1"/>
                  </w14:solidFill>
                </w14:textFill>
              </w:rPr>
              <w:t>基准价，其价格分为满分。其他供应商的价格分统一按照下列公式计算：</w:t>
            </w:r>
            <w:r>
              <w:rPr>
                <w:rFonts w:hint="eastAsia" w:ascii="仿宋" w:hAnsi="仿宋" w:eastAsia="仿宋" w:cs="宋体"/>
                <w:color w:val="000000" w:themeColor="text1"/>
                <w:sz w:val="24"/>
                <w:szCs w:val="24"/>
                <w:highlight w:val="none"/>
                <w:lang w:eastAsia="zh-CN"/>
                <w14:textFill>
                  <w14:solidFill>
                    <w14:schemeClr w14:val="tx1"/>
                  </w14:solidFill>
                </w14:textFill>
              </w:rPr>
              <w:t>询比</w:t>
            </w:r>
            <w:r>
              <w:rPr>
                <w:rFonts w:hint="eastAsia" w:ascii="仿宋" w:hAnsi="仿宋" w:eastAsia="仿宋" w:cs="宋体"/>
                <w:color w:val="000000" w:themeColor="text1"/>
                <w:sz w:val="24"/>
                <w:szCs w:val="24"/>
                <w:highlight w:val="none"/>
                <w14:textFill>
                  <w14:solidFill>
                    <w14:schemeClr w14:val="tx1"/>
                  </w14:solidFill>
                </w14:textFill>
              </w:rPr>
              <w:t>报价得分=（</w:t>
            </w:r>
            <w:r>
              <w:rPr>
                <w:rFonts w:hint="eastAsia" w:ascii="仿宋" w:hAnsi="仿宋" w:eastAsia="仿宋" w:cs="宋体"/>
                <w:color w:val="000000" w:themeColor="text1"/>
                <w:sz w:val="24"/>
                <w:szCs w:val="24"/>
                <w:highlight w:val="none"/>
                <w:lang w:eastAsia="zh-CN"/>
                <w14:textFill>
                  <w14:solidFill>
                    <w14:schemeClr w14:val="tx1"/>
                  </w14:solidFill>
                </w14:textFill>
              </w:rPr>
              <w:t>询比</w:t>
            </w:r>
            <w:r>
              <w:rPr>
                <w:rFonts w:hint="eastAsia" w:ascii="仿宋" w:hAnsi="仿宋" w:eastAsia="仿宋" w:cs="宋体"/>
                <w:color w:val="000000" w:themeColor="text1"/>
                <w:sz w:val="24"/>
                <w:szCs w:val="24"/>
                <w:highlight w:val="none"/>
                <w14:textFill>
                  <w14:solidFill>
                    <w14:schemeClr w14:val="tx1"/>
                  </w14:solidFill>
                </w14:textFill>
              </w:rPr>
              <w:t>基准价/最后</w:t>
            </w:r>
            <w:r>
              <w:rPr>
                <w:rFonts w:hint="eastAsia" w:ascii="仿宋" w:hAnsi="仿宋" w:eastAsia="仿宋" w:cs="宋体"/>
                <w:color w:val="000000" w:themeColor="text1"/>
                <w:sz w:val="24"/>
                <w:szCs w:val="24"/>
                <w:highlight w:val="none"/>
                <w:lang w:eastAsia="zh-CN"/>
                <w14:textFill>
                  <w14:solidFill>
                    <w14:schemeClr w14:val="tx1"/>
                  </w14:solidFill>
                </w14:textFill>
              </w:rPr>
              <w:t>询比</w:t>
            </w:r>
            <w:r>
              <w:rPr>
                <w:rFonts w:hint="eastAsia" w:ascii="仿宋" w:hAnsi="仿宋" w:eastAsia="仿宋" w:cs="宋体"/>
                <w:color w:val="000000" w:themeColor="text1"/>
                <w:sz w:val="24"/>
                <w:szCs w:val="24"/>
                <w:highlight w:val="none"/>
                <w14:textFill>
                  <w14:solidFill>
                    <w14:schemeClr w14:val="tx1"/>
                  </w14:solidFill>
                </w14:textFill>
              </w:rPr>
              <w:t>报价）×30%×100</w:t>
            </w:r>
            <w:r>
              <w:rPr>
                <w:rFonts w:hint="eastAsia" w:ascii="仿宋" w:hAnsi="仿宋" w:eastAsia="仿宋" w:cs="宋体"/>
                <w:color w:val="000000" w:themeColor="text1"/>
                <w:sz w:val="24"/>
                <w:szCs w:val="24"/>
                <w:highlight w:val="none"/>
                <w:lang w:val="zh-CN"/>
                <w14:textFill>
                  <w14:solidFill>
                    <w14:schemeClr w14:val="tx1"/>
                  </w14:solidFill>
                </w14:textFill>
              </w:rPr>
              <w:t>（四舍五入后保留小数点后两位）。</w:t>
            </w:r>
          </w:p>
        </w:tc>
      </w:tr>
    </w:tbl>
    <w:p>
      <w:pPr>
        <w:pStyle w:val="2"/>
        <w:rPr>
          <w:rFonts w:hint="eastAsia"/>
        </w:rPr>
      </w:pPr>
    </w:p>
    <w:p>
      <w:pPr>
        <w:pStyle w:val="4"/>
        <w:keepNext w:val="0"/>
        <w:keepLines w:val="0"/>
        <w:spacing w:before="0" w:after="0" w:line="312" w:lineRule="auto"/>
        <w:jc w:val="left"/>
        <w:rPr>
          <w:rFonts w:ascii="仿宋" w:hAnsi="仿宋" w:eastAsia="仿宋" w:cs="宋体"/>
          <w:color w:val="000000" w:themeColor="text1"/>
          <w:kern w:val="0"/>
          <w:sz w:val="32"/>
          <w:szCs w:val="32"/>
          <w:highlight w:val="none"/>
          <w14:textFill>
            <w14:solidFill>
              <w14:schemeClr w14:val="tx1"/>
            </w14:solidFill>
          </w14:textFill>
        </w:rPr>
      </w:pPr>
      <w:bookmarkStart w:id="24" w:name="_Toc18085"/>
      <w:bookmarkStart w:id="25" w:name="_Toc430937661"/>
      <w:r>
        <w:rPr>
          <w:rFonts w:hint="eastAsia" w:ascii="仿宋" w:hAnsi="仿宋" w:eastAsia="仿宋" w:cs="宋体"/>
          <w:color w:val="000000" w:themeColor="text1"/>
          <w:kern w:val="0"/>
          <w:sz w:val="32"/>
          <w:szCs w:val="32"/>
          <w:highlight w:val="none"/>
          <w14:textFill>
            <w14:solidFill>
              <w14:schemeClr w14:val="tx1"/>
            </w14:solidFill>
          </w14:textFill>
        </w:rPr>
        <w:t>五、签订合同</w:t>
      </w:r>
      <w:bookmarkEnd w:id="24"/>
      <w:bookmarkEnd w:id="25"/>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22.1</w:t>
      </w:r>
      <w:r>
        <w:rPr>
          <w:rFonts w:hint="eastAsia" w:ascii="仿宋" w:hAnsi="仿宋" w:eastAsia="仿宋" w:cs="宋体"/>
          <w:color w:val="000000" w:themeColor="text1"/>
          <w:sz w:val="24"/>
          <w:szCs w:val="24"/>
          <w:highlight w:val="none"/>
          <w14:textFill>
            <w14:solidFill>
              <w14:schemeClr w14:val="tx1"/>
            </w14:solidFill>
          </w14:textFill>
        </w:rPr>
        <w:t>采购人与成交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双方应当自《成交通知书》发出之日起</w:t>
      </w:r>
      <w:r>
        <w:rPr>
          <w:rFonts w:ascii="仿宋" w:hAnsi="仿宋" w:eastAsia="仿宋" w:cs="宋体"/>
          <w:color w:val="000000" w:themeColor="text1"/>
          <w:sz w:val="24"/>
          <w:szCs w:val="24"/>
          <w:highlight w:val="none"/>
          <w14:textFill>
            <w14:solidFill>
              <w14:schemeClr w14:val="tx1"/>
            </w14:solidFill>
          </w14:textFill>
        </w:rPr>
        <w:t>30</w:t>
      </w:r>
      <w:r>
        <w:rPr>
          <w:rFonts w:hint="eastAsia" w:ascii="仿宋" w:hAnsi="仿宋" w:eastAsia="仿宋" w:cs="宋体"/>
          <w:color w:val="000000" w:themeColor="text1"/>
          <w:sz w:val="24"/>
          <w:szCs w:val="24"/>
          <w:highlight w:val="none"/>
          <w14:textFill>
            <w14:solidFill>
              <w14:schemeClr w14:val="tx1"/>
            </w14:solidFill>
          </w14:textFill>
        </w:rPr>
        <w:t>日内，签订采购合同，送采购代理机构审核并备案。</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 xml:space="preserve">22.2 </w:t>
      </w:r>
      <w:r>
        <w:rPr>
          <w:rFonts w:hint="eastAsia" w:ascii="仿宋" w:hAnsi="仿宋" w:eastAsia="仿宋" w:cs="宋体"/>
          <w:color w:val="000000" w:themeColor="text1"/>
          <w:sz w:val="24"/>
          <w:szCs w:val="24"/>
          <w:highlight w:val="none"/>
          <w14:textFill>
            <w14:solidFill>
              <w14:schemeClr w14:val="tx1"/>
            </w14:solidFill>
          </w14:textFill>
        </w:rPr>
        <w:t>签订合同时，成交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应当以支票、汇票、本票等非现金形式提交中标金额</w:t>
      </w:r>
      <w:r>
        <w:rPr>
          <w:rFonts w:ascii="仿宋" w:hAnsi="仿宋" w:eastAsia="仿宋" w:cs="宋体"/>
          <w:color w:val="000000" w:themeColor="text1"/>
          <w:sz w:val="24"/>
          <w:szCs w:val="24"/>
          <w:highlight w:val="none"/>
          <w:u w:val="single"/>
          <w14:textFill>
            <w14:solidFill>
              <w14:schemeClr w14:val="tx1"/>
            </w14:solidFill>
          </w14:textFill>
        </w:rPr>
        <w:t>0%</w:t>
      </w:r>
      <w:r>
        <w:rPr>
          <w:rFonts w:hint="eastAsia" w:ascii="仿宋" w:hAnsi="仿宋" w:eastAsia="仿宋" w:cs="宋体"/>
          <w:color w:val="000000" w:themeColor="text1"/>
          <w:sz w:val="24"/>
          <w:szCs w:val="24"/>
          <w:highlight w:val="none"/>
          <w14:textFill>
            <w14:solidFill>
              <w14:schemeClr w14:val="tx1"/>
            </w14:solidFill>
          </w14:textFill>
        </w:rPr>
        <w:t>的履约保证金到采购人指定的账户。</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22.3</w:t>
      </w:r>
      <w:r>
        <w:rPr>
          <w:rFonts w:hint="eastAsia" w:ascii="仿宋" w:hAnsi="仿宋" w:eastAsia="仿宋" w:cs="宋体"/>
          <w:color w:val="000000" w:themeColor="text1"/>
          <w:sz w:val="24"/>
          <w:szCs w:val="24"/>
          <w:highlight w:val="none"/>
          <w14:textFill>
            <w14:solidFill>
              <w14:schemeClr w14:val="tx1"/>
            </w14:solidFill>
          </w14:textFill>
        </w:rPr>
        <w:t>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在法定期限内无正当理由拒签合同的，按违约处理。同时，采购代理机构和采购人可依评标排序重新确定成交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，并协调双方签订采购合同，或重新组织采购活动。</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22.4</w:t>
      </w:r>
      <w:r>
        <w:rPr>
          <w:rFonts w:hint="eastAsia" w:ascii="仿宋" w:hAnsi="仿宋" w:eastAsia="仿宋" w:cs="宋体"/>
          <w:color w:val="000000" w:themeColor="text1"/>
          <w:sz w:val="24"/>
          <w:szCs w:val="24"/>
          <w:highlight w:val="none"/>
          <w14:textFill>
            <w14:solidFill>
              <w14:schemeClr w14:val="tx1"/>
            </w14:solidFill>
          </w14:textFill>
        </w:rPr>
        <w:t>采购人不得向成交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提出任何不合理的要求作为订立合同的条件，采购人和成交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不得私下订立背离合同实质性内容的协议。</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22.5</w:t>
      </w:r>
      <w:r>
        <w:rPr>
          <w:rFonts w:hint="eastAsia" w:ascii="仿宋" w:hAnsi="仿宋" w:eastAsia="仿宋" w:cs="宋体"/>
          <w:color w:val="000000" w:themeColor="text1"/>
          <w:sz w:val="24"/>
          <w:szCs w:val="24"/>
          <w:highlight w:val="none"/>
          <w14:textFill>
            <w14:solidFill>
              <w14:schemeClr w14:val="tx1"/>
            </w14:solidFill>
          </w14:textFill>
        </w:rPr>
        <w:t>询比采购文件、成交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的响应文件、《成交通知书》及其澄清、说明文件、承诺等，均为签订采购合同的依据，作为采购合同的组成部分。</w:t>
      </w:r>
    </w:p>
    <w:p>
      <w:pPr>
        <w:pStyle w:val="22"/>
        <w:rPr>
          <w:rFonts w:ascii="仿宋" w:hAnsi="仿宋" w:eastAsia="仿宋" w:cs="Times New Roman"/>
          <w:color w:val="000000" w:themeColor="text1"/>
          <w:highlight w:val="none"/>
          <w:lang w:val="zh-CN"/>
          <w14:textFill>
            <w14:solidFill>
              <w14:schemeClr w14:val="tx1"/>
            </w14:solidFill>
          </w14:textFill>
        </w:rPr>
      </w:pPr>
    </w:p>
    <w:p>
      <w:pPr>
        <w:pStyle w:val="22"/>
        <w:rPr>
          <w:rFonts w:ascii="仿宋" w:hAnsi="仿宋" w:eastAsia="仿宋" w:cs="Times New Roman"/>
          <w:color w:val="000000" w:themeColor="text1"/>
          <w:highlight w:val="none"/>
          <w:lang w:val="zh-CN"/>
          <w14:textFill>
            <w14:solidFill>
              <w14:schemeClr w14:val="tx1"/>
            </w14:solidFill>
          </w14:textFill>
        </w:rPr>
      </w:pPr>
    </w:p>
    <w:p>
      <w:pPr>
        <w:pStyle w:val="22"/>
        <w:rPr>
          <w:rFonts w:ascii="仿宋" w:hAnsi="仿宋" w:eastAsia="仿宋" w:cs="Times New Roman"/>
          <w:color w:val="000000" w:themeColor="text1"/>
          <w:highlight w:val="none"/>
          <w:lang w:val="zh-CN"/>
          <w14:textFill>
            <w14:solidFill>
              <w14:schemeClr w14:val="tx1"/>
            </w14:solidFill>
          </w14:textFill>
        </w:rPr>
      </w:pPr>
    </w:p>
    <w:p>
      <w:pPr>
        <w:pStyle w:val="22"/>
        <w:rPr>
          <w:rFonts w:ascii="仿宋" w:hAnsi="仿宋" w:eastAsia="仿宋" w:cs="Times New Roman"/>
          <w:color w:val="000000" w:themeColor="text1"/>
          <w:highlight w:val="none"/>
          <w:lang w:val="zh-CN"/>
          <w14:textFill>
            <w14:solidFill>
              <w14:schemeClr w14:val="tx1"/>
            </w14:solidFill>
          </w14:textFill>
        </w:rPr>
      </w:pPr>
    </w:p>
    <w:p>
      <w:pPr>
        <w:rPr>
          <w:color w:val="000000" w:themeColor="text1"/>
          <w:highlight w:val="none"/>
          <w:lang w:val="zh-CN"/>
          <w14:textFill>
            <w14:solidFill>
              <w14:schemeClr w14:val="tx1"/>
            </w14:solidFill>
          </w14:textFill>
        </w:rPr>
      </w:pPr>
    </w:p>
    <w:p>
      <w:pPr>
        <w:pStyle w:val="22"/>
        <w:rPr>
          <w:rFonts w:ascii="仿宋" w:hAnsi="仿宋" w:eastAsia="仿宋" w:cs="Times New Roman"/>
          <w:color w:val="000000" w:themeColor="text1"/>
          <w:highlight w:val="none"/>
          <w:lang w:val="zh-CN"/>
          <w14:textFill>
            <w14:solidFill>
              <w14:schemeClr w14:val="tx1"/>
            </w14:solidFill>
          </w14:textFill>
        </w:rPr>
      </w:pPr>
    </w:p>
    <w:p>
      <w:pPr>
        <w:rPr>
          <w:rFonts w:ascii="仿宋" w:hAnsi="仿宋" w:eastAsia="仿宋" w:cs="Times New Roman"/>
          <w:color w:val="000000" w:themeColor="text1"/>
          <w:highlight w:val="none"/>
          <w:lang w:val="zh-CN"/>
          <w14:textFill>
            <w14:solidFill>
              <w14:schemeClr w14:val="tx1"/>
            </w14:solidFill>
          </w14:textFill>
        </w:rPr>
      </w:pPr>
    </w:p>
    <w:p>
      <w:pPr>
        <w:rPr>
          <w:rFonts w:ascii="仿宋" w:hAnsi="仿宋" w:eastAsia="仿宋" w:cs="Times New Roman"/>
          <w:color w:val="000000" w:themeColor="text1"/>
          <w:highlight w:val="none"/>
          <w:lang w:val="zh-CN"/>
          <w14:textFill>
            <w14:solidFill>
              <w14:schemeClr w14:val="tx1"/>
            </w14:solidFill>
          </w14:textFill>
        </w:rPr>
      </w:pPr>
    </w:p>
    <w:p>
      <w:pPr>
        <w:rPr>
          <w:rFonts w:ascii="仿宋" w:hAnsi="仿宋" w:eastAsia="仿宋"/>
          <w:color w:val="000000" w:themeColor="text1"/>
          <w:highlight w:val="none"/>
          <w:lang w:val="zh-CN"/>
          <w14:textFill>
            <w14:solidFill>
              <w14:schemeClr w14:val="tx1"/>
            </w14:solidFill>
          </w14:textFill>
        </w:rPr>
      </w:pPr>
    </w:p>
    <w:p>
      <w:pPr>
        <w:rPr>
          <w:rFonts w:ascii="仿宋" w:hAnsi="仿宋" w:eastAsia="仿宋"/>
          <w:color w:val="000000" w:themeColor="text1"/>
          <w:highlight w:val="none"/>
          <w:lang w:val="zh-CN"/>
          <w14:textFill>
            <w14:solidFill>
              <w14:schemeClr w14:val="tx1"/>
            </w14:solidFill>
          </w14:textFill>
        </w:rPr>
      </w:pPr>
    </w:p>
    <w:p>
      <w:pPr>
        <w:pStyle w:val="2"/>
        <w:rPr>
          <w:rFonts w:ascii="仿宋" w:hAnsi="仿宋" w:eastAsia="仿宋"/>
          <w:color w:val="000000" w:themeColor="text1"/>
          <w:highlight w:val="none"/>
          <w:lang w:val="zh-CN"/>
          <w14:textFill>
            <w14:solidFill>
              <w14:schemeClr w14:val="tx1"/>
            </w14:solidFill>
          </w14:textFill>
        </w:rPr>
      </w:pPr>
    </w:p>
    <w:p>
      <w:pPr>
        <w:pStyle w:val="44"/>
        <w:rPr>
          <w:rFonts w:ascii="仿宋" w:hAnsi="仿宋" w:eastAsia="仿宋"/>
          <w:color w:val="000000" w:themeColor="text1"/>
          <w:highlight w:val="none"/>
          <w:lang w:val="zh-CN"/>
          <w14:textFill>
            <w14:solidFill>
              <w14:schemeClr w14:val="tx1"/>
            </w14:solidFill>
          </w14:textFill>
        </w:rPr>
      </w:pPr>
    </w:p>
    <w:p>
      <w:pPr>
        <w:pStyle w:val="46"/>
        <w:rPr>
          <w:rFonts w:ascii="仿宋" w:hAnsi="仿宋" w:eastAsia="仿宋"/>
          <w:color w:val="000000" w:themeColor="text1"/>
          <w:highlight w:val="none"/>
          <w:lang w:val="zh-CN"/>
          <w14:textFill>
            <w14:solidFill>
              <w14:schemeClr w14:val="tx1"/>
            </w14:solidFill>
          </w14:textFill>
        </w:rPr>
      </w:pPr>
    </w:p>
    <w:p>
      <w:pPr>
        <w:rPr>
          <w:rFonts w:ascii="仿宋" w:hAnsi="仿宋" w:eastAsia="仿宋"/>
          <w:color w:val="000000" w:themeColor="text1"/>
          <w:highlight w:val="none"/>
          <w:lang w:val="zh-CN"/>
          <w14:textFill>
            <w14:solidFill>
              <w14:schemeClr w14:val="tx1"/>
            </w14:solidFill>
          </w14:textFill>
        </w:rPr>
      </w:pPr>
    </w:p>
    <w:p>
      <w:pPr>
        <w:pStyle w:val="2"/>
        <w:rPr>
          <w:rFonts w:ascii="仿宋" w:hAnsi="仿宋" w:eastAsia="仿宋"/>
          <w:color w:val="000000" w:themeColor="text1"/>
          <w:highlight w:val="none"/>
          <w:lang w:val="zh-CN"/>
          <w14:textFill>
            <w14:solidFill>
              <w14:schemeClr w14:val="tx1"/>
            </w14:solidFill>
          </w14:textFill>
        </w:rPr>
      </w:pPr>
    </w:p>
    <w:p>
      <w:pPr>
        <w:pStyle w:val="44"/>
        <w:rPr>
          <w:lang w:val="zh-CN"/>
        </w:rPr>
      </w:pPr>
    </w:p>
    <w:p>
      <w:pPr>
        <w:pStyle w:val="5"/>
        <w:rPr>
          <w:lang w:val="zh-CN"/>
        </w:rPr>
      </w:pPr>
    </w:p>
    <w:p>
      <w:pPr>
        <w:pStyle w:val="22"/>
        <w:rPr>
          <w:rFonts w:hint="eastAsia" w:ascii="仿宋" w:hAnsi="仿宋" w:eastAsia="仿宋" w:cs="Times New Roman"/>
          <w:color w:val="auto"/>
          <w:highlight w:val="none"/>
          <w:lang w:val="zh-CN"/>
        </w:rPr>
      </w:pPr>
      <w:bookmarkStart w:id="26" w:name="_Toc12689"/>
    </w:p>
    <w:p>
      <w:pPr>
        <w:rPr>
          <w:rFonts w:hint="eastAsia" w:ascii="仿宋" w:hAnsi="仿宋" w:eastAsia="仿宋" w:cs="Times New Roman"/>
          <w:color w:val="auto"/>
          <w:highlight w:val="none"/>
          <w:lang w:val="zh-CN"/>
        </w:rPr>
      </w:pPr>
    </w:p>
    <w:p>
      <w:pPr>
        <w:pStyle w:val="2"/>
        <w:rPr>
          <w:rFonts w:hint="eastAsia" w:ascii="仿宋" w:hAnsi="仿宋" w:eastAsia="仿宋" w:cs="Times New Roman"/>
          <w:color w:val="auto"/>
          <w:highlight w:val="none"/>
          <w:lang w:val="zh-CN"/>
        </w:rPr>
      </w:pPr>
    </w:p>
    <w:p>
      <w:pPr>
        <w:pStyle w:val="3"/>
        <w:rPr>
          <w:rFonts w:hint="eastAsia"/>
          <w:lang w:val="zh-CN"/>
        </w:rPr>
      </w:pPr>
    </w:p>
    <w:p>
      <w:pPr>
        <w:pStyle w:val="22"/>
        <w:rPr>
          <w:rFonts w:ascii="仿宋" w:hAnsi="仿宋" w:eastAsia="仿宋" w:cs="Times New Roman"/>
          <w:color w:val="auto"/>
          <w:highlight w:val="none"/>
          <w:lang w:val="zh-CN"/>
        </w:rPr>
      </w:pPr>
      <w:r>
        <w:rPr>
          <w:rFonts w:hint="eastAsia" w:ascii="仿宋" w:hAnsi="仿宋" w:eastAsia="仿宋" w:cs="Times New Roman"/>
          <w:color w:val="auto"/>
          <w:highlight w:val="none"/>
          <w:lang w:val="zh-CN"/>
        </w:rPr>
        <w:t>第四部分合同文本样式</w:t>
      </w:r>
      <w:bookmarkEnd w:id="26"/>
    </w:p>
    <w:p>
      <w:pPr>
        <w:rPr>
          <w:rFonts w:ascii="宋体"/>
          <w:color w:val="auto"/>
          <w:sz w:val="24"/>
          <w:szCs w:val="24"/>
          <w:highlight w:val="none"/>
        </w:rPr>
      </w:pPr>
    </w:p>
    <w:p>
      <w:pPr>
        <w:pStyle w:val="22"/>
        <w:rPr>
          <w:rFonts w:ascii="仿宋" w:hAnsi="仿宋" w:eastAsia="仿宋" w:cs="Calibri"/>
          <w:color w:val="auto"/>
          <w:sz w:val="24"/>
          <w:highlight w:val="none"/>
        </w:rPr>
      </w:pPr>
      <w:bookmarkStart w:id="27" w:name="_Toc27775"/>
      <w:bookmarkStart w:id="28" w:name="_Toc21369"/>
      <w:bookmarkStart w:id="29" w:name="_Toc23981"/>
      <w:bookmarkStart w:id="30" w:name="_Toc480459728"/>
      <w:bookmarkStart w:id="31" w:name="_Toc8106"/>
      <w:bookmarkStart w:id="32" w:name="_Toc480459514"/>
      <w:bookmarkStart w:id="33" w:name="_Toc2625"/>
      <w:r>
        <w:rPr>
          <w:rFonts w:hint="eastAsia" w:ascii="仿宋" w:hAnsi="仿宋" w:eastAsia="仿宋"/>
          <w:color w:val="auto"/>
          <w:highlight w:val="none"/>
          <w:lang w:val="zh-CN"/>
        </w:rPr>
        <w:t>青海省项目合同书范本</w:t>
      </w:r>
      <w:bookmarkEnd w:id="27"/>
      <w:bookmarkEnd w:id="28"/>
      <w:bookmarkEnd w:id="29"/>
      <w:bookmarkEnd w:id="30"/>
      <w:bookmarkEnd w:id="31"/>
      <w:bookmarkEnd w:id="32"/>
      <w:bookmarkEnd w:id="33"/>
    </w:p>
    <w:p>
      <w:pPr>
        <w:autoSpaceDE w:val="0"/>
        <w:autoSpaceDN w:val="0"/>
        <w:adjustRightInd w:val="0"/>
        <w:spacing w:line="360" w:lineRule="auto"/>
        <w:jc w:val="center"/>
        <w:rPr>
          <w:rFonts w:ascii="仿宋" w:hAnsi="仿宋" w:eastAsia="仿宋" w:cs="Calibri"/>
          <w:b/>
          <w:bCs/>
          <w:color w:val="auto"/>
          <w:kern w:val="0"/>
          <w:sz w:val="36"/>
          <w:szCs w:val="36"/>
          <w:highlight w:val="none"/>
        </w:rPr>
      </w:pPr>
      <w:r>
        <w:rPr>
          <w:rFonts w:hint="eastAsia" w:ascii="仿宋" w:hAnsi="仿宋" w:eastAsia="仿宋" w:cs="宋体"/>
          <w:b/>
          <w:bCs/>
          <w:color w:val="auto"/>
          <w:kern w:val="0"/>
          <w:sz w:val="36"/>
          <w:szCs w:val="36"/>
          <w:highlight w:val="none"/>
          <w:lang w:val="zh-CN"/>
        </w:rPr>
        <w:t>（工程类）</w:t>
      </w:r>
    </w:p>
    <w:p>
      <w:pPr>
        <w:autoSpaceDE w:val="0"/>
        <w:autoSpaceDN w:val="0"/>
        <w:adjustRightInd w:val="0"/>
        <w:spacing w:line="360" w:lineRule="auto"/>
        <w:rPr>
          <w:rFonts w:ascii="仿宋" w:hAnsi="仿宋" w:eastAsia="仿宋" w:cs="Calibri"/>
          <w:color w:val="000000" w:themeColor="text1"/>
          <w:kern w:val="0"/>
          <w:sz w:val="28"/>
          <w:szCs w:val="28"/>
          <w:highlight w:val="none"/>
          <w14:textFill>
            <w14:solidFill>
              <w14:schemeClr w14:val="tx1"/>
            </w14:solidFill>
          </w14:textFill>
        </w:rPr>
      </w:pPr>
    </w:p>
    <w:p>
      <w:pPr>
        <w:autoSpaceDE w:val="0"/>
        <w:autoSpaceDN w:val="0"/>
        <w:adjustRightInd w:val="0"/>
        <w:spacing w:line="360" w:lineRule="auto"/>
        <w:rPr>
          <w:rFonts w:ascii="仿宋" w:hAnsi="仿宋" w:eastAsia="仿宋" w:cs="Calibri"/>
          <w:color w:val="000000" w:themeColor="text1"/>
          <w:kern w:val="0"/>
          <w:sz w:val="28"/>
          <w:szCs w:val="28"/>
          <w:highlight w:val="none"/>
          <w14:textFill>
            <w14:solidFill>
              <w14:schemeClr w14:val="tx1"/>
            </w14:solidFill>
          </w14:textFill>
        </w:rPr>
      </w:pPr>
    </w:p>
    <w:p>
      <w:pPr>
        <w:autoSpaceDE w:val="0"/>
        <w:autoSpaceDN w:val="0"/>
        <w:adjustRightInd w:val="0"/>
        <w:spacing w:line="360" w:lineRule="auto"/>
        <w:rPr>
          <w:rFonts w:ascii="仿宋" w:hAnsi="仿宋" w:eastAsia="仿宋" w:cs="Calibri"/>
          <w:color w:val="000000" w:themeColor="text1"/>
          <w:kern w:val="0"/>
          <w:sz w:val="28"/>
          <w:szCs w:val="28"/>
          <w:highlight w:val="none"/>
          <w14:textFill>
            <w14:solidFill>
              <w14:schemeClr w14:val="tx1"/>
            </w14:solidFill>
          </w14:textFill>
        </w:rPr>
      </w:pPr>
    </w:p>
    <w:p>
      <w:pPr>
        <w:autoSpaceDE w:val="0"/>
        <w:autoSpaceDN w:val="0"/>
        <w:adjustRightInd w:val="0"/>
        <w:spacing w:line="360" w:lineRule="auto"/>
        <w:jc w:val="center"/>
        <w:rPr>
          <w:rFonts w:ascii="仿宋" w:hAnsi="仿宋" w:eastAsia="仿宋" w:cs="Calibri"/>
          <w:b/>
          <w:bCs/>
          <w:color w:val="000000" w:themeColor="text1"/>
          <w:kern w:val="0"/>
          <w:sz w:val="48"/>
          <w:szCs w:val="48"/>
          <w:highlight w:val="none"/>
          <w14:textFill>
            <w14:solidFill>
              <w14:schemeClr w14:val="tx1"/>
            </w14:solidFill>
          </w14:textFill>
        </w:rPr>
      </w:pPr>
      <w:r>
        <w:rPr>
          <w:rFonts w:hint="eastAsia" w:ascii="仿宋" w:hAnsi="仿宋" w:eastAsia="仿宋" w:cs="宋体"/>
          <w:b/>
          <w:bCs/>
          <w:color w:val="000000" w:themeColor="text1"/>
          <w:kern w:val="0"/>
          <w:sz w:val="48"/>
          <w:szCs w:val="48"/>
          <w:highlight w:val="none"/>
          <w:lang w:val="zh-CN"/>
          <w14:textFill>
            <w14:solidFill>
              <w14:schemeClr w14:val="tx1"/>
            </w14:solidFill>
          </w14:textFill>
        </w:rPr>
        <w:t>青海省项目合同书</w:t>
      </w:r>
    </w:p>
    <w:p>
      <w:pPr>
        <w:autoSpaceDE w:val="0"/>
        <w:autoSpaceDN w:val="0"/>
        <w:adjustRightInd w:val="0"/>
        <w:spacing w:line="360" w:lineRule="auto"/>
        <w:rPr>
          <w:rFonts w:ascii="仿宋" w:hAnsi="仿宋" w:eastAsia="仿宋" w:cs="Calibri"/>
          <w:color w:val="000000" w:themeColor="text1"/>
          <w:kern w:val="0"/>
          <w:sz w:val="28"/>
          <w:szCs w:val="28"/>
          <w:highlight w:val="none"/>
          <w14:textFill>
            <w14:solidFill>
              <w14:schemeClr w14:val="tx1"/>
            </w14:solidFill>
          </w14:textFill>
        </w:rPr>
      </w:pPr>
    </w:p>
    <w:p>
      <w:pPr>
        <w:autoSpaceDE w:val="0"/>
        <w:autoSpaceDN w:val="0"/>
        <w:adjustRightInd w:val="0"/>
        <w:spacing w:line="400" w:lineRule="exact"/>
        <w:rPr>
          <w:rFonts w:ascii="仿宋" w:hAnsi="仿宋" w:eastAsia="仿宋" w:cs="Calibri"/>
          <w:color w:val="000000" w:themeColor="text1"/>
          <w:kern w:val="0"/>
          <w:sz w:val="28"/>
          <w:szCs w:val="28"/>
          <w:highlight w:val="none"/>
          <w14:textFill>
            <w14:solidFill>
              <w14:schemeClr w14:val="tx1"/>
            </w14:solidFill>
          </w14:textFill>
        </w:rPr>
      </w:pPr>
    </w:p>
    <w:p>
      <w:pPr>
        <w:autoSpaceDE w:val="0"/>
        <w:autoSpaceDN w:val="0"/>
        <w:adjustRightInd w:val="0"/>
        <w:spacing w:line="400" w:lineRule="exact"/>
        <w:rPr>
          <w:rFonts w:ascii="仿宋" w:hAnsi="仿宋" w:eastAsia="仿宋" w:cs="Calibri"/>
          <w:color w:val="000000" w:themeColor="text1"/>
          <w:kern w:val="0"/>
          <w:sz w:val="28"/>
          <w:szCs w:val="28"/>
          <w:highlight w:val="none"/>
          <w14:textFill>
            <w14:solidFill>
              <w14:schemeClr w14:val="tx1"/>
            </w14:solidFill>
          </w14:textFill>
        </w:rPr>
      </w:pPr>
    </w:p>
    <w:p>
      <w:pPr>
        <w:autoSpaceDE w:val="0"/>
        <w:autoSpaceDN w:val="0"/>
        <w:adjustRightInd w:val="0"/>
        <w:spacing w:line="400" w:lineRule="exact"/>
        <w:rPr>
          <w:rFonts w:ascii="仿宋" w:hAnsi="仿宋" w:eastAsia="仿宋" w:cs="Calibri"/>
          <w:color w:val="000000" w:themeColor="text1"/>
          <w:kern w:val="0"/>
          <w:sz w:val="28"/>
          <w:szCs w:val="28"/>
          <w:highlight w:val="none"/>
          <w14:textFill>
            <w14:solidFill>
              <w14:schemeClr w14:val="tx1"/>
            </w14:solidFill>
          </w14:textFill>
        </w:rPr>
      </w:pPr>
    </w:p>
    <w:p>
      <w:pPr>
        <w:keepNext w:val="0"/>
        <w:keepLines w:val="0"/>
        <w:widowControl/>
        <w:suppressLineNumbers w:val="0"/>
        <w:ind w:firstLine="301" w:firstLineChars="100"/>
        <w:jc w:val="left"/>
        <w:rPr>
          <w:rFonts w:hint="eastAsia" w:ascii="仿宋" w:hAnsi="仿宋" w:eastAsia="仿宋" w:cs="Calibri"/>
          <w:b/>
          <w:bCs/>
          <w:color w:val="000000" w:themeColor="text1"/>
          <w:kern w:val="0"/>
          <w:sz w:val="30"/>
          <w:szCs w:val="30"/>
          <w:highlight w:val="none"/>
          <w:u w:val="single"/>
          <w:lang w:val="en-US" w:eastAsia="zh-CN"/>
          <w14:textFill>
            <w14:solidFill>
              <w14:schemeClr w14:val="tx1"/>
            </w14:solidFill>
          </w14:textFill>
        </w:rPr>
      </w:pPr>
      <w:r>
        <w:rPr>
          <w:rFonts w:hint="eastAsia" w:ascii="仿宋" w:hAnsi="仿宋" w:eastAsia="仿宋" w:cs="宋体"/>
          <w:b/>
          <w:bCs/>
          <w:color w:val="000000" w:themeColor="text1"/>
          <w:kern w:val="0"/>
          <w:sz w:val="30"/>
          <w:szCs w:val="30"/>
          <w:highlight w:val="none"/>
          <w:lang w:val="zh-CN"/>
          <w14:textFill>
            <w14:solidFill>
              <w14:schemeClr w14:val="tx1"/>
            </w14:solidFill>
          </w14:textFill>
        </w:rPr>
        <w:t>采购项目名称：</w:t>
      </w:r>
      <w:r>
        <w:rPr>
          <w:rFonts w:hint="eastAsia" w:ascii="仿宋" w:hAnsi="仿宋" w:eastAsia="仿宋" w:cs="Calibri"/>
          <w:b/>
          <w:bCs/>
          <w:color w:val="000000" w:themeColor="text1"/>
          <w:kern w:val="0"/>
          <w:sz w:val="30"/>
          <w:szCs w:val="30"/>
          <w:highlight w:val="none"/>
          <w:u w:val="single"/>
          <w:lang w:val="en-US" w:eastAsia="zh-CN"/>
          <w14:textFill>
            <w14:solidFill>
              <w14:schemeClr w14:val="tx1"/>
            </w14:solidFill>
          </w14:textFill>
        </w:rPr>
        <w:t xml:space="preserve">                                       </w:t>
      </w:r>
    </w:p>
    <w:p>
      <w:pPr>
        <w:keepNext w:val="0"/>
        <w:keepLines w:val="0"/>
        <w:widowControl/>
        <w:suppressLineNumbers w:val="0"/>
        <w:ind w:firstLine="301" w:firstLineChars="100"/>
        <w:jc w:val="left"/>
        <w:rPr>
          <w:rFonts w:ascii="仿宋" w:hAnsi="仿宋" w:eastAsia="仿宋" w:cs="Calibri"/>
          <w:b/>
          <w:bCs/>
          <w:color w:val="000000" w:themeColor="text1"/>
          <w:kern w:val="0"/>
          <w:sz w:val="30"/>
          <w:szCs w:val="30"/>
          <w:highlight w:val="none"/>
          <w:u w:val="single"/>
          <w14:textFill>
            <w14:solidFill>
              <w14:schemeClr w14:val="tx1"/>
            </w14:solidFill>
          </w14:textFill>
        </w:rPr>
      </w:pPr>
      <w:r>
        <w:rPr>
          <w:rFonts w:hint="eastAsia" w:ascii="仿宋" w:hAnsi="仿宋" w:eastAsia="仿宋" w:cs="宋体"/>
          <w:b/>
          <w:bCs/>
          <w:color w:val="000000" w:themeColor="text1"/>
          <w:kern w:val="0"/>
          <w:sz w:val="30"/>
          <w:szCs w:val="30"/>
          <w:highlight w:val="none"/>
          <w:lang w:val="zh-CN"/>
          <w14:textFill>
            <w14:solidFill>
              <w14:schemeClr w14:val="tx1"/>
            </w14:solidFill>
          </w14:textFill>
        </w:rPr>
        <w:t>采购项目编号：</w:t>
      </w:r>
      <w:r>
        <w:rPr>
          <w:rFonts w:hint="eastAsia" w:ascii="仿宋" w:hAnsi="仿宋" w:eastAsia="仿宋" w:cs="Calibri"/>
          <w:b/>
          <w:bCs/>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Calibri"/>
          <w:b/>
          <w:bCs/>
          <w:color w:val="000000" w:themeColor="text1"/>
          <w:kern w:val="0"/>
          <w:sz w:val="30"/>
          <w:szCs w:val="30"/>
          <w:highlight w:val="none"/>
          <w:u w:val="single"/>
          <w:lang w:val="en-US" w:eastAsia="zh-CN"/>
          <w14:textFill>
            <w14:solidFill>
              <w14:schemeClr w14:val="tx1"/>
            </w14:solidFill>
          </w14:textFill>
        </w:rPr>
        <w:t xml:space="preserve">                                </w:t>
      </w:r>
      <w:r>
        <w:rPr>
          <w:rFonts w:hint="eastAsia" w:ascii="仿宋" w:hAnsi="仿宋" w:eastAsia="仿宋" w:cs="Calibri"/>
          <w:b/>
          <w:bCs/>
          <w:color w:val="000000" w:themeColor="text1"/>
          <w:kern w:val="0"/>
          <w:sz w:val="30"/>
          <w:szCs w:val="30"/>
          <w:highlight w:val="none"/>
          <w:u w:val="single"/>
          <w14:textFill>
            <w14:solidFill>
              <w14:schemeClr w14:val="tx1"/>
            </w14:solidFill>
          </w14:textFill>
        </w:rPr>
        <w:t xml:space="preserve">      </w:t>
      </w:r>
    </w:p>
    <w:p>
      <w:pPr>
        <w:autoSpaceDE w:val="0"/>
        <w:autoSpaceDN w:val="0"/>
        <w:adjustRightInd w:val="0"/>
        <w:spacing w:line="360" w:lineRule="auto"/>
        <w:ind w:firstLine="301" w:firstLineChars="100"/>
        <w:rPr>
          <w:rFonts w:ascii="仿宋" w:hAnsi="仿宋" w:eastAsia="仿宋" w:cs="Calibri"/>
          <w:b/>
          <w:bCs/>
          <w:color w:val="000000" w:themeColor="text1"/>
          <w:kern w:val="0"/>
          <w:sz w:val="30"/>
          <w:szCs w:val="30"/>
          <w:highlight w:val="none"/>
          <w14:textFill>
            <w14:solidFill>
              <w14:schemeClr w14:val="tx1"/>
            </w14:solidFill>
          </w14:textFill>
        </w:rPr>
      </w:pPr>
      <w:r>
        <w:rPr>
          <w:rFonts w:hint="eastAsia" w:ascii="仿宋" w:hAnsi="仿宋" w:eastAsia="仿宋" w:cs="Calibri"/>
          <w:b/>
          <w:bCs/>
          <w:color w:val="000000" w:themeColor="text1"/>
          <w:kern w:val="0"/>
          <w:sz w:val="30"/>
          <w:szCs w:val="30"/>
          <w:highlight w:val="none"/>
          <w14:textFill>
            <w14:solidFill>
              <w14:schemeClr w14:val="tx1"/>
            </w14:solidFill>
          </w14:textFill>
        </w:rPr>
        <w:t>合同编号：</w:t>
      </w:r>
      <w:r>
        <w:rPr>
          <w:rFonts w:hint="eastAsia" w:ascii="仿宋" w:hAnsi="仿宋" w:eastAsia="仿宋" w:cs="Calibri"/>
          <w:b/>
          <w:bCs/>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Calibri"/>
          <w:b/>
          <w:bCs/>
          <w:color w:val="000000" w:themeColor="text1"/>
          <w:kern w:val="0"/>
          <w:sz w:val="30"/>
          <w:szCs w:val="30"/>
          <w:highlight w:val="none"/>
          <w:u w:val="single"/>
          <w:lang w:val="en-US" w:eastAsia="zh-CN"/>
          <w14:textFill>
            <w14:solidFill>
              <w14:schemeClr w14:val="tx1"/>
            </w14:solidFill>
          </w14:textFill>
        </w:rPr>
        <w:t xml:space="preserve">                             </w:t>
      </w:r>
      <w:r>
        <w:rPr>
          <w:rFonts w:ascii="仿宋" w:hAnsi="仿宋" w:eastAsia="仿宋" w:cs="Calibri"/>
          <w:b/>
          <w:bCs/>
          <w:color w:val="000000" w:themeColor="text1"/>
          <w:kern w:val="0"/>
          <w:sz w:val="30"/>
          <w:szCs w:val="30"/>
          <w:highlight w:val="none"/>
          <w:u w:val="single"/>
          <w14:textFill>
            <w14:solidFill>
              <w14:schemeClr w14:val="tx1"/>
            </w14:solidFill>
          </w14:textFill>
        </w:rPr>
        <w:t xml:space="preserve">             </w:t>
      </w:r>
      <w:r>
        <w:rPr>
          <w:rFonts w:ascii="仿宋" w:hAnsi="仿宋" w:eastAsia="仿宋" w:cs="Calibri"/>
          <w:b/>
          <w:bCs/>
          <w:color w:val="000000" w:themeColor="text1"/>
          <w:kern w:val="0"/>
          <w:sz w:val="30"/>
          <w:szCs w:val="30"/>
          <w:highlight w:val="none"/>
          <w14:textFill>
            <w14:solidFill>
              <w14:schemeClr w14:val="tx1"/>
            </w14:solidFill>
          </w14:textFill>
        </w:rPr>
        <w:t xml:space="preserve">   </w:t>
      </w:r>
    </w:p>
    <w:p>
      <w:pPr>
        <w:autoSpaceDE w:val="0"/>
        <w:autoSpaceDN w:val="0"/>
        <w:adjustRightInd w:val="0"/>
        <w:spacing w:line="360" w:lineRule="auto"/>
        <w:ind w:firstLine="301" w:firstLineChars="100"/>
        <w:rPr>
          <w:rFonts w:ascii="仿宋" w:hAnsi="仿宋" w:eastAsia="仿宋" w:cs="Calibri"/>
          <w:b/>
          <w:bCs/>
          <w:color w:val="000000" w:themeColor="text1"/>
          <w:kern w:val="0"/>
          <w:sz w:val="30"/>
          <w:szCs w:val="30"/>
          <w:highlight w:val="none"/>
          <w14:textFill>
            <w14:solidFill>
              <w14:schemeClr w14:val="tx1"/>
            </w14:solidFill>
          </w14:textFill>
        </w:rPr>
      </w:pPr>
      <w:r>
        <w:rPr>
          <w:rFonts w:hint="eastAsia" w:ascii="仿宋" w:hAnsi="仿宋" w:eastAsia="仿宋" w:cs="宋体"/>
          <w:b/>
          <w:bCs/>
          <w:color w:val="000000" w:themeColor="text1"/>
          <w:kern w:val="0"/>
          <w:sz w:val="30"/>
          <w:szCs w:val="30"/>
          <w:highlight w:val="none"/>
          <w:lang w:val="zh-CN"/>
          <w14:textFill>
            <w14:solidFill>
              <w14:schemeClr w14:val="tx1"/>
            </w14:solidFill>
          </w14:textFill>
        </w:rPr>
        <w:t>合同金额（人民币）：</w:t>
      </w:r>
      <w:r>
        <w:rPr>
          <w:rFonts w:hint="eastAsia" w:ascii="仿宋" w:hAnsi="仿宋" w:eastAsia="仿宋" w:cs="宋体"/>
          <w:b/>
          <w:bCs/>
          <w:color w:val="000000" w:themeColor="text1"/>
          <w:kern w:val="0"/>
          <w:sz w:val="30"/>
          <w:szCs w:val="30"/>
          <w:highlight w:val="none"/>
          <w:u w:val="single"/>
          <w:lang w:val="zh-CN"/>
          <w14:textFill>
            <w14:solidFill>
              <w14:schemeClr w14:val="tx1"/>
            </w14:solidFill>
          </w14:textFill>
        </w:rPr>
        <w:t xml:space="preserve">                                 </w:t>
      </w:r>
    </w:p>
    <w:p>
      <w:pPr>
        <w:autoSpaceDE w:val="0"/>
        <w:autoSpaceDN w:val="0"/>
        <w:adjustRightInd w:val="0"/>
        <w:spacing w:line="360" w:lineRule="auto"/>
        <w:ind w:firstLine="301" w:firstLineChars="100"/>
        <w:rPr>
          <w:rFonts w:ascii="仿宋" w:hAnsi="仿宋" w:eastAsia="仿宋" w:cs="Calibri"/>
          <w:b/>
          <w:bCs/>
          <w:color w:val="000000" w:themeColor="text1"/>
          <w:kern w:val="0"/>
          <w:sz w:val="30"/>
          <w:szCs w:val="30"/>
          <w:highlight w:val="none"/>
          <w14:textFill>
            <w14:solidFill>
              <w14:schemeClr w14:val="tx1"/>
            </w14:solidFill>
          </w14:textFill>
        </w:rPr>
      </w:pPr>
      <w:r>
        <w:rPr>
          <w:rFonts w:hint="eastAsia" w:ascii="仿宋" w:hAnsi="仿宋" w:eastAsia="仿宋" w:cs="宋体"/>
          <w:b/>
          <w:bCs/>
          <w:color w:val="000000" w:themeColor="text1"/>
          <w:kern w:val="0"/>
          <w:sz w:val="30"/>
          <w:szCs w:val="30"/>
          <w:highlight w:val="none"/>
          <w:lang w:val="zh-CN"/>
          <w14:textFill>
            <w14:solidFill>
              <w14:schemeClr w14:val="tx1"/>
            </w14:solidFill>
          </w14:textFill>
        </w:rPr>
        <w:t>采购人（甲方）：</w:t>
      </w:r>
      <w:r>
        <w:rPr>
          <w:rFonts w:hint="eastAsia" w:ascii="仿宋" w:hAnsi="仿宋" w:eastAsia="仿宋" w:cs="宋体"/>
          <w:b/>
          <w:bCs/>
          <w:color w:val="000000" w:themeColor="text1"/>
          <w:kern w:val="0"/>
          <w:sz w:val="30"/>
          <w:szCs w:val="30"/>
          <w:highlight w:val="none"/>
          <w:u w:val="single"/>
          <w:lang w:val="zh-CN"/>
          <w14:textFill>
            <w14:solidFill>
              <w14:schemeClr w14:val="tx1"/>
            </w14:solidFill>
          </w14:textFill>
        </w:rPr>
        <w:t xml:space="preserve">                               </w:t>
      </w:r>
      <w:r>
        <w:rPr>
          <w:rFonts w:hint="eastAsia" w:ascii="仿宋" w:hAnsi="仿宋" w:eastAsia="仿宋" w:cs="宋体"/>
          <w:b/>
          <w:bCs/>
          <w:color w:val="000000" w:themeColor="text1"/>
          <w:kern w:val="0"/>
          <w:sz w:val="30"/>
          <w:szCs w:val="30"/>
          <w:highlight w:val="none"/>
          <w:lang w:val="zh-CN"/>
          <w14:textFill>
            <w14:solidFill>
              <w14:schemeClr w14:val="tx1"/>
            </w14:solidFill>
          </w14:textFill>
        </w:rPr>
        <w:t>（盖章）</w:t>
      </w:r>
    </w:p>
    <w:p>
      <w:pPr>
        <w:autoSpaceDE w:val="0"/>
        <w:autoSpaceDN w:val="0"/>
        <w:adjustRightInd w:val="0"/>
        <w:spacing w:line="360" w:lineRule="auto"/>
        <w:ind w:firstLine="301" w:firstLineChars="100"/>
        <w:rPr>
          <w:rFonts w:ascii="仿宋" w:hAnsi="仿宋" w:eastAsia="仿宋" w:cs="宋体"/>
          <w:b/>
          <w:bCs/>
          <w:color w:val="000000" w:themeColor="text1"/>
          <w:kern w:val="0"/>
          <w:sz w:val="30"/>
          <w:szCs w:val="30"/>
          <w:highlight w:val="none"/>
          <w:lang w:val="zh-CN"/>
          <w14:textFill>
            <w14:solidFill>
              <w14:schemeClr w14:val="tx1"/>
            </w14:solidFill>
          </w14:textFill>
        </w:rPr>
      </w:pPr>
      <w:r>
        <w:rPr>
          <w:rFonts w:hint="eastAsia" w:ascii="仿宋" w:hAnsi="仿宋" w:eastAsia="仿宋" w:cs="宋体"/>
          <w:b/>
          <w:bCs/>
          <w:color w:val="000000" w:themeColor="text1"/>
          <w:kern w:val="0"/>
          <w:sz w:val="30"/>
          <w:szCs w:val="30"/>
          <w:highlight w:val="none"/>
          <w:lang w:val="zh-CN"/>
          <w14:textFill>
            <w14:solidFill>
              <w14:schemeClr w14:val="tx1"/>
            </w14:solidFill>
          </w14:textFill>
        </w:rPr>
        <w:t>中标人（乙方）：</w:t>
      </w:r>
      <w:r>
        <w:rPr>
          <w:rFonts w:hint="eastAsia" w:ascii="仿宋" w:hAnsi="仿宋" w:eastAsia="仿宋" w:cs="宋体"/>
          <w:b/>
          <w:bCs/>
          <w:color w:val="000000" w:themeColor="text1"/>
          <w:kern w:val="0"/>
          <w:sz w:val="30"/>
          <w:szCs w:val="30"/>
          <w:highlight w:val="none"/>
          <w:u w:val="single"/>
          <w:lang w:val="zh-CN"/>
          <w14:textFill>
            <w14:solidFill>
              <w14:schemeClr w14:val="tx1"/>
            </w14:solidFill>
          </w14:textFill>
        </w:rPr>
        <w:t xml:space="preserve">                               </w:t>
      </w:r>
      <w:r>
        <w:rPr>
          <w:rFonts w:hint="eastAsia" w:ascii="仿宋" w:hAnsi="仿宋" w:eastAsia="仿宋" w:cs="宋体"/>
          <w:b/>
          <w:bCs/>
          <w:color w:val="000000" w:themeColor="text1"/>
          <w:kern w:val="0"/>
          <w:sz w:val="30"/>
          <w:szCs w:val="30"/>
          <w:highlight w:val="none"/>
          <w:lang w:val="zh-CN"/>
          <w14:textFill>
            <w14:solidFill>
              <w14:schemeClr w14:val="tx1"/>
            </w14:solidFill>
          </w14:textFill>
        </w:rPr>
        <w:t>（盖章）</w:t>
      </w:r>
    </w:p>
    <w:p>
      <w:pPr>
        <w:autoSpaceDE w:val="0"/>
        <w:autoSpaceDN w:val="0"/>
        <w:adjustRightInd w:val="0"/>
        <w:spacing w:line="360" w:lineRule="auto"/>
        <w:ind w:firstLine="301" w:firstLineChars="100"/>
        <w:rPr>
          <w:rFonts w:ascii="仿宋" w:hAnsi="仿宋" w:eastAsia="仿宋" w:cs="Calibri"/>
          <w:b/>
          <w:bCs/>
          <w:color w:val="000000" w:themeColor="text1"/>
          <w:kern w:val="0"/>
          <w:sz w:val="30"/>
          <w:szCs w:val="30"/>
          <w:highlight w:val="none"/>
          <w14:textFill>
            <w14:solidFill>
              <w14:schemeClr w14:val="tx1"/>
            </w14:solidFill>
          </w14:textFill>
        </w:rPr>
      </w:pPr>
      <w:r>
        <w:rPr>
          <w:rFonts w:hint="eastAsia" w:ascii="仿宋" w:hAnsi="仿宋" w:eastAsia="仿宋" w:cs="宋体"/>
          <w:b/>
          <w:bCs/>
          <w:color w:val="000000" w:themeColor="text1"/>
          <w:kern w:val="0"/>
          <w:sz w:val="30"/>
          <w:szCs w:val="30"/>
          <w:highlight w:val="none"/>
          <w:lang w:val="zh-CN"/>
          <w14:textFill>
            <w14:solidFill>
              <w14:schemeClr w14:val="tx1"/>
            </w14:solidFill>
          </w14:textFill>
        </w:rPr>
        <w:t>采购日期：</w:t>
      </w:r>
    </w:p>
    <w:p>
      <w:pPr>
        <w:pStyle w:val="4"/>
        <w:jc w:val="center"/>
        <w:rPr>
          <w:rFonts w:hint="eastAsia" w:ascii="宋体" w:hAnsi="宋体" w:eastAsia="宋体" w:cs="宋体"/>
          <w:color w:val="auto"/>
          <w:sz w:val="24"/>
          <w:szCs w:val="24"/>
          <w:lang w:eastAsia="zh-CN"/>
        </w:rPr>
      </w:pPr>
      <w:bookmarkStart w:id="34" w:name="_Toc10257"/>
      <w:r>
        <w:rPr>
          <w:rFonts w:hint="eastAsia" w:ascii="宋体" w:hAnsi="宋体" w:eastAsia="宋体" w:cs="宋体"/>
          <w:color w:val="auto"/>
          <w:sz w:val="24"/>
          <w:szCs w:val="24"/>
          <w:lang w:eastAsia="zh-CN"/>
        </w:rPr>
        <w:t>合同条款及格式</w:t>
      </w:r>
      <w:bookmarkEnd w:id="34"/>
    </w:p>
    <w:p>
      <w:pPr>
        <w:pStyle w:val="5"/>
        <w:spacing w:before="120" w:after="120"/>
        <w:jc w:val="center"/>
        <w:rPr>
          <w:rFonts w:hint="eastAsia" w:ascii="宋体" w:hAnsi="宋体" w:eastAsia="宋体" w:cs="宋体"/>
          <w:i w:val="0"/>
          <w:color w:val="auto"/>
          <w:sz w:val="24"/>
          <w:szCs w:val="24"/>
          <w:lang w:eastAsia="zh-CN"/>
        </w:rPr>
      </w:pPr>
      <w:bookmarkStart w:id="35" w:name="_Toc20981"/>
      <w:bookmarkStart w:id="36" w:name="_Toc21024"/>
      <w:bookmarkStart w:id="37" w:name="_Toc437355449"/>
      <w:r>
        <w:rPr>
          <w:rFonts w:hint="eastAsia" w:ascii="宋体" w:hAnsi="宋体" w:eastAsia="宋体" w:cs="宋体"/>
          <w:i w:val="0"/>
          <w:color w:val="auto"/>
          <w:sz w:val="24"/>
          <w:szCs w:val="24"/>
          <w:lang w:eastAsia="zh-CN"/>
        </w:rPr>
        <w:t>第一节 通用合同条款</w:t>
      </w:r>
      <w:bookmarkEnd w:id="35"/>
      <w:bookmarkEnd w:id="36"/>
      <w:bookmarkEnd w:id="37"/>
    </w:p>
    <w:p>
      <w:pPr>
        <w:pStyle w:val="6"/>
        <w:rPr>
          <w:rFonts w:hint="eastAsia" w:ascii="宋体" w:hAnsi="宋体" w:eastAsia="宋体" w:cs="宋体"/>
          <w:color w:val="auto"/>
          <w:sz w:val="24"/>
          <w:szCs w:val="24"/>
          <w:lang w:eastAsia="zh-CN"/>
        </w:rPr>
      </w:pPr>
      <w:bookmarkStart w:id="38" w:name="_Toc437355450"/>
      <w:bookmarkStart w:id="39" w:name="_Toc6508"/>
      <w:r>
        <w:rPr>
          <w:rFonts w:hint="eastAsia" w:ascii="宋体" w:hAnsi="宋体" w:eastAsia="宋体" w:cs="宋体"/>
          <w:color w:val="auto"/>
          <w:sz w:val="24"/>
          <w:szCs w:val="24"/>
          <w:lang w:eastAsia="zh-CN"/>
        </w:rPr>
        <w:t>1. 一般约定</w:t>
      </w:r>
      <w:bookmarkEnd w:id="38"/>
      <w:bookmarkEnd w:id="39"/>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1.1 词语定义</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通用合同条款、专用合同条款中的下列词语应具有本款所赋予的含义。</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 合同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1.1.1.1 合同文件（或称合同）：指合同协议书、中标通知书、投标函及投标函附录、专用合同条款、通用合同条款、技术标准和要求、图纸、已标价工程量清单，以及其他合同文件。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1.1.1.2 合同协议书：指第1.5 款所指的合同协议书。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1.1.1.3 中标通知书：指发包人通知承包人中标的函件。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1.1.1.4 投标函：指构成合同文件组成部分的由承包人填写并签署的投标函。</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1.1.1.5 投标函附录：指附在投标函后构成合同文件的投标函附录。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1.1.1.6 技术标准和要求：指构成合同文件组成部分的名为技术标准和要求的文件，包括合同双方当事人约定对其所作的修改或补充。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1.1.1.7 图纸：包含在合同中的工程图纸，以及由发包人按合同约定提供的任何补充和修改的图纸，包括配套的说明。</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1.1.1.8 已标价工程量清单：指构成合同文件组成部分的由承包人按照规定的格式和要求填写并标明价格的工程量清单。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1.1.1.9 其他合同文件：指经合同双方当事人确认构成合同文件的其他文件。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 合同当事人和人员</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1.1.2.1 合同当事人:指发包人和（或）承包人。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1.1.2.2 发包人：指专用合同条款中指明并与承包人在合同协议书中签字的当事人。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1.1.2.3 承包人：指与发包人签订合同协议书的当事人。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1.1.2.4 承包人项目经理：指承包人派驻施工场地的全权负责人。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1.1.2.5 分包人：指从承包人处分包合同中某一部分工程，并与其签订分包合同的分包人。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1.1.2.6 监理人：指在专用合同条款中指明的，受发包人委托对合同履行实施管理的法人或其他组织。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1.1.2.7 总监理工程师（总监）：指由监理人委派常驻施工场地对合同履行实施管理的全权负责人。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 工程和设备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1.1.3.1 工程：指永久工程和（或）临时工程。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1.1.3.2 永久工程：指按合同约定建造并移交给发包人的工程，包括工程设备。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1.1.3.3 临时工程：指为完成合同约定的永久工程所修建的各类临时性工程，不包括施工设备。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1.1.3.4 单位工程：指专用合同条款中指明特定范围的永久工程。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1.1.3.5 工程设备：指构成或计划构成永久工程一部分的机电设备、金属结构设备、仪器装置及其他类似的设备和装置。</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1.1.3.6 施工设备：指为完成合同约定的各项工作所需的设备、器具和其他物品，不包括临时工程和材料。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1.1.3.7 临时设施：指为完成合同约定的各项工作所服务的临时性生产和生活设施。</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1.1.3.8 承包人设备：指承包人自带的施工设备。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1.1.3.9 施工场地（或称工地、现场）：指用于合同工程施工的场所，以及在合同中指定作为施工场地组成部分的其他场所，包括永久占地和临时占地。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1.1.3.10 永久占地：指专用合同条款中指明为实施合同工程需永久占用的土地。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1.1.3.11 临时占地：指专用合同条款中指明为实施合同工程需临时占用的土地。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 日期</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1.1.4.1 开工通知：指监理人按第11.1 款通知承包人开工的函件。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1.1.4.2 开工日期：指监理人按第11.1 款发出的开工通知中写明的开工日期。</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1.1.4.3 工期：指承包人在投标函中承诺的完成合同工程所需的期限，包括按第11.3款、第11.4 款和第11.6 款约定所作的变更。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1.1.4.4 竣工日期：指第1.1.4.3 目约定工期届满时的日期。实际竣工日期以工程接收证书中写明的日期为准。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1.1.4.5 缺陷责任期：指履行第19.2 款约定的缺陷责任的期限，具体期限由专用合同条款约定，包括根据第19.3 款约定所作的延长。</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1.1.4.6 基准日期：指投标截止时间前28 天的日期。</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1.1.4.7 天：除特别指明外，指日历天。合同中按天计算时间的，开始当天不计入，从次日开始计算。期限最后一天的截止时间为当天24:00。</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 合同价格和费用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1.1.5.1 签约合同价：指签订合同时合同协议书中写明的，包括了暂列金额、暂估价的合同总金额。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1.1.5.2 合同价格：指承包人按合同约定完成了包括缺陷责任期内的全部承包工作后，发包人应付给承包人的金额，包括在履行合同过程中按合同约定进行的变更和调整。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1.1.5.3 费用：指为履行合同所发生的或将要发生的所有合理开支，包括管理费和应分摊的其他费用，但不包括利润。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1.1.5.4 暂列金额：指已标价工程量清单中所列的暂列金额，用于在签订协议书时尚未确定或不可预见变更的施工及其所需材料、工程设备、服务等的金额，包括以计日工方式支付的金额。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1.1.5.5 暂估价：指发包人在工程量清单中给定的用于支付必然发生但暂时不能确定价格的材料、设备以及专业工程的金额。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1.1.5.6 计日工：指对零星工作采取的一种计价方式，按合同中的计日工子目及其单价计价付款。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1.1.5.7 质量保证金（或称保留金）：指按第17.4.1 项约定用于保证在缺陷责任期内履行缺陷修复义务的金额。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1.1.6 其他</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1.1.6.1 书面形式：指合同文件、信函、电报、传真等可以有形地表现所载内容的形式。</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1.2 语言文字</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除专用术语外，合同使用的语言文字为中文。必要时专用术语应附有中文注释。</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1.3 法律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适用于合同的法律包括中华人民共和国法律、行政法规、部门规章，以及工程所在地的地方法规、自治条例、单行条例和地方政府规章。</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1.4 合同文件的优先顺序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组成合同的各项文件应互相解释，互为说明。除专用合同条款另有约定外，解释合同文件的优先顺序如下：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（1）合同协议书；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（2）中标通知书；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（3）投标函及投标函附录；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（4）专用合同条款；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（5）通用合同条款；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（6）技术标准和要求；</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（7）图纸；</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（8）已标价工程量清单；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（9）其他合同文件。</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1.5 合同协议书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承包人按中标通知书规定的时间与发包人签订合同协议书。除法律另有规定或合同另有约定外，发包人和承包人的法定代表人或其委托代理人在合同协议书上签字并盖单位章后，合同生效。</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1.6 图纸和承包人文件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 图纸的提供</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除专用合同条款另有约定外，图纸应在合理的期限内按照合同约定的数量提供给承包人。由于发包人未按时提供图纸造成工期延误的，按第11.3 款的约定办理。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1.6.2 承包人提供的文件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按专用合同条款约定由承包人提供的文件，包括部分工程的大样图、加工图等，承包人应按约定的数量和期限报送监理人。监理人应在专用合同条款约定的期限内批复。</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1.6.3 图纸的修改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图纸需要修改和补充的，应由监理人取得发包人同意后，在该工程或工程相应部位施工前的合理期限内签发图纸修改图给承包人，具体签发期限在专用合同条款中约定。承包人应按修改后的图纸施工。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1.6.4 图纸的错误</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承包人发现发包人提供的图纸存在明显错误或疏忽，应及时通知监理人。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1.6.5 图纸和承包人文件的保管</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监理人和承包人均应在施工场地各保存一套完整的包含第1.6.1 项、第1.6.2 项、第1.6.3项约定内容的图纸和承包人文件。</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1.7 联络</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 与合同有关的通知、批准、证明、证书、指示、要求、请求、同意、意见、确定和决定等，均应采用书面形式。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 第1.7.1 项中的通知、批准、证明、证书、指示、要求、请求、同意、意见、确定和决定等来往函件，均应在合同约定的期限内送达指定地点和接收人，并办理签收手续。</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1.8 转让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除合同另有约定外，未经对方当事人同意，一方当事人不得将合同权利全部或部分转让给第三人，也不得全部或部分转移合同义务。</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1.9 严禁贿赂</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合同双方当事人不得以贿赂或变相贿赂的方式，谋取不当利益或损害对方权益。因贿赂造成对方损失的，行为人应赔偿损失，并承担相应的法律责任。</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1.10 化石、文物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1.10.2 承包人发现文物后不及时报告或隐瞒不报，致使文物丢失或损坏的，应赔偿损失，并承担相应的法律责任。</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1.11 专利技术</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1.11.1 承包人在使用任何材料、承包人设备、工程设备或采用施工工艺时，因侵犯专利权或其他知识产权所引起的责任，由承包人承担，但由于遵照发包人提供的设计或技术标准和要求引起的除外。</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1.11.2 承包人在投标文件中采用专利技术的，专利技术的使用费包含在投标报价内。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1.11.3 承包人的技术秘密和声明需要保密的资料和信息，发包人和监理人不得为合同以外的目的泄露给他人。</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1.12 图纸和文件的保密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1.12.1 发包人提供的图纸和文件，未经发包人同意，承包人不得为合同以外的目的泄露给他人或公开发表与引用。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1.12.2 承包人提供的文件，未经承包人同意，发包人和监理人不得为合同以外的目的泄露给他人或公开发表与引用。</w:t>
      </w:r>
    </w:p>
    <w:p>
      <w:pPr>
        <w:pStyle w:val="6"/>
        <w:rPr>
          <w:rFonts w:hint="eastAsia" w:ascii="宋体" w:hAnsi="宋体" w:eastAsia="宋体" w:cs="宋体"/>
          <w:color w:val="auto"/>
          <w:sz w:val="24"/>
          <w:szCs w:val="24"/>
          <w:lang w:eastAsia="zh-CN"/>
        </w:rPr>
      </w:pPr>
      <w:bookmarkStart w:id="40" w:name="_Toc8914"/>
      <w:bookmarkStart w:id="41" w:name="_Toc437355451"/>
      <w:r>
        <w:rPr>
          <w:rFonts w:hint="eastAsia" w:ascii="宋体" w:hAnsi="宋体" w:eastAsia="宋体" w:cs="宋体"/>
          <w:color w:val="auto"/>
          <w:sz w:val="24"/>
          <w:szCs w:val="24"/>
          <w:lang w:eastAsia="zh-CN"/>
        </w:rPr>
        <w:t>2. 发包人义务</w:t>
      </w:r>
      <w:bookmarkEnd w:id="40"/>
      <w:bookmarkEnd w:id="41"/>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2.1 遵守法律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发包人在履行合同过程中应遵守法律，并保证承包人免于承担因发包人违反法律而引起的任何责任。</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2.2 发出开工通知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发包人应委托监理人按第11.1 款的约定向承包人发出开工通知。</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2.3 提供施工场地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发包人应按专用合同条款约定向承包人提供施工场地，以及施工场地内地下管线和地下设施等有关资料，并保证资料的真实、准确、完整。</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2.4 协助承包人办理证件和批件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发包人应协助承包人办理法律规定的有关施工证件和批件。</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2.5 组织设计交底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发包人应根据合同进度计划，组织设计单位向承包人进行设计交底。</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2.6 支付合同价款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发包人应按合同约定向承包人及时支付合同价款。</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2.7 组织竣工验收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发包人应按合同约定及时组织竣工验收。</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2.8 其他义务</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发包人应履行合同约定的其他义务。</w:t>
      </w:r>
    </w:p>
    <w:p>
      <w:pPr>
        <w:pStyle w:val="6"/>
        <w:rPr>
          <w:rFonts w:hint="eastAsia" w:ascii="宋体" w:hAnsi="宋体" w:eastAsia="宋体" w:cs="宋体"/>
          <w:color w:val="auto"/>
          <w:sz w:val="24"/>
          <w:szCs w:val="24"/>
          <w:lang w:eastAsia="zh-CN"/>
        </w:rPr>
      </w:pPr>
      <w:bookmarkStart w:id="42" w:name="_Toc437355452"/>
      <w:bookmarkStart w:id="43" w:name="_Toc6576"/>
      <w:r>
        <w:rPr>
          <w:rFonts w:hint="eastAsia" w:ascii="宋体" w:hAnsi="宋体" w:eastAsia="宋体" w:cs="宋体"/>
          <w:color w:val="auto"/>
          <w:sz w:val="24"/>
          <w:szCs w:val="24"/>
          <w:lang w:eastAsia="zh-CN"/>
        </w:rPr>
        <w:t>3. 监理人</w:t>
      </w:r>
      <w:bookmarkEnd w:id="42"/>
      <w:bookmarkEnd w:id="43"/>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3.1 监理人的职责和权力</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3.1.1 监理人受发包人委托，享有合同约定的权力。监理人在行使某项权力前需要经发包人事先批准而通用合同条款没有指明的，应在专用合同条款中指明。</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3.1.2 监理人发出的任何指示应视为已得到发包人的批准，但监理人无权免除或变更合同约定的发包人和承包人的权利、义务和责任。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3.1.3 合同约定应由承包人承担的义务和责任，不因监理人对承包人提交文件的审查或批准，对工程、材料和设备的检查和检验，以及为实施监理作出的指示等职务行为而减轻或解除。</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3.2 总监理工程师</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发包人应在发出开工通知前将总监理工程师的任命通知承包人。总监理工程师更换时，应在调离14 天前通知承包人。总监理工程师短期离开施工场地的，应委派代表代行其职责，并通知承包人。</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3.3 监理人员</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3.3.2 监理人员对承包人的任何工作、工程或其采用的材料和工程设备未在约定的或合理的期限内提出否定意见的，视为已获批准，但不影响监理人在以后拒绝该项工作、工程、材料或工程设备的权利。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3.3.3 承包人对总监理工程师授权的监理人员发出的指示有疑问的，可向总监理工程师提出书面异议，总监理工程师应在48 小时内对该指示予以确认、更改或撤销。</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3.3.4 除专用合同条款另有约定外，总监理工程师不应将第3.5 款约定应由总监理工程师作出确定的权力授权或委托给其他监理人员。</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3.4 监理人的指示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3.4.1 监理人应按第3.1 款的约定向承包人发出指示，监理人的指示应盖有监理人授权的施工场地机构章，并由总监理工程师或总监理工程师按第3.3.1 项约定授权的监理人员签字。</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3.4.2 承包人收到监理人按第3.4.1 项作出的指示后应遵照执行。指示构成变更的，应按第15 条处理。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3.4.3 在紧急情况下，总监理工程师或被授权的监理人员可以当场签发临时书面指示，承包人应遵照执行。承包人应在收到上述临时书面指示后24 小时内，向监理人发出书面确认函。监理人在收到书面确认函后24 小时内未予答复的，该书面确认函应被视为监理人的正式指示。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3.4.4 除合同另有约定外，承包人只从总监理工程师或按第3.3.1 项被授权的监理人员处取得指示。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3.4.5 由于监理人未能按合同约定发出指示、指示延误或指示错误而导致承包人费用增加和（或）工期延误的，由发包人承担赔偿责任。</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3.5 商定或确定</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3.5.1 合同约定总监理工程师应按照本款对任何事项进行商定或确定时，总监理工程师应与合同当事人协商，尽量达成一致。不能达成一致的，总监理工程师应认真研究后审慎确定。</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3.5.2 总监理工程师应将商定或确定的事项通知合同当事人，并附详细依据。对总监理工程师的确定有异议的，构成争议，按照第24 条的约定处理。在争议解决前，双方应暂按总监理工程师的确定执行，按照第24 条的约定对总监理工程师的确定作出修改的，按修改后的结果执行。</w:t>
      </w:r>
    </w:p>
    <w:p>
      <w:pPr>
        <w:pStyle w:val="6"/>
        <w:rPr>
          <w:rFonts w:hint="eastAsia" w:ascii="宋体" w:hAnsi="宋体" w:eastAsia="宋体" w:cs="宋体"/>
          <w:color w:val="auto"/>
          <w:sz w:val="24"/>
          <w:szCs w:val="24"/>
          <w:lang w:eastAsia="zh-CN"/>
        </w:rPr>
      </w:pPr>
      <w:bookmarkStart w:id="44" w:name="_Toc437355453"/>
      <w:bookmarkStart w:id="45" w:name="_Toc9360"/>
      <w:r>
        <w:rPr>
          <w:rFonts w:hint="eastAsia" w:ascii="宋体" w:hAnsi="宋体" w:eastAsia="宋体" w:cs="宋体"/>
          <w:color w:val="auto"/>
          <w:sz w:val="24"/>
          <w:szCs w:val="24"/>
          <w:lang w:eastAsia="zh-CN"/>
        </w:rPr>
        <w:t>4. 承包人</w:t>
      </w:r>
      <w:bookmarkEnd w:id="44"/>
      <w:bookmarkEnd w:id="45"/>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4.1 承包人的一般义务</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4.1.1 遵守法律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承包人在履行合同过程中应遵守法律，并保证发包人免于承担因承包人违反法律而引起的任何责任。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4.1.2 依法纳税</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承包人应按有关法律规定纳税，应缴纳的税金包括在合同价格内。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4.1.3 完成各项承包工作</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承包人应按合同约定以及监理人根据第3.4 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4.1.4 对施工作业和施工方法的完备性负责</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承包人应按合同约定的工作内容和施工进度要求，编制施工组织设计和施工措施计划，并对所有施工作业和施工方法的完备性和安全可靠性负责。</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4.1.5 保证工程施工和人员的安全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承包人应按第9.2 款约定采取施工安全措施，确保工程及其人员、材料、设备和设施的安全，防止因工程施工造成的人身伤害和财产损失。</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4.1.6 负责施工场地及其周边环境与生态的保护工作</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承包人应按照第9.4 款约定负责施工场地及其周边环境与生态的保护工作。</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4.1.7 避免施工对公众与他人的利益造成损害</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4.1.8 为他人提供方便</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承包人应按监理人的指示为他人在施工场地或附近实施与工程有关的其他各项工作提供可能的条件。除合同另有约定外，提供有关条件的内容和可能发生的费用，由监理人按第3.5 款商定或确定。</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4.1.9 工程的维护和照管</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工程接收证书颁发前，承包人应负责照管和维护工程。工程接收证书颁发时尚有部分未竣工工程的，承包人还应负责该未竣工工程的照管和维护工作，直至竣工后移交给发包人为止。</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4.1.10 其他义务</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承包人应履行合同约定的其他义务。</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4.2 履约担保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承包人应保证其履约担保在发包人颁发工程接收证书前一直有效。发包人应在工程接收证书颁发后28 天内把履约担保退还给承包人。</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4.3 分包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4.3.1 承包人不得将其承包的全部工程转包给第三人，或将其承包的全部工程肢解后以分包的名义转包给第三人。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4.3.2 承包人不得将工程主体、关键性工作分包给第三人。除专用合同条款另有约定外，未经发包人同意，承包人不得将工程的其他部分或工作分包给第三人。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4.3.3 分包人的资格能力应与其分包工程的标准和规模相适应。</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4.3.4 按投标函附录约定分包工程的，承包人应向发包人和监理人提交分包合同副本。</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4.3.5 承包人应与分包人就分包工程向发包人承担连带责任。</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4.4 联合体</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4.4.1 联合体各方应共同与发包人签订合同协议书。联合体各方应为履行合同承担连带责任。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4.4.2 联合体协议经发包人确认后作为合同附件。在履行合同过程中，未经发包人同意，不得修改联合体协议。</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4.4.3 联合体牵头人负责与发包人和监理人联系，并接受指示，负责组织联合体各成员全面履行合同。</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4.5 承包人项目经理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4.5.1 承包人应按合同约定指派项目经理，并在约定的期限内到职。承包人更换项目经理应事先征得发包人同意，并应在更换14 天前通知发包人和监理人。承包人项目经理短期离开施工场地，应事先征得监理人同意，并委派代表代行其职责。</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4.5.2 承包人项目经理应按合同约定以及监理人按第3.4 款作出的指示，负责组织合同工程的实施。在情况紧急且无法与监理人取得联系时，可采取保证工程和人员生命财产安全的紧急措施，并在采取措施后24 小时内向监理人提交书面报告。</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4.5.3 承包人为履行合同发出的一切函件均应盖有承包人授权的施工场地管理机构章，并由承包人项目经理或其授权代表签字。</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4.5.4 承包人项目经理可以授权其下属人员履行其某项职责，但事先应将这些人员的姓名和授权范围通知监理人。</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4.6 承包人人员的管理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4.6.1 承包人应在接到开工通知后28 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4.6.2 为完成合同约定的各项工作，承包人应向施工场地派遣或雇佣足够数量的下列人员：</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（1）具有相应资格的专业技工和合格的普工；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（2）具有相应施工经验的技术人员；</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（3）具有相应岗位资格的各级管理人员。</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4.6.3 承包人安排在施工场地的主要管理人员和技术骨干应相对稳定。承包人更换主要管理人员和技术骨干时，应取得监理人的同意。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4.6.4 特殊岗位的工作人员均应持有相应的资格证明，监理人有权随时检查。监理人认为有必要时，可进行现场考核。</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4.7 撤换承包人项目经理和其他人员</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承包人应对其项目经理和其他人员进行有效管理。监理人要求撤换不能胜任本职工作、行为不端或玩忽职守的承包人项目经理和其他人员的，承包人应予以撤换。</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4.8 保障承包人人员的合法权益</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4.8.1 承包人应与其雇佣的人员签订劳动合同，并按时发放工资。</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4.8.2 承包人应按劳动法的规定安排工作时间，保证其雇佣人员享有休息和休假的权利。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因工程施工的特殊需要占用休假日或延长工作时间的，应不超过法律规定的限度，并按法律规定给予补休或付酬。</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4.8.3 承包人应为其雇佣人员提供必要的食宿条件，以及符合环境保护和卫生要求的生活环境，在远离城镇的施工场地，还应配备必要的伤病防治和急救的医务人员与医疗设施。</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4.8.5 承包人应按有关法律规定和合同约定，为其雇佣人员办理保险。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4.8.6 承包人应负责处理其雇佣人员因工伤亡事故的善后事宜。</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4.9 工程价款应专款专用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发包人按合同约定支付给承包人的各项价款应专用于合同工程。</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4.10 承包人现场查勘</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4.10.1 发包人应将其持有的现场地质勘探资料、水文气象资料提供给承包人，并对其准确性负责。但承包人应对其阅读上述有关资料后所作出的解释和推断负责。</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4.11 不利物质条件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4.11.1 不利物质条件，除专用合同条款另有约定外，是指承包人在施工场地遇到的不可预见的自然物质条件、非自然的物质障碍和污染物，包括地下和水文条件，但不包括气候条件。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4.11.2 承包人遇到不利物质条件时，应采取适应不利物质条件的合理措施继续施工，并及时通知监理人。监理人应当及时发出指示，指示构成变更的，按第15 条约定办理。监理人没有发出指示的，承包人因采取合理措施而增加的费用和（或）工期延误，由发包人承担。</w:t>
      </w:r>
    </w:p>
    <w:p>
      <w:pPr>
        <w:pStyle w:val="6"/>
        <w:rPr>
          <w:rFonts w:hint="eastAsia" w:ascii="宋体" w:hAnsi="宋体" w:eastAsia="宋体" w:cs="宋体"/>
          <w:color w:val="auto"/>
          <w:sz w:val="24"/>
          <w:szCs w:val="24"/>
          <w:lang w:eastAsia="zh-CN"/>
        </w:rPr>
      </w:pPr>
      <w:bookmarkStart w:id="46" w:name="_Toc437355454"/>
      <w:bookmarkStart w:id="47" w:name="_Toc31607"/>
      <w:r>
        <w:rPr>
          <w:rFonts w:hint="eastAsia" w:ascii="宋体" w:hAnsi="宋体" w:eastAsia="宋体" w:cs="宋体"/>
          <w:color w:val="auto"/>
          <w:sz w:val="24"/>
          <w:szCs w:val="24"/>
          <w:lang w:eastAsia="zh-CN"/>
        </w:rPr>
        <w:t>5. 材料和工程设备</w:t>
      </w:r>
      <w:bookmarkEnd w:id="46"/>
      <w:bookmarkEnd w:id="47"/>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5.1 承包人提供的材料和工程设备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5.1.1 除专用合同条款另有约定外，承包人提供的材料和工程设备均由承包人负责采购、运输和保管。承包人应对其采购的材料和工程设备负责。</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5.2 发包人提供的材料和工程设备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5.2.1 发包人提供的材料和工程设备，应在专用合同条款中写明材料和工程设备的名称、规格、数量、价格、交货方式、交货地点和计划交货日期等。</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5.2.2 承包人应根据合同进度计划的安排，向监理人报送要求发包人交货的日期计划。</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发包人应按照监理人与合同双方当事人商定的交货日期，向承包人提交材料和工程设备。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5.2.3 发包人应在材料和工程设备到货7 天前通知承包人，承包人应会同监理人在约定的时间内，赴交货地点共同进行验收。除专用合同条款另有约定外，发包人提供的材料和工程设备验收后，由承包人负责接收、运输和保管。</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5.2.4 发包人要求向承包人提前交货的，承包人不得拒绝，但发包人应承担承包人由此增加的费用。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5.2.5 承包人要求更改交货日期或地点的，应事先报请监理人批准。由于承包人要求更改交货时间或地点所增加的费用和（或）工期延误由承包人承担。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5.3 材料和工程设备专用于合同工程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5.3.1 运入施工场地的材料、工程设备，包括备品备件、安装专用工器具与随机资料，必须专用于合同工程，未经监理人同意，承包人不得运出施工场地或挪作他用。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5.4 禁止使用不合格的材料和工程设备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5.4.1 监理人有权拒绝承包人提供的不合格材料或工程设备，并要求承包人立即进行更换。监理人应在更换后再次进行检查和检验，由此增加的费用和（或）工期延误由承包人承担。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5.4.2 监理人发现承包人使用了不合格的材料和工程设备，应即时发出指示要求承包人立即改正，并禁止在工程中继续使用不合格的材料和工程设备。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5.4.3 发包人提供的材料或工程设备不符合合同要求的，承包人有权拒绝，并可要求发包人更换，由此增加的费用和（或）工期延误由发包人承担。</w:t>
      </w:r>
    </w:p>
    <w:p>
      <w:pPr>
        <w:pStyle w:val="6"/>
        <w:rPr>
          <w:rFonts w:hint="eastAsia" w:ascii="宋体" w:hAnsi="宋体" w:eastAsia="宋体" w:cs="宋体"/>
          <w:color w:val="auto"/>
          <w:sz w:val="24"/>
          <w:szCs w:val="24"/>
          <w:lang w:eastAsia="zh-CN"/>
        </w:rPr>
      </w:pPr>
      <w:bookmarkStart w:id="48" w:name="_Toc437355455"/>
      <w:bookmarkStart w:id="49" w:name="_Toc32353"/>
      <w:r>
        <w:rPr>
          <w:rFonts w:hint="eastAsia" w:ascii="宋体" w:hAnsi="宋体" w:eastAsia="宋体" w:cs="宋体"/>
          <w:color w:val="auto"/>
          <w:sz w:val="24"/>
          <w:szCs w:val="24"/>
          <w:lang w:eastAsia="zh-CN"/>
        </w:rPr>
        <w:t>6. 施工设备和临时设施</w:t>
      </w:r>
      <w:bookmarkEnd w:id="48"/>
      <w:bookmarkEnd w:id="49"/>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6.1 承包人提供的施工设备和临时设施</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6.1.1 承包人应按合同进度计划的要求，及时配置施工设备和修建临时设施。进入施工场地的承包人设备需经监理人核查后才能投入使用。承包人更换合同约定的承包人设备的，应报监理人批准。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6.1.2 除专用合同条款另有约定外，承包人应自行承担修建临时设施的费用，需要临时占地的，应由发包人办理申请手续并承担相应费用。</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6.2 发包人提供的施工设备和临时设施</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发包人提供的施工设备或临时设施在专用合同条款中约定。</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6.3 要求承包人增加或更换施工设备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承包人使用的施工设备不能满足合同进度计划和（或）质量要求时，监理人有权要求承包人增加或更换施工设备，承包人应及时增加或更换，由此增加的费用和（或）工期延误由承包人承担。</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6.4 施工设备和临时设施专用于合同工程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6.4.1 除合同另有约定外，运入施工场地的所有施工设备以及在施工场地建设的临时设施应专用于合同工程。未经监理人同意，不得将上述施工设备和临时设施中的任何部分运出施工场地或挪作他用。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6.4.2 经监理人同意，承包人可根据合同进度计划撤走闲置的施工设备。</w:t>
      </w:r>
    </w:p>
    <w:p>
      <w:pPr>
        <w:pStyle w:val="6"/>
        <w:rPr>
          <w:rFonts w:hint="eastAsia" w:ascii="宋体" w:hAnsi="宋体" w:eastAsia="宋体" w:cs="宋体"/>
          <w:color w:val="auto"/>
          <w:sz w:val="24"/>
          <w:szCs w:val="24"/>
          <w:lang w:eastAsia="zh-CN"/>
        </w:rPr>
      </w:pPr>
      <w:bookmarkStart w:id="50" w:name="_Toc21558"/>
      <w:bookmarkStart w:id="51" w:name="_Toc437355456"/>
      <w:r>
        <w:rPr>
          <w:rFonts w:hint="eastAsia" w:ascii="宋体" w:hAnsi="宋体" w:eastAsia="宋体" w:cs="宋体"/>
          <w:color w:val="auto"/>
          <w:sz w:val="24"/>
          <w:szCs w:val="24"/>
          <w:lang w:eastAsia="zh-CN"/>
        </w:rPr>
        <w:t>7. 交通运输</w:t>
      </w:r>
      <w:bookmarkEnd w:id="50"/>
      <w:bookmarkEnd w:id="51"/>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7.1 道路通行权和场外设施</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7.2 场内施工道路</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7.2.1 除专用合同条款另有约定外，承包人应负责修建、维修、养护和管理施工所需的临时道路和交通设施，包括维修、养护和管理发包人提供的道路和交通设施，并承担相应费用。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7.2.2 除专用合同条款另有约定外，承包人修建的临时道路和交通设施应免费提供发包人和监理人使用。</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7.3 场外交通</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7.3.1 承包人车辆外出行驶所需的场外公共道路的通行费、养路费和税款等由承包人承担。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7.3.2 承包人应遵守有关交通法规，严格按照道路和桥梁的限制荷重安全行驶，并服从交通管理部门的检查和监督。</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7.4 超大件和超重件的运输</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7.5 道路和桥梁的损坏责任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因承包人运输造成施工场地内外公共道路和桥梁损坏的，由承包人承担修复损坏的全部费用和可能引起的赔偿。</w:t>
      </w:r>
    </w:p>
    <w:p>
      <w:pPr>
        <w:pStyle w:val="8"/>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7.6 水路和航空运输</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本条上述各款的内容适用于水路运输和航空运输，其中“道路”一词的涵义包括河道、航线、船闸、机场、码头、堤防以及水路或航空运输中其他相似结构物；“车辆”一词的涵义包括船舶和飞机等。</w:t>
      </w:r>
    </w:p>
    <w:p>
      <w:pPr>
        <w:pStyle w:val="6"/>
        <w:rPr>
          <w:rFonts w:hint="eastAsia" w:ascii="宋体" w:hAnsi="宋体" w:eastAsia="宋体" w:cs="宋体"/>
          <w:color w:val="auto"/>
          <w:sz w:val="24"/>
          <w:szCs w:val="24"/>
          <w:lang w:eastAsia="zh-CN"/>
        </w:rPr>
      </w:pPr>
      <w:bookmarkStart w:id="52" w:name="_Toc437355457"/>
      <w:bookmarkStart w:id="53" w:name="_Toc5802"/>
      <w:r>
        <w:rPr>
          <w:rFonts w:hint="eastAsia" w:ascii="宋体" w:hAnsi="宋体" w:eastAsia="宋体" w:cs="宋体"/>
          <w:color w:val="auto"/>
          <w:sz w:val="24"/>
          <w:szCs w:val="24"/>
          <w:lang w:eastAsia="zh-CN"/>
        </w:rPr>
        <w:t>8. 测量放线</w:t>
      </w:r>
      <w:bookmarkEnd w:id="52"/>
      <w:bookmarkEnd w:id="53"/>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8.1 施工控制网</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8.1.1 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8.1.2 承包人应负责管理施工控制网点。施工控制网点丢失或损坏的，承包人应及时修复。承包人应承担施工控制网点的管理与修复费用，并在工程竣工后将施工控制网点移交发包人。</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8.2 施工测量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8.2.1 承包人应负责施工过程中的全部施工测量放线工作，并配置合格的人员、仪器、设备和其他物品。</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8.2.2 监理人可以指示承包人进行抽样复测，当复测中发现错误或出现超过合同约定的误差时，承包人应按监理人指示进行修正或补测，并承担相应的复测费用。</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8.3 基准资料错误的责任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8.4 监理人使用施工控制网</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监理人需要使用施工控制网的，承包人应提供必要的协助，发包人不再为此支付费用。</w:t>
      </w:r>
    </w:p>
    <w:p>
      <w:pPr>
        <w:pStyle w:val="6"/>
        <w:rPr>
          <w:rFonts w:hint="eastAsia" w:ascii="宋体" w:hAnsi="宋体" w:eastAsia="宋体" w:cs="宋体"/>
          <w:color w:val="auto"/>
          <w:sz w:val="24"/>
          <w:szCs w:val="24"/>
          <w:lang w:eastAsia="zh-CN"/>
        </w:rPr>
      </w:pPr>
      <w:bookmarkStart w:id="54" w:name="_Toc437355458"/>
      <w:bookmarkStart w:id="55" w:name="_Toc9315"/>
      <w:r>
        <w:rPr>
          <w:rFonts w:hint="eastAsia" w:ascii="宋体" w:hAnsi="宋体" w:eastAsia="宋体" w:cs="宋体"/>
          <w:color w:val="auto"/>
          <w:sz w:val="24"/>
          <w:szCs w:val="24"/>
          <w:lang w:eastAsia="zh-CN"/>
        </w:rPr>
        <w:t>9. 施工安全、治安保卫和环境保护</w:t>
      </w:r>
      <w:bookmarkEnd w:id="54"/>
      <w:bookmarkEnd w:id="55"/>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9.1 发包人的施工安全责任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9.1.1 发包人应按合同约定履行安全职责，授权监理人按合同约定的安全工作内容监督、检查承包人安全工作的实施，组织承包人和有关单位进行安全检查。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9.1.2 发包人应对其现场机构雇佣的全部人员的工伤事故承担责任，但由于承包人原因造成发包人人员工伤的，应由承包人承担责任。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9.1.3 发包人应负责赔偿以下各种情况造成的第三者人身伤亡和财产损失：</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 工程或工程的任何部分对土地的占用所造成的第三者财产损失；</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 由于发包人原因在施工场地及其毗邻地带造成的第三者人身伤亡和财产损失。</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 承包人的施工安全责任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9.2.1 承包人应按合同约定履行安全职责,执行监理人有关安全工作的指示,并在专用合同条款约定的期限内，按合同约定的安全工作内容，编制施工安全措施计划报送监理人审批。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9.2.2 承包人应加强施工作业安全管理，特别应加强易燃、易爆材料、火工器材、有毒与腐蚀性材料和其他危险品的管理，以及对爆破作业和地下工程施工等危险作业的管理。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9.2.3 承包人应严格按照国家安全标准制定施工安全操作规程，配备必要的安全生产和劳动保护设施，加强对承包人人员的安全教育，并发放安全工作手册和劳动保护用具。</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9.2.4 承包人应按监理人的指示制定应对灾害的紧急预案，报送监理人审批。承包人还应按预案做好安全检查，配置必要的救助物资和器材，切实保护好有关人员的人身和财产安全。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9.2.5 合同约定的安全作业环境及安全施工措施所需费用应遵守有关规定，并包括在相关工作的合同价格中。因采取合同未约定的安全作业环境及安全施工措施增加的费用，由监理人按第3.5 款商定或确定。</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9.2.6 承包人应对其履行合同所雇佣的全部人员，包括分包人人员的工伤事故承担责任，但由于发包人原因造成承包人人员工伤事故的，应由发包人承担责任。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9.2.7 由于承包人原因在施工场地内及其毗邻地带造成的第三者人员伤亡和财产损失，由承包人负责赔偿。</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9.3 治安保卫</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9.3.1 除合同另有约定外，发包人应与当地公安部门协商，在现场建立治安管理机构或联防组织，统一管理施工场地的治安保卫事项，履行合同工程的治安保卫职责。</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9.3.2 发包人和承包人除应协助现场治安管理机构或联防组织维护施工场地的社会治安外，还应做好包括生活区在内的各自管辖区的治安保卫工作。</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发包人和承包人应积极协助当地有关部门采取措施平息事态，防止事态扩大，尽量减少财产损失和避免人员伤亡。</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 环境保护</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9.4.1 承包人在施工过程中，应遵守有关环境保护的法律，履行合同约定的环境保护义务，并对违反法律和合同约定义务所造成的环境破坏、人身伤害和财产损失负责。</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9.4.2 承包人应按合同约定的环保工作内容，编制施工环保措施计划，报送监理人审批。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9.4.4 承包人应按合同约定采取有效措施，对施工开挖的边坡及时进行支护,维护排水设施，并进行水土保护，避免因施工造成的地质灾害。</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9.4.5 承包人应按国家饮用水管理标准定期对饮用水源进行监测，防止施工活动污染饮用水源。</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9.4.6 承包人应按合同约定，加强对噪声、粉尘、废气、废水和废油的控制，努力降低噪声，控制粉尘和废气浓度，做好废水和废油的治理和排放。</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9.5 事故处理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pStyle w:val="6"/>
        <w:rPr>
          <w:rFonts w:hint="eastAsia" w:ascii="宋体" w:hAnsi="宋体" w:eastAsia="宋体" w:cs="宋体"/>
          <w:color w:val="auto"/>
          <w:sz w:val="24"/>
          <w:szCs w:val="24"/>
          <w:lang w:eastAsia="zh-CN"/>
        </w:rPr>
      </w:pPr>
      <w:bookmarkStart w:id="56" w:name="_Toc437355459"/>
      <w:bookmarkStart w:id="57" w:name="_Toc22824"/>
      <w:r>
        <w:rPr>
          <w:rFonts w:hint="eastAsia" w:ascii="宋体" w:hAnsi="宋体" w:eastAsia="宋体" w:cs="宋体"/>
          <w:color w:val="auto"/>
          <w:sz w:val="24"/>
          <w:szCs w:val="24"/>
          <w:lang w:eastAsia="zh-CN"/>
        </w:rPr>
        <w:t>10. 进度计划</w:t>
      </w:r>
      <w:bookmarkEnd w:id="56"/>
      <w:bookmarkEnd w:id="57"/>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10.1 合同进度计划</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10.2 合同进度计划的修订</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不论何种原因造成工程的实际进度与第10.1 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p>
    <w:p>
      <w:pPr>
        <w:pStyle w:val="6"/>
        <w:rPr>
          <w:rFonts w:hint="eastAsia" w:ascii="宋体" w:hAnsi="宋体" w:eastAsia="宋体" w:cs="宋体"/>
          <w:color w:val="auto"/>
          <w:sz w:val="24"/>
          <w:szCs w:val="24"/>
          <w:lang w:eastAsia="zh-CN"/>
        </w:rPr>
      </w:pPr>
      <w:bookmarkStart w:id="58" w:name="_Toc437355460"/>
      <w:bookmarkStart w:id="59" w:name="_Toc18810"/>
      <w:r>
        <w:rPr>
          <w:rFonts w:hint="eastAsia" w:ascii="宋体" w:hAnsi="宋体" w:eastAsia="宋体" w:cs="宋体"/>
          <w:color w:val="auto"/>
          <w:sz w:val="24"/>
          <w:szCs w:val="24"/>
          <w:lang w:eastAsia="zh-CN"/>
        </w:rPr>
        <w:t>11. 开工和竣工</w:t>
      </w:r>
      <w:bookmarkEnd w:id="58"/>
      <w:bookmarkEnd w:id="59"/>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 开工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11.1.1 监理人应在开工日期7 天前向承包人发出开工通知。监理人在发出开工通知前应获得发包人同意。工期自监理人发出的开工通知中载明的开工日期起计算。承包人应在开工日期后尽快施工。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11.1.2 承包人应按第10.1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 竣工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承包人应在第1.1.4.3 目约定的期限内完成合同工程。实际竣工日期在接收证书中写明。</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 发包人的工期延误</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在履行合同过程中，由于发包人的下列原因造成工期延误的，承包人有权要求发包人延长工期和（或）增加费用，并支付合理利润。需要修订合同进度计划的，按照第10.2 款的约定办理。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（1）增加合同工作内容；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（2）改变合同中任何一项工作的质量要求或其他特性；</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（3）发包人迟延提供材料、工程设备或变更交货地点的；</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（4）因发包人原因导致的暂停施工；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（5）提供图纸延误；</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（6）未按合同约定及时支付预付款、进度款；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（7）发包人造成工期延误的其他原因。</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 异常恶劣的气候条件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由于出现专用合同条款规定的异常恶劣气候的条件导致工期延误的，承包人有权要求发包人延长工期。</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 承包人的工期延误</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11.6 工期提前</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w:t>
      </w:r>
    </w:p>
    <w:p>
      <w:pPr>
        <w:pStyle w:val="6"/>
        <w:rPr>
          <w:rFonts w:hint="eastAsia" w:ascii="宋体" w:hAnsi="宋体" w:eastAsia="宋体" w:cs="宋体"/>
          <w:color w:val="auto"/>
          <w:sz w:val="24"/>
          <w:szCs w:val="24"/>
          <w:lang w:eastAsia="zh-CN"/>
        </w:rPr>
      </w:pPr>
      <w:bookmarkStart w:id="60" w:name="_Toc437355461"/>
      <w:bookmarkStart w:id="61" w:name="_Toc4944"/>
      <w:r>
        <w:rPr>
          <w:rFonts w:hint="eastAsia" w:ascii="宋体" w:hAnsi="宋体" w:eastAsia="宋体" w:cs="宋体"/>
          <w:color w:val="auto"/>
          <w:sz w:val="24"/>
          <w:szCs w:val="24"/>
          <w:lang w:eastAsia="zh-CN"/>
        </w:rPr>
        <w:t>12. 暂停施工</w:t>
      </w:r>
      <w:bookmarkEnd w:id="60"/>
      <w:bookmarkEnd w:id="61"/>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12.1 承包人暂停施工的责任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因下列暂停施工增加的费用和（或）工期延误由承包人承担：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（1）承包人违约引起的暂停施工；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（2）由于承包人原因为工程合理施工和安全保障所必需的暂停施工；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（3）承包人擅自暂停施工；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（4）承包人其他原因引起的暂停施工；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（5）专用合同条款约定由承包人承担的其他暂停施工。</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12.2 发包人暂停施工的责任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由于发包人原因引起的暂停施工造成工期延误的，承包人有权要求发包人延长工期和（或）增加费用，并支付合理利润。</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12.3 监理人暂停施工指示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12.3.1 监理人认为有必要时，可向承包人作出暂停施工的指示，承包人应按监理人指示暂停施工。不论由于何种原因引起的暂停施工，暂停施工期间承包人应负责妥善保护工程并提供安全保障。</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12.3.2 由于发包人的原因发生暂停施工的紧急情况，且监理人未及时下达暂停施工指示的，承包人可先暂停施工，并及时向监理人提出暂停施工的书面请求。监理人应在接到书面请求后的24 小时内予以答复，逾期未答复的，视为同意承包人的暂停施工请求。</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12.4 暂停施工后的复工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12.4.2 承包人无故拖延和拒绝复工的，由此增加的费用和工期延误由承包人承担；因发包人原因无法按时复工的，承包人有权要求发包人延长工期和（或）增加费用，并支付合理利润。</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12.5 暂停施工持续56 天以上</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12.5.1 监理人发出暂停施工指示后56 天内未向承包人发出复工通知，除了该项停工属于第12.1 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 款的规定办理。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12.5.2 由于承包人责任引起的暂停施工，如承包人在收到监理人暂停施工指示后56 天内不认真采取有效的复工措施，造成工期延误，可视为承包人违约，应按第22.1 款的规定办理。</w:t>
      </w:r>
    </w:p>
    <w:p>
      <w:pPr>
        <w:pStyle w:val="6"/>
        <w:rPr>
          <w:rFonts w:hint="eastAsia" w:ascii="宋体" w:hAnsi="宋体" w:eastAsia="宋体" w:cs="宋体"/>
          <w:color w:val="auto"/>
          <w:sz w:val="24"/>
          <w:szCs w:val="24"/>
          <w:lang w:eastAsia="zh-CN"/>
        </w:rPr>
      </w:pPr>
      <w:bookmarkStart w:id="62" w:name="_Toc437355462"/>
      <w:bookmarkStart w:id="63" w:name="_Toc20831"/>
      <w:r>
        <w:rPr>
          <w:rFonts w:hint="eastAsia" w:ascii="宋体" w:hAnsi="宋体" w:eastAsia="宋体" w:cs="宋体"/>
          <w:color w:val="auto"/>
          <w:sz w:val="24"/>
          <w:szCs w:val="24"/>
          <w:lang w:eastAsia="zh-CN"/>
        </w:rPr>
        <w:t>13. 工程质量</w:t>
      </w:r>
      <w:bookmarkEnd w:id="62"/>
      <w:bookmarkEnd w:id="63"/>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 工程质量要求</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13.1.1 工程质量验收按合同约定验收标准执行。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13.1.2 因承包人原因造成工程质量达不到合同约定验收标准的，监理人有权要求承包人返工直至符合合同要求为止，由此造成的费用增加和（或）工期延误由承包人承担。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13.1.3 因发包人原因造成工程质量达不到合同约定验收标准的，发包人应承担由于承包人返工造成的费用增加和（或）工期延误，并支付承包人合理利润。</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13.2 承包人的质量管理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13.2.1 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13.2.2 承包人应加强对施工人员的质量教育和技术培训，定期考核施工人员的劳动技能，严格执行规范和操作规程。</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13.3 承包人的质量检查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承包人应按合同约定对材料、工程设备以及工程的所有部位及其施工工艺进行全过程的质量检查和检验，并作详细记录，编制工程质量报表，报送监理人审查。</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13.4 监理人的质量检查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 工程隐蔽部位覆盖前的检查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13.5.1 通知监理人检查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13.5.2 监理人未到场检查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监理人未按第13.5.1 项约定的时间进行检查的，除监理人另有指示外，承包人可自行完成覆盖工作，并作相应记录报送监理人，监理人应签字确认。监理人事后对检查记录有疑问的，可按第13.5.3 项的约定重新检查。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13.5.3 监理人重新检查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承包人按第13.5.1 项或第13.5.2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13.5.4 承包人私自覆盖</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承包人未通知监理人到场检查，私自将工程隐蔽部位覆盖的，监理人有权指示承包人钻孔探测或揭开检查，由此增加的费用和（或）工期延误由承包人承担。</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13.6 清除不合格工程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13.6.2 由于发包人提供的材料或工程设备不合格造成的工程不合格，需要承包人采取措施补救的，发包人应承担由此增加的费用和（或）工期延误，并支付承包人合理利润。</w:t>
      </w:r>
    </w:p>
    <w:p>
      <w:pPr>
        <w:pStyle w:val="6"/>
        <w:rPr>
          <w:rFonts w:hint="eastAsia" w:ascii="宋体" w:hAnsi="宋体" w:eastAsia="宋体" w:cs="宋体"/>
          <w:color w:val="auto"/>
          <w:sz w:val="24"/>
          <w:szCs w:val="24"/>
          <w:lang w:eastAsia="zh-CN"/>
        </w:rPr>
      </w:pPr>
      <w:bookmarkStart w:id="64" w:name="_Toc437355463"/>
      <w:bookmarkStart w:id="65" w:name="_Toc16559"/>
      <w:r>
        <w:rPr>
          <w:rFonts w:hint="eastAsia" w:ascii="宋体" w:hAnsi="宋体" w:eastAsia="宋体" w:cs="宋体"/>
          <w:color w:val="auto"/>
          <w:sz w:val="24"/>
          <w:szCs w:val="24"/>
          <w:lang w:eastAsia="zh-CN"/>
        </w:rPr>
        <w:t>14. 试验和检验</w:t>
      </w:r>
      <w:bookmarkEnd w:id="64"/>
      <w:bookmarkEnd w:id="65"/>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 材料、工程设备和工程的试验和检验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14.1.2 监理人未按合同约定派员参加试验和检验的，除监理人另有指示外，承包人可自行试验和检验，并应立即将试验和检验结果报送监理人，监理人应签字确认。</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 现场材料试验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14.2.1 承包人根据合同约定或监理人指示进行的现场材料试验，应由承包人提供试验场</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所、试验人员、试验设备器材以及其他必要的试验条件。</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14.2.2 监理人在必要时可以使用承包人的试验场所、试验设备器材以及其他试验条件，</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进行以工程质量检查为目的的复核性材料试验，承包人应予以协助。</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14.3 现场工艺试验</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承包人应按合同约定或监理人指示进行现场工艺试验。对大型的现场工艺试验，监理人</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认为必要时，应由承包人根据监理人提出的工艺试验要求，编制工艺试验措施计划，报送监</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理人审批。</w:t>
      </w:r>
    </w:p>
    <w:p>
      <w:pPr>
        <w:pStyle w:val="6"/>
        <w:rPr>
          <w:rFonts w:hint="eastAsia" w:ascii="宋体" w:hAnsi="宋体" w:eastAsia="宋体" w:cs="宋体"/>
          <w:color w:val="auto"/>
          <w:sz w:val="24"/>
          <w:szCs w:val="24"/>
          <w:lang w:eastAsia="zh-CN"/>
        </w:rPr>
      </w:pPr>
      <w:bookmarkStart w:id="66" w:name="_Toc437355464"/>
      <w:bookmarkStart w:id="67" w:name="_Toc16826"/>
      <w:r>
        <w:rPr>
          <w:rFonts w:hint="eastAsia" w:ascii="宋体" w:hAnsi="宋体" w:eastAsia="宋体" w:cs="宋体"/>
          <w:color w:val="auto"/>
          <w:sz w:val="24"/>
          <w:szCs w:val="24"/>
          <w:lang w:eastAsia="zh-CN"/>
        </w:rPr>
        <w:t>15. 变更</w:t>
      </w:r>
      <w:bookmarkEnd w:id="66"/>
      <w:bookmarkEnd w:id="67"/>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15.1 变更的范围和内容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除专用合同条款另有约定外，在履行合同中发生以下情形之一，应按照本条规定进行变更。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（1）取消合同中任何一项工作，但被取消的工作不能转由发包人或其他人实施；</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（2）改变合同中任何一项工作的质量或其他特性；</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（3）改变合同工程的基线、标高、位置或尺寸；</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（4）改变合同中任何一项工作的施工时间或改变已批准的施工工艺或顺序；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（5）为完成工程需要追加的额外工作。</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15.2 变更权</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在履行合同过程中，经发包人同意，监理人可按第15.3 款约定的变更程序向承包人作出变更指示，承包人应遵照执行。没有监理人的变更指示，承包人不得擅自变更。</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15.3 变更程序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15.3.1 变更的提出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（1）在合同履行过程中，可能发生第15.1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 项约定发出变更指示。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（2）在合同履行过程中，发生第15.1 款约定情形的，监理人应按照第15.3.3 项约定向承包人发出变更指示。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（3）承包人收到监理人按合同约定发出的图纸和文件，经检查认为其中存在第15.1 款约定情形的，可向监理人提出书面变更建议。变更建议应阐明要求变更的依据，并附必要的图纸和说明。监理人收到承包人书面建议后，应与发包人共同研究，确认存在变更的，应在收到承包人书面建议后的14 天内作出变更指示。经研究后不同意作为变更的，应由监理人书面答复承包人。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（4）若承包人收到监理人的变更意向书后认为难以实施此项变更，应立即通知监理人，说明原因并附详细依据。监理人与承包人和发包人协商后确定撤销、改变或不改变原变更意向书。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15.3.2 变更估价</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（1）除专用合同条款对期限另有约定外，承包人应在收到变更指示或变更意向书后的14 天内，向监理人提交变更报价书，报价内容应根据第15.4 款约定的估价原则，详细开列变更工作的价格组成及其依据，并附必要的施工方法说明和有关图纸。</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（2）变更工作影响工期的，承包人应提出调整工期的具体细节。监理人认为有必要时，可要求承包人提交要求提前或延长工期的施工进度计划及相应施工措施等详细资料。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（3）除专用合同条款对期限另有约定外，监理人收到承包人变更报价书后的14 天内，根据第15.4 款约定的估价原则，按照第3.5 款商定或确定变更价格。</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15.3.3 变更指示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（1）变更指示只能由监理人发出。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（2）变更指示应说明变更的目的、范围、变更内容以及变更的工程量及其进度和技术要求，并附有关图纸和文件。承包人收到变更指示后，应按变更指示进行变更工作。</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15.4 变更的估价原则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除专用合同条款另有约定外，因变更引起的价格调整按照本款约定处理。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15.4.1 已标价工程量清单中有适用于变更工作的子目的，采用该子目的单价。</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15.4.2 已标价工程量清单中无适用于变更工作的子目，但有类似子目的，可在合理范围内参照类似子目的单价，由监理人按第3.5 款商定或确定变更工作的单价。</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15.4.3 已标价工程量清单中无适用或类似子目的单价，可按照成本加利润的原则，由监理人按第3.5 款商定或确定变更工作的单价。</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15.5 承包人的合理化建议</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 项约定向承包人发出变更指示。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15.5.2 承包人提出的合理化建议降低了合同价格、缩短了工期或者提高了工程经济效益的，发包人可按国家有关规定在专用合同条款中约定给予奖励。</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15.6 暂列金额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暂列金额只能按照监理人的指示使用，并对合同价格进行相应调整。</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15.7 计日工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15.7.1 发包人认为有必要时，由监理人通知承包人以计日工方式实施变更的零星工作。其价款按列入已标价工程量清单中的计日工计价子目及其单价进行计算。</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15.7.2 采用计日工计价的任何一项变更工作，应从暂列金额中支付，承包人应在该项变更的实施过程中，每天提交以下报表和有关凭证报送监理人审批：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（1）工作名称、内容和数量；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（2）投入该工作所有人员的姓名、工种、级别和耗用工时；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（3）投入该工作的材料类别和数量；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（4）投入该工作的施工设备型号、台数和耗用台时；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（5）监理人要求提交的其他资料和凭证。</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15.7.3 计日工由承包人汇总后，按第17.3.2 项的约定列入进度付款申请单，由监理人复核并经发包人同意后列入进度付款。</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15.8 暂估价</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15.8.1 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15.8.2 发包人在工程量清单中给定暂估价的材料和工程设备不属于依法必须招标的范围或未达到规定的规模标准的，应由承包人按第5.1 款的约定提供。经监理人确认的材料、工程设备的价格与工程量清单中所列的暂估价的金额差以及相应的税金等其他费用列入合同价格。</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15.8.3 发包人在工程量清单中给定暂估价的专业工程不属于依法必须招标的范围或未达到规定的规模标准的，由监理人按照第15.4 款进行估价，但专用合同条款另有约定的除外。经估价的专业工程与工程量清单中所列的暂估价的金额差以及相应的税金等其他费用列入合同价格。</w:t>
      </w:r>
    </w:p>
    <w:p>
      <w:pPr>
        <w:pStyle w:val="6"/>
        <w:rPr>
          <w:rFonts w:hint="eastAsia" w:ascii="宋体" w:hAnsi="宋体" w:eastAsia="宋体" w:cs="宋体"/>
          <w:color w:val="auto"/>
          <w:sz w:val="24"/>
          <w:szCs w:val="24"/>
          <w:lang w:eastAsia="zh-CN"/>
        </w:rPr>
      </w:pPr>
      <w:bookmarkStart w:id="68" w:name="_Toc437355465"/>
      <w:bookmarkStart w:id="69" w:name="_Toc12119"/>
      <w:r>
        <w:rPr>
          <w:rFonts w:hint="eastAsia" w:ascii="宋体" w:hAnsi="宋体" w:eastAsia="宋体" w:cs="宋体"/>
          <w:color w:val="auto"/>
          <w:sz w:val="24"/>
          <w:szCs w:val="24"/>
          <w:lang w:eastAsia="zh-CN"/>
        </w:rPr>
        <w:t>16. 价格调整</w:t>
      </w:r>
      <w:bookmarkEnd w:id="68"/>
      <w:bookmarkEnd w:id="69"/>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 物价波动引起的价格调整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除专用合同条款另有约定外，因物价波动引起的价格调整按照本款约定处理。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16.1.1 采用价格指数调整价格差额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16.1.1.1 价格调整公式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因人工、材料和设备等价格波动影响合同价格时，根据投标函附录中的价格指数和权重表约定的数据，按以下公式计算差额并调整合同价格：</w:t>
      </w:r>
    </w:p>
    <w:p>
      <w:pPr>
        <w:autoSpaceDE w:val="0"/>
        <w:autoSpaceDN w:val="0"/>
        <w:adjustRightInd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ΔP=P</w:t>
      </w:r>
      <w:r>
        <w:rPr>
          <w:rFonts w:hint="eastAsia" w:ascii="宋体" w:hAnsi="宋体" w:eastAsia="宋体" w:cs="宋体"/>
          <w:color w:val="auto"/>
          <w:sz w:val="24"/>
          <w:szCs w:val="24"/>
          <w:vertAlign w:val="subscript"/>
        </w:rPr>
        <w:t>0</w:t>
      </w:r>
      <w:r>
        <w:rPr>
          <w:rFonts w:hint="eastAsia" w:ascii="宋体" w:hAnsi="宋体" w:eastAsia="宋体" w:cs="宋体"/>
          <w:color w:val="auto"/>
          <w:sz w:val="24"/>
          <w:szCs w:val="24"/>
        </w:rPr>
        <w:t>［A+(B</w:t>
      </w:r>
      <w:r>
        <w:rPr>
          <w:rFonts w:hint="eastAsia" w:ascii="宋体" w:hAnsi="宋体" w:eastAsia="宋体" w:cs="宋体"/>
          <w:color w:val="auto"/>
          <w:sz w:val="24"/>
          <w:szCs w:val="24"/>
          <w:vertAlign w:val="subscript"/>
        </w:rPr>
        <w:t>1</w:t>
      </w:r>
      <w:r>
        <w:rPr>
          <w:rFonts w:hint="eastAsia" w:ascii="宋体" w:hAnsi="宋体" w:eastAsia="宋体" w:cs="宋体"/>
          <w:color w:val="auto"/>
          <w:sz w:val="24"/>
          <w:szCs w:val="24"/>
        </w:rPr>
        <w:t>×F</w:t>
      </w:r>
      <w:r>
        <w:rPr>
          <w:rFonts w:hint="eastAsia" w:ascii="宋体" w:hAnsi="宋体" w:eastAsia="宋体" w:cs="宋体"/>
          <w:color w:val="auto"/>
          <w:sz w:val="24"/>
          <w:szCs w:val="24"/>
          <w:vertAlign w:val="subscript"/>
        </w:rPr>
        <w:t>t1</w:t>
      </w:r>
      <w:r>
        <w:rPr>
          <w:rFonts w:hint="eastAsia" w:ascii="宋体" w:hAnsi="宋体" w:eastAsia="宋体" w:cs="宋体"/>
          <w:color w:val="auto"/>
          <w:sz w:val="24"/>
          <w:szCs w:val="24"/>
        </w:rPr>
        <w:t>/F</w:t>
      </w:r>
      <w:r>
        <w:rPr>
          <w:rFonts w:hint="eastAsia" w:ascii="宋体" w:hAnsi="宋体" w:eastAsia="宋体" w:cs="宋体"/>
          <w:color w:val="auto"/>
          <w:sz w:val="24"/>
          <w:szCs w:val="24"/>
          <w:vertAlign w:val="subscript"/>
        </w:rPr>
        <w:t>01</w:t>
      </w:r>
      <w:r>
        <w:rPr>
          <w:rFonts w:hint="eastAsia" w:ascii="宋体" w:hAnsi="宋体" w:eastAsia="宋体" w:cs="宋体"/>
          <w:color w:val="auto"/>
          <w:sz w:val="24"/>
          <w:szCs w:val="24"/>
        </w:rPr>
        <w:t>+B</w:t>
      </w:r>
      <w:r>
        <w:rPr>
          <w:rFonts w:hint="eastAsia" w:ascii="宋体" w:hAnsi="宋体" w:eastAsia="宋体" w:cs="宋体"/>
          <w:color w:val="auto"/>
          <w:sz w:val="24"/>
          <w:szCs w:val="24"/>
          <w:vertAlign w:val="subscript"/>
        </w:rPr>
        <w:t>2</w:t>
      </w:r>
      <w:r>
        <w:rPr>
          <w:rFonts w:hint="eastAsia" w:ascii="宋体" w:hAnsi="宋体" w:eastAsia="宋体" w:cs="宋体"/>
          <w:color w:val="auto"/>
          <w:sz w:val="24"/>
          <w:szCs w:val="24"/>
        </w:rPr>
        <w:t>×F</w:t>
      </w:r>
      <w:r>
        <w:rPr>
          <w:rFonts w:hint="eastAsia" w:ascii="宋体" w:hAnsi="宋体" w:eastAsia="宋体" w:cs="宋体"/>
          <w:color w:val="auto"/>
          <w:sz w:val="24"/>
          <w:szCs w:val="24"/>
          <w:vertAlign w:val="subscript"/>
        </w:rPr>
        <w:t>t2</w:t>
      </w:r>
      <w:r>
        <w:rPr>
          <w:rFonts w:hint="eastAsia" w:ascii="宋体" w:hAnsi="宋体" w:eastAsia="宋体" w:cs="宋体"/>
          <w:color w:val="auto"/>
          <w:sz w:val="24"/>
          <w:szCs w:val="24"/>
        </w:rPr>
        <w:t>/F</w:t>
      </w:r>
      <w:r>
        <w:rPr>
          <w:rFonts w:hint="eastAsia" w:ascii="宋体" w:hAnsi="宋体" w:eastAsia="宋体" w:cs="宋体"/>
          <w:color w:val="auto"/>
          <w:sz w:val="24"/>
          <w:szCs w:val="24"/>
          <w:vertAlign w:val="subscript"/>
        </w:rPr>
        <w:t>02</w:t>
      </w:r>
      <w:r>
        <w:rPr>
          <w:rFonts w:hint="eastAsia" w:ascii="宋体" w:hAnsi="宋体" w:eastAsia="宋体" w:cs="宋体"/>
          <w:color w:val="auto"/>
          <w:sz w:val="24"/>
          <w:szCs w:val="24"/>
        </w:rPr>
        <w:t>+B</w:t>
      </w:r>
      <w:r>
        <w:rPr>
          <w:rFonts w:hint="eastAsia" w:ascii="宋体" w:hAnsi="宋体" w:eastAsia="宋体" w:cs="宋体"/>
          <w:color w:val="auto"/>
          <w:sz w:val="24"/>
          <w:szCs w:val="24"/>
          <w:vertAlign w:val="subscript"/>
        </w:rPr>
        <w:t>3</w:t>
      </w:r>
      <w:r>
        <w:rPr>
          <w:rFonts w:hint="eastAsia" w:ascii="宋体" w:hAnsi="宋体" w:eastAsia="宋体" w:cs="宋体"/>
          <w:color w:val="auto"/>
          <w:sz w:val="24"/>
          <w:szCs w:val="24"/>
        </w:rPr>
        <w:t>×F</w:t>
      </w:r>
      <w:r>
        <w:rPr>
          <w:rFonts w:hint="eastAsia" w:ascii="宋体" w:hAnsi="宋体" w:eastAsia="宋体" w:cs="宋体"/>
          <w:color w:val="auto"/>
          <w:sz w:val="24"/>
          <w:szCs w:val="24"/>
          <w:vertAlign w:val="subscript"/>
        </w:rPr>
        <w:t>t3</w:t>
      </w:r>
      <w:r>
        <w:rPr>
          <w:rFonts w:hint="eastAsia" w:ascii="宋体" w:hAnsi="宋体" w:eastAsia="宋体" w:cs="宋体"/>
          <w:color w:val="auto"/>
          <w:sz w:val="24"/>
          <w:szCs w:val="24"/>
        </w:rPr>
        <w:t>/F</w:t>
      </w:r>
      <w:r>
        <w:rPr>
          <w:rFonts w:hint="eastAsia" w:ascii="宋体" w:hAnsi="宋体" w:eastAsia="宋体" w:cs="宋体"/>
          <w:color w:val="auto"/>
          <w:sz w:val="24"/>
          <w:szCs w:val="24"/>
          <w:vertAlign w:val="subscript"/>
        </w:rPr>
        <w:t>03</w:t>
      </w:r>
      <w:r>
        <w:rPr>
          <w:rFonts w:hint="eastAsia" w:ascii="宋体" w:hAnsi="宋体" w:eastAsia="宋体" w:cs="宋体"/>
          <w:color w:val="auto"/>
          <w:sz w:val="24"/>
          <w:szCs w:val="24"/>
        </w:rPr>
        <w:t>+…+B</w:t>
      </w:r>
      <w:r>
        <w:rPr>
          <w:rFonts w:hint="eastAsia" w:ascii="宋体" w:hAnsi="宋体" w:eastAsia="宋体" w:cs="宋体"/>
          <w:color w:val="auto"/>
          <w:sz w:val="24"/>
          <w:szCs w:val="24"/>
          <w:vertAlign w:val="subscript"/>
        </w:rPr>
        <w:t>n</w:t>
      </w:r>
      <w:r>
        <w:rPr>
          <w:rFonts w:hint="eastAsia" w:ascii="宋体" w:hAnsi="宋体" w:eastAsia="宋体" w:cs="宋体"/>
          <w:color w:val="auto"/>
          <w:sz w:val="24"/>
          <w:szCs w:val="24"/>
        </w:rPr>
        <w:t>×F</w:t>
      </w:r>
      <w:r>
        <w:rPr>
          <w:rFonts w:hint="eastAsia" w:ascii="宋体" w:hAnsi="宋体" w:eastAsia="宋体" w:cs="宋体"/>
          <w:color w:val="auto"/>
          <w:sz w:val="24"/>
          <w:szCs w:val="24"/>
          <w:vertAlign w:val="subscript"/>
        </w:rPr>
        <w:t>tn</w:t>
      </w:r>
      <w:r>
        <w:rPr>
          <w:rFonts w:hint="eastAsia" w:ascii="宋体" w:hAnsi="宋体" w:eastAsia="宋体" w:cs="宋体"/>
          <w:color w:val="auto"/>
          <w:sz w:val="24"/>
          <w:szCs w:val="24"/>
        </w:rPr>
        <w:t>/F</w:t>
      </w:r>
      <w:r>
        <w:rPr>
          <w:rFonts w:hint="eastAsia" w:ascii="宋体" w:hAnsi="宋体" w:eastAsia="宋体" w:cs="宋体"/>
          <w:color w:val="auto"/>
          <w:sz w:val="24"/>
          <w:szCs w:val="24"/>
          <w:vertAlign w:val="subscript"/>
        </w:rPr>
        <w:t>0n</w:t>
      </w:r>
      <w:r>
        <w:rPr>
          <w:rFonts w:hint="eastAsia" w:ascii="宋体" w:hAnsi="宋体" w:eastAsia="宋体" w:cs="宋体"/>
          <w:color w:val="auto"/>
          <w:sz w:val="24"/>
          <w:szCs w:val="24"/>
        </w:rPr>
        <w:t>)-1］</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式中： △P－需调整的价格差额；</w:t>
      </w:r>
    </w:p>
    <w:p>
      <w:pPr>
        <w:autoSpaceDE w:val="0"/>
        <w:autoSpaceDN w:val="0"/>
        <w:adjustRightInd w:val="0"/>
        <w:ind w:firstLine="1320" w:firstLineChars="55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P</w:t>
      </w:r>
      <w:r>
        <w:rPr>
          <w:rFonts w:hint="eastAsia" w:ascii="宋体" w:hAnsi="宋体" w:eastAsia="宋体" w:cs="宋体"/>
          <w:color w:val="auto"/>
          <w:sz w:val="24"/>
          <w:szCs w:val="24"/>
          <w:vertAlign w:val="subscript"/>
          <w:lang w:eastAsia="zh-CN"/>
        </w:rPr>
        <w:t>0</w:t>
      </w:r>
      <w:r>
        <w:rPr>
          <w:rFonts w:hint="eastAsia" w:ascii="宋体" w:hAnsi="宋体" w:eastAsia="宋体" w:cs="宋体"/>
          <w:color w:val="auto"/>
          <w:sz w:val="24"/>
          <w:szCs w:val="24"/>
          <w:lang w:eastAsia="zh-CN"/>
        </w:rPr>
        <w:t>－第17.3.3 项、第17.5.2 项和第17.6.2 项约定的付款证书中承包人应得到的已完成工程量的金额。此项金额应不包括价格调整、不计质量保证金的扣留和支付、预付款的支付和扣回。第15 条约定的变更及其他金额已按现行价格计价的，也不计在内；</w:t>
      </w:r>
    </w:p>
    <w:p>
      <w:pPr>
        <w:autoSpaceDE w:val="0"/>
        <w:autoSpaceDN w:val="0"/>
        <w:adjustRightInd w:val="0"/>
        <w:ind w:firstLine="1320" w:firstLineChars="55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A－定值权重(即不调部分的权重)；</w:t>
      </w:r>
    </w:p>
    <w:p>
      <w:pPr>
        <w:autoSpaceDE w:val="0"/>
        <w:autoSpaceDN w:val="0"/>
        <w:adjustRightInd w:val="0"/>
        <w:ind w:firstLine="1320" w:firstLineChars="55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B</w:t>
      </w:r>
      <w:r>
        <w:rPr>
          <w:rFonts w:hint="eastAsia" w:ascii="宋体" w:hAnsi="宋体" w:eastAsia="宋体" w:cs="宋体"/>
          <w:color w:val="auto"/>
          <w:sz w:val="24"/>
          <w:szCs w:val="24"/>
          <w:vertAlign w:val="subscript"/>
          <w:lang w:eastAsia="zh-CN"/>
        </w:rPr>
        <w:t>1</w:t>
      </w:r>
      <w:r>
        <w:rPr>
          <w:rFonts w:hint="eastAsia" w:ascii="宋体" w:hAnsi="宋体" w:eastAsia="宋体" w:cs="宋体"/>
          <w:color w:val="auto"/>
          <w:sz w:val="24"/>
          <w:szCs w:val="24"/>
          <w:lang w:eastAsia="zh-CN"/>
        </w:rPr>
        <w:t>；B</w:t>
      </w:r>
      <w:r>
        <w:rPr>
          <w:rFonts w:hint="eastAsia" w:ascii="宋体" w:hAnsi="宋体" w:eastAsia="宋体" w:cs="宋体"/>
          <w:color w:val="auto"/>
          <w:sz w:val="24"/>
          <w:szCs w:val="24"/>
          <w:vertAlign w:val="subscript"/>
          <w:lang w:eastAsia="zh-CN"/>
        </w:rPr>
        <w:t>2</w:t>
      </w:r>
      <w:r>
        <w:rPr>
          <w:rFonts w:hint="eastAsia" w:ascii="宋体" w:hAnsi="宋体" w:eastAsia="宋体" w:cs="宋体"/>
          <w:color w:val="auto"/>
          <w:sz w:val="24"/>
          <w:szCs w:val="24"/>
          <w:lang w:eastAsia="zh-CN"/>
        </w:rPr>
        <w:t>；B</w:t>
      </w:r>
      <w:r>
        <w:rPr>
          <w:rFonts w:hint="eastAsia" w:ascii="宋体" w:hAnsi="宋体" w:eastAsia="宋体" w:cs="宋体"/>
          <w:color w:val="auto"/>
          <w:sz w:val="24"/>
          <w:szCs w:val="24"/>
          <w:vertAlign w:val="subscript"/>
          <w:lang w:eastAsia="zh-CN"/>
        </w:rPr>
        <w:t>3</w:t>
      </w:r>
      <w:r>
        <w:rPr>
          <w:rFonts w:hint="eastAsia" w:ascii="宋体" w:hAnsi="宋体" w:eastAsia="宋体" w:cs="宋体"/>
          <w:color w:val="auto"/>
          <w:sz w:val="24"/>
          <w:szCs w:val="24"/>
          <w:lang w:eastAsia="zh-CN"/>
        </w:rPr>
        <w:t>…B</w:t>
      </w:r>
      <w:r>
        <w:rPr>
          <w:rFonts w:hint="eastAsia" w:ascii="宋体" w:hAnsi="宋体" w:eastAsia="宋体" w:cs="宋体"/>
          <w:color w:val="auto"/>
          <w:sz w:val="24"/>
          <w:szCs w:val="24"/>
          <w:vertAlign w:val="subscript"/>
          <w:lang w:eastAsia="zh-CN"/>
        </w:rPr>
        <w:t>n</w:t>
      </w:r>
      <w:r>
        <w:rPr>
          <w:rFonts w:hint="eastAsia" w:ascii="宋体" w:hAnsi="宋体" w:eastAsia="宋体" w:cs="宋体"/>
          <w:color w:val="auto"/>
          <w:sz w:val="24"/>
          <w:szCs w:val="24"/>
          <w:lang w:eastAsia="zh-CN"/>
        </w:rPr>
        <w:t>－各可调因子的变值权重(即可调部分的权重)为各可调因子</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在投标函投标总报价中所占的比例；</w:t>
      </w:r>
    </w:p>
    <w:p>
      <w:pPr>
        <w:autoSpaceDE w:val="0"/>
        <w:autoSpaceDN w:val="0"/>
        <w:adjustRightInd w:val="0"/>
        <w:ind w:firstLine="1320" w:firstLineChars="55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F</w:t>
      </w:r>
      <w:r>
        <w:rPr>
          <w:rFonts w:hint="eastAsia" w:ascii="宋体" w:hAnsi="宋体" w:eastAsia="宋体" w:cs="宋体"/>
          <w:color w:val="auto"/>
          <w:sz w:val="24"/>
          <w:szCs w:val="24"/>
          <w:vertAlign w:val="subscript"/>
          <w:lang w:eastAsia="zh-CN"/>
        </w:rPr>
        <w:t>t1</w:t>
      </w:r>
      <w:r>
        <w:rPr>
          <w:rFonts w:hint="eastAsia" w:ascii="宋体" w:hAnsi="宋体" w:eastAsia="宋体" w:cs="宋体"/>
          <w:color w:val="auto"/>
          <w:sz w:val="24"/>
          <w:szCs w:val="24"/>
          <w:lang w:eastAsia="zh-CN"/>
        </w:rPr>
        <w:t>；F</w:t>
      </w:r>
      <w:r>
        <w:rPr>
          <w:rFonts w:hint="eastAsia" w:ascii="宋体" w:hAnsi="宋体" w:eastAsia="宋体" w:cs="宋体"/>
          <w:color w:val="auto"/>
          <w:sz w:val="24"/>
          <w:szCs w:val="24"/>
          <w:vertAlign w:val="subscript"/>
          <w:lang w:eastAsia="zh-CN"/>
        </w:rPr>
        <w:t>t2</w:t>
      </w:r>
      <w:r>
        <w:rPr>
          <w:rFonts w:hint="eastAsia" w:ascii="宋体" w:hAnsi="宋体" w:eastAsia="宋体" w:cs="宋体"/>
          <w:color w:val="auto"/>
          <w:sz w:val="24"/>
          <w:szCs w:val="24"/>
          <w:lang w:eastAsia="zh-CN"/>
        </w:rPr>
        <w:t>；F</w:t>
      </w:r>
      <w:r>
        <w:rPr>
          <w:rFonts w:hint="eastAsia" w:ascii="宋体" w:hAnsi="宋体" w:eastAsia="宋体" w:cs="宋体"/>
          <w:color w:val="auto"/>
          <w:sz w:val="24"/>
          <w:szCs w:val="24"/>
          <w:vertAlign w:val="subscript"/>
          <w:lang w:eastAsia="zh-CN"/>
        </w:rPr>
        <w:t>t3</w:t>
      </w:r>
      <w:r>
        <w:rPr>
          <w:rFonts w:hint="eastAsia" w:ascii="宋体" w:hAnsi="宋体" w:eastAsia="宋体" w:cs="宋体"/>
          <w:color w:val="auto"/>
          <w:sz w:val="24"/>
          <w:szCs w:val="24"/>
          <w:lang w:eastAsia="zh-CN"/>
        </w:rPr>
        <w:t>…F</w:t>
      </w:r>
      <w:r>
        <w:rPr>
          <w:rFonts w:hint="eastAsia" w:ascii="宋体" w:hAnsi="宋体" w:eastAsia="宋体" w:cs="宋体"/>
          <w:color w:val="auto"/>
          <w:sz w:val="24"/>
          <w:szCs w:val="24"/>
          <w:vertAlign w:val="subscript"/>
          <w:lang w:eastAsia="zh-CN"/>
        </w:rPr>
        <w:t>tn</w:t>
      </w:r>
      <w:r>
        <w:rPr>
          <w:rFonts w:hint="eastAsia" w:ascii="宋体" w:hAnsi="宋体" w:eastAsia="宋体" w:cs="宋体"/>
          <w:color w:val="auto"/>
          <w:sz w:val="24"/>
          <w:szCs w:val="24"/>
          <w:lang w:eastAsia="zh-CN"/>
        </w:rPr>
        <w:t>－各可调因子的现行价格指数，指第17.3.3 项、第17.5.2 项和第17.6.2 项约定的付款证书相关周期最后一天的前42 天的各可调因子的价格指数；</w:t>
      </w:r>
    </w:p>
    <w:p>
      <w:pPr>
        <w:autoSpaceDE w:val="0"/>
        <w:autoSpaceDN w:val="0"/>
        <w:adjustRightInd w:val="0"/>
        <w:ind w:firstLine="1320" w:firstLineChars="55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F</w:t>
      </w:r>
      <w:r>
        <w:rPr>
          <w:rFonts w:hint="eastAsia" w:ascii="宋体" w:hAnsi="宋体" w:eastAsia="宋体" w:cs="宋体"/>
          <w:color w:val="auto"/>
          <w:sz w:val="24"/>
          <w:szCs w:val="24"/>
          <w:vertAlign w:val="subscript"/>
          <w:lang w:eastAsia="zh-CN"/>
        </w:rPr>
        <w:t>01</w:t>
      </w:r>
      <w:r>
        <w:rPr>
          <w:rFonts w:hint="eastAsia" w:ascii="宋体" w:hAnsi="宋体" w:eastAsia="宋体" w:cs="宋体"/>
          <w:color w:val="auto"/>
          <w:sz w:val="24"/>
          <w:szCs w:val="24"/>
          <w:lang w:eastAsia="zh-CN"/>
        </w:rPr>
        <w:t>；F</w:t>
      </w:r>
      <w:r>
        <w:rPr>
          <w:rFonts w:hint="eastAsia" w:ascii="宋体" w:hAnsi="宋体" w:eastAsia="宋体" w:cs="宋体"/>
          <w:color w:val="auto"/>
          <w:sz w:val="24"/>
          <w:szCs w:val="24"/>
          <w:vertAlign w:val="subscript"/>
          <w:lang w:eastAsia="zh-CN"/>
        </w:rPr>
        <w:t>02</w:t>
      </w:r>
      <w:r>
        <w:rPr>
          <w:rFonts w:hint="eastAsia" w:ascii="宋体" w:hAnsi="宋体" w:eastAsia="宋体" w:cs="宋体"/>
          <w:color w:val="auto"/>
          <w:sz w:val="24"/>
          <w:szCs w:val="24"/>
          <w:lang w:eastAsia="zh-CN"/>
        </w:rPr>
        <w:t>；F</w:t>
      </w:r>
      <w:r>
        <w:rPr>
          <w:rFonts w:hint="eastAsia" w:ascii="宋体" w:hAnsi="宋体" w:eastAsia="宋体" w:cs="宋体"/>
          <w:color w:val="auto"/>
          <w:sz w:val="24"/>
          <w:szCs w:val="24"/>
          <w:vertAlign w:val="subscript"/>
          <w:lang w:eastAsia="zh-CN"/>
        </w:rPr>
        <w:t>03</w:t>
      </w:r>
      <w:r>
        <w:rPr>
          <w:rFonts w:hint="eastAsia" w:ascii="宋体" w:hAnsi="宋体" w:eastAsia="宋体" w:cs="宋体"/>
          <w:color w:val="auto"/>
          <w:sz w:val="24"/>
          <w:szCs w:val="24"/>
          <w:lang w:eastAsia="zh-CN"/>
        </w:rPr>
        <w:t>…F</w:t>
      </w:r>
      <w:r>
        <w:rPr>
          <w:rFonts w:hint="eastAsia" w:ascii="宋体" w:hAnsi="宋体" w:eastAsia="宋体" w:cs="宋体"/>
          <w:color w:val="auto"/>
          <w:sz w:val="24"/>
          <w:szCs w:val="24"/>
          <w:vertAlign w:val="subscript"/>
          <w:lang w:eastAsia="zh-CN"/>
        </w:rPr>
        <w:t>0n</w:t>
      </w:r>
      <w:r>
        <w:rPr>
          <w:rFonts w:hint="eastAsia" w:ascii="宋体" w:hAnsi="宋体" w:eastAsia="宋体" w:cs="宋体"/>
          <w:color w:val="auto"/>
          <w:sz w:val="24"/>
          <w:szCs w:val="24"/>
          <w:lang w:eastAsia="zh-CN"/>
        </w:rPr>
        <w:t>－各可调因子的基本价格指数，指基准日期的各可调因子</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的价格指数。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16.1.1.2 暂时确定调整差额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在计算调整差额时得不到现行价格指数的，可暂用上一次价格指数计算，并在以后的付款中再按实际价格指数进行调整。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16.1.1.3 权重的调整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按第15.1 款约定的变更导致原定合同中的权重不合理时，由监理人与承包人和发包人协商后进行调整。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16.1.1.4 承包人工期延误后的价格调整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由于承包人原因未在约定的工期内竣工的，则对原约定竣工日期后继续施工的工程，在使用第16.1.1.1 目价格调整公式时，应采用原约定竣工日期与实际竣工日期的两个价格指数中较低的一个作为现行价格指数。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16.1.2 采用造价信息调整价格差额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16.2 法律变化引起的价格调整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在基准日后，因法律变化导致承包人在合同履行中所需要的工程费用发生除第16.1 款约定以外的增减时，监理人应根据法律、国家或省、自治区、直辖市有关部门的规定，按第3.5 款商定或确定需调整的合同价款。</w:t>
      </w:r>
    </w:p>
    <w:p>
      <w:pPr>
        <w:pStyle w:val="6"/>
        <w:rPr>
          <w:rFonts w:hint="eastAsia" w:ascii="宋体" w:hAnsi="宋体" w:eastAsia="宋体" w:cs="宋体"/>
          <w:color w:val="auto"/>
          <w:sz w:val="24"/>
          <w:szCs w:val="24"/>
          <w:lang w:eastAsia="zh-CN"/>
        </w:rPr>
      </w:pPr>
      <w:bookmarkStart w:id="70" w:name="_Toc437355466"/>
      <w:bookmarkStart w:id="71" w:name="_Toc15161"/>
      <w:r>
        <w:rPr>
          <w:rFonts w:hint="eastAsia" w:ascii="宋体" w:hAnsi="宋体" w:eastAsia="宋体" w:cs="宋体"/>
          <w:color w:val="auto"/>
          <w:sz w:val="24"/>
          <w:szCs w:val="24"/>
          <w:lang w:eastAsia="zh-CN"/>
        </w:rPr>
        <w:t>17. 计量与支付</w:t>
      </w:r>
      <w:bookmarkEnd w:id="70"/>
      <w:bookmarkEnd w:id="71"/>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 计量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17.1.1 计量单位</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计量采用国家法定的计量单位。</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17.1.2 计量方法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工程量清单中的工程量计算规则应按有关国家标准、行业标准的规定，并在合同中约定执行。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17.1.3 计量周期</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除专用合同条款另有约定外，单价子目已完成工程量按月计量，总价子目的计量周期按批准的支付分解报告确定。</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17.1.4 单价子目的计量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（1）已标价工程量清单中的单价子目工程量为估算工程量。结算工程量是承包人实际完成的，并按合同约定的计量方法进行计量的工程量。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（2）承包人对已完成的工程进行计量，向监理人提交进度付款申请单、已完成工程量报表和有关计量资料。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（3）监理人对承包人提交的工程量报表进行复核，以确定实际完成的工程量。对数量有异议的，可要求承包人按第8.2 款约定进行共同复核和抽样复测。承包人应协助监理人进行复核并按监理人要求提供补充计量资料。承包人未按监理人要求参加复核，监理人复核或修正的工程量视为承包人实际完成的工程量。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（4）监理人认为有必要时，可通知承包人共同进行联合测量、计量，承包人应遵照执行。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（6）监理人应在收到承包人提交的工程量报表后的7 天内进行复核，监理人未在约定时间内复核的，承包人提交的工程量报表中的工程量视为承包人实际完成的工程量，据此计算工程价款。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17.1.5 总价子目的计量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除专用合同条款另有约定外，总价子目的分解和计量按照下述约定进行。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（1）总价子目的计量和支付应以总价为基础，不因第16.1 款中的因素而进行调整。承包人实际完成的工程量，是进行工程目标管理和控制进度支付的依据。</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（3）监理人对承包人提交的上述资料进行复核，以确定分阶段实际完成的工程量和工程形象目标。对其有异议的，可要求承包人按第8.2 款约定进行共同复核和抽样复测。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（4）除按照第15 条约定的变更外，总价子目的工程量是承包人用于结算的最终工程量。</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 预付款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17.2.1 预付款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预付款用于承包人为合同工程施工购置材料、工程设备、施工设备、修建临时设施以及组织施工队伍进场等。预付款的额度和预付办法在专用合同条款中约定。预付款必须专用于合同工程。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17.2.2 预付款保函</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除专用合同条款另有约定外，承包人应在收到预付款的同时向发包人提交预付款保函，预付款保函的担保金额应与预付款金额相同。保函的担保金额可根据预付款扣回的金额相应递减。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17.2.3 预付款的扣回与还清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预付款在进度付款中扣回，扣回办法在专用合同条款中约定。在颁发工程接收证书前，由于不可抗力或其他原因解除合同时，预付款尚未扣清的，尚未扣清的预付款余额应作为承包人的到期应付款。</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 工程进度付款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17.3.1 付款周期</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付款周期同计量周期。</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17.3.2 进度付款申请单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承包人应在每个付款周期末，按监理人批准的格式和专用合同条款约定的份数，向监理人提交进度付款申请单，并附相应的支持性证明文件。除专用合同条款另有约定外，进度付款申请单应包括下列内容：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（1）本周期已完成工程的价款；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（2）累计已完成的工程价款；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（3）累计已支付的工程价款；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（4）本周期已完成计日工金额；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（5）应增加和扣减的变更金额；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（6）应增加和扣减的索赔金额；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（7）应抵扣的工程预付款；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（8）应扣减的质量保证金；</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（9）根据合同应增加和扣减的其他金额；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（10）本付款周期实际应支付的工程价款。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17.3.3 进度付款证书和支付时间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（1）监理人在收到承包人进度付款申请单以及相应的支持性证明文件后的14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（2）发包人应在监理人收到进度付款申请单后的28 天内，将进度应付款支付给承</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包人。发包人应扣回的工程预付款，与工程进度款同期结算抵扣。发包人不按期支付的，按专用合同条款的约定支付逾期付款违约金。</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（3）监理人出具进度付款证书，不应视为监理人已同意、批准或接受了承包人完成的该部分工作。</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（4）进度付款涉及财政资金资金的，按照国库集中支付等国家相关规定和专用合同条款的约定办理。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17.3.4 工程进度付款的修正</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在对以往历次已签发的进度付款证书进行汇总和复核中发现错、漏或重复的，监理人有权予以修正，承包人也有权提出修正申请。经双方复核同意的修正，应在本次进度付款中支付或扣除。</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17.4 质量保证金</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17.4.1 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17.4.2 在第1.1.4.5 目约定的缺陷责任期满时，承包人向发包人申请到期应返还承包人剩余的质量保证金金额，发包人应在14 天内会同承包人按照合同约定的内容核实承包人是否完成缺陷责任。如无异议，发包人应当在核实后将剩余保证金返还承包人。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17.4.3 在第1.1.4.5 目约定的缺陷责任期满时，承包人没有完成缺陷责任的，发包人有权扣留与未履行责任剩余工作所需金额相应的质量保证金余额，并有权根据第19.3 款约定要求延长缺陷责任期，直至完成剩余工作为止。</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17.5 竣工结算</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17.5.1 竣工付款申请单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（2）监理人对竣工付款申请单有异议的，有权要求承包人进行修正和提供补充资料。经监理人和承包人协商后，由承包人向监理人提交修正后的竣工付款申请单。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17.5.2 竣工付款证书及支付时间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（1）监理人在收到承包人提交的竣工付款申请单后的14 天内完成核查，提出发包</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人到期应支付给承包人的价款送发包人审核并抄送承包人。发包人应在收到后14 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（2）发包人应在监理人出具竣工付款证书后的14 天内，将应支付款支付给承包人。发包人不按期支付的，按第17.3.3（2）目的约定，将逾期付款违约金支付给承包人。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（3）承包人对发包人签认的竣工付款证书有异议的，发包人可出具竣工付款申请单中承包人已同意部分的临时付款证书。存在争议的部分，按第24 条的约定办理。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（4）竣工付款涉及财政资金资金的，按第17.3.3（４）目的约定办理。</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17.6 最终结清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17.6.1 最终结清申请单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（1）缺陷责任期终止证书签发后，承包人可按专用合同条款约定的份数和期限向监理人提交最终结清申请单，并提供相关证明材料。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（2）发包人对最终结清申请单内容有异议的，有权要求承包人进行修正和提供补充资料，由承包人向监理人提交修正后的最终结清申请单。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17.6.2 最终结清证书和支付时间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（1）监理人收到承包人提交的最终结清申请单后的14 天内，提出发包人应支付给承包人的价款送发包人审核并抄送承包人。发包人应在收到后14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（2）发包人应在监理人出具最终结清证书后的14 天内，将应支付款支付给承包人。发包人不按期支付的，按第17.3.3（2）目的约定，将逾期付款违约金支付给承包人。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（3）承包人对发包人签认的最终结清证书有异议的，按第24 条的约定办理。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（4）最终结清付款涉及财政资金资金的，按第17.3.3（4）目的约定办理。</w:t>
      </w:r>
    </w:p>
    <w:p>
      <w:pPr>
        <w:pStyle w:val="6"/>
        <w:rPr>
          <w:rFonts w:hint="eastAsia" w:ascii="宋体" w:hAnsi="宋体" w:eastAsia="宋体" w:cs="宋体"/>
          <w:color w:val="auto"/>
          <w:sz w:val="24"/>
          <w:szCs w:val="24"/>
          <w:lang w:eastAsia="zh-CN"/>
        </w:rPr>
      </w:pPr>
      <w:bookmarkStart w:id="72" w:name="_Toc437355467"/>
      <w:bookmarkStart w:id="73" w:name="_Toc25751"/>
      <w:r>
        <w:rPr>
          <w:rFonts w:hint="eastAsia" w:ascii="宋体" w:hAnsi="宋体" w:eastAsia="宋体" w:cs="宋体"/>
          <w:color w:val="auto"/>
          <w:sz w:val="24"/>
          <w:szCs w:val="24"/>
          <w:lang w:eastAsia="zh-CN"/>
        </w:rPr>
        <w:t>18. 竣工验收</w:t>
      </w:r>
      <w:bookmarkEnd w:id="72"/>
      <w:bookmarkEnd w:id="73"/>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18.1 竣工验收的含义</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18.1.1 竣工验收指承包人完成了全部合同工作后，发包人按合同要求进行的验收。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18.1.2 国家验收是政府有关部门根据法律、规范、规程和政策要求，针对发包人全面组织实施的整个工程正式交付投运前的验收。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18.1.3 需要进行国家验收的，竣工验收是国家验收的一部分。竣工验收所采用的各项验收和评定标准应符合国家验收标准。发包人和承包人为竣工验收提供的各项竣工验收资料应符合国家验收的要求。</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18.2 竣工验收申请报告</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当工程具备以下条件时，承包人即可向监理人报送竣工验收申请报告：</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（1）除监理人同意列入缺陷责任期内完成的尾工（甩项）工程和缺陷修补工作外，合同范围内的全部单位工程以及有关工作，包括合同要求的试验、试运行以及检验和验收均已完成，并符合合同要求；</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（2）已按合同约定的内容和份数备齐了符合要求的竣工资料；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（3）已按监理人的要求编制了在缺陷责任期内完成的尾工（甩项）工程和缺陷修补工作清单以及相应施工计划；</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（4）监理人要求在竣工验收前应完成的其他工作；</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（5）监理人要求提交的竣工验收资料清单。</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18.3 验收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监理人收到承包人按第18.2 款约定提交的竣工验收申请报告后，应审查申请报告的各项内容，并按以下不同情况进行处理。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18.3.1 监理人审查后认为尚不具备竣工验收条件的，应在收到竣工验收申请报告后的28 天内通知承包人，指出在颁发接收证书前承包人还需进行的工作内容。承包人完成监理人通知的全部工作内容后，应再次提交竣工验收申请报告，直至监理人同意为止。</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18.3.2 监理人审查后认为已具备竣工验收条件的，应在收到竣工验收申请报告后的28天内提请发包人进行工程验收。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18.3.3 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 项、第18.3.2 项和第18.3.3 项的约定进行。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18.3.5 除专用合同条款另有约定外，经验收合格工程的实际竣工日期，以提交竣工验收申请报告的日期为准，并在工程接收证书中写明。</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18.3.6 发包人在收到承包人竣工验收申请报告56 天后未进行验收的，视为验收合格，实际竣工日期以提交竣工验收申请报告的日期为准，但发包人由于不可抗力不能进行验收的除外。</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18.4 单位工程验收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18.4.1 发包人根据合同进度计划安排，在全部工程竣工前需要使用已经竣工的单位工程时，或承包人提出经发包人同意时，可进行单位工程验收。验收的程序可参照第18.2 款与第18.3 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18.4.2 发包人在全部工程竣工前，使用已接收的单位工程导致承包人费用增加的，发包人应承担由此增加的费用和（或）工期延误，并支付承包人合理利润。</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18.5 施工期运行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18.5.1 施工期运行是指合同工程尚未全部竣工，其中某项或某几项单位工程或工程设备安装已竣工，根据专用合同条款约定，需要投入施工期运行的，经发包人按第18.4 款的约定验收合格，证明能确保安全后，才能在施工期投入运行。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18.5.2 在施工期运行中发现工程或工程设备损坏或存在缺陷的，由承包人按第19.2 款约定进行修复。</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18.6 试运行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18.6.1 除专用合同条款另有约定外，承包人应按专用合同条款约定进行工程及工程设备试运行，负责提供试运行所需的人员、器材和必要的条件，并承担全部试运行费用。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18.7 竣工清场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18.7.1 除合同另有约定外，工程接收证书颁发后，承包人应按以下要求对施工场地进行清理，直至监理人检验合格为止。竣工清场费用由承包人承担。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（1）施工场地内残留的垃圾已全部清除出场；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（2）临时工程已拆除，场地已按合同要求进行清理、平整或复原；</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（3）按合同约定应撤离的承包人设备和剩余的材料，包括废弃的施工设备和材料，已按计划撤离施工场地；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（4）工程建筑物周边及其附近道路、河道的施工堆积物，已按监理人指示全部清理；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（5）监理人指示的其他场地清理工作已全部完成。</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18.7.2 承包人未按监理人的要求恢复临时占地，或者场地清理未达到合同约定的，发包人有权委托其他人恢复或清理，所发生的金额从拟支付给承包人的款项中扣除。</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18.8 施工队伍的撤离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工程接收证书颁发后的56 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pPr>
        <w:pStyle w:val="6"/>
        <w:rPr>
          <w:rFonts w:hint="eastAsia" w:ascii="宋体" w:hAnsi="宋体" w:eastAsia="宋体" w:cs="宋体"/>
          <w:color w:val="auto"/>
          <w:sz w:val="24"/>
          <w:szCs w:val="24"/>
          <w:lang w:eastAsia="zh-CN"/>
        </w:rPr>
      </w:pPr>
      <w:bookmarkStart w:id="74" w:name="_Toc437355468"/>
      <w:bookmarkStart w:id="75" w:name="_Toc24543"/>
      <w:r>
        <w:rPr>
          <w:rFonts w:hint="eastAsia" w:ascii="宋体" w:hAnsi="宋体" w:eastAsia="宋体" w:cs="宋体"/>
          <w:color w:val="auto"/>
          <w:sz w:val="24"/>
          <w:szCs w:val="24"/>
          <w:lang w:eastAsia="zh-CN"/>
        </w:rPr>
        <w:t>19. 缺陷责任与保修责任</w:t>
      </w:r>
      <w:bookmarkEnd w:id="74"/>
      <w:bookmarkEnd w:id="75"/>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19.1 缺陷责任期的起算时间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缺陷责任期自实际竣工日期起计算。在全部工程竣工验收前，已经发包人提前验收的单位工程，其缺陷责任期的起算日期相应提前。</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19.2 缺陷责任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19.2.1 承包人应在缺陷责任期内对已交付使用的工程承担缺陷责任。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19.2.2 缺陷责任期内，发包人对已接收使用的工程负责日常维护工作。发包人在使用过程中，发现已接收的工程存在新的缺陷或已修复的缺陷部位或部件又遭损坏的，承包人应负责修复，直至检验合格为止。</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19.2.3 监理人和承包人应共同查清缺陷和（或）损坏的原因。经查明属承包人原因造成的，应由承包人承担修复和查验的费用。经查验属发包人原因造成的，发包人应承担修复和查验的费用，并支付承包人合理利润。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19.2.4 承包人不能在合理时间内修复缺陷的，发包人可自行修复或委托其他人修复，所需费用和利润的承担，按第19.2.3 项约定办理。</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19.3 缺陷责任期的延长</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由于承包人原因造成某项缺陷或损坏使某项工程或工程设备不能按原定目标使用而需要再次检查、检验和修复的，发包人有权要求承包人相应延长缺陷责任期，但缺陷责任期最长不超过2 年。</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19.4 进一步试验和试运行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任何一项缺陷或损坏修复后，经检查证明其影响了工程或工程设备的使用性能，承包人应重新进行合同约定的试验和试运行，试验和试运行的全部费用应由责任方承担。</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19.5 承包人的进入权</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缺陷责任期内承包人为缺陷修复工作需要，有权进入工程现场，但应遵守发包人的保安和保密规定。</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19.6 缺陷责任期终止证书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在第1.1.4.5 目约定的缺陷责任期，包括根据第19.3 款延长的期限终止后14 天内，由监理人向承包人出具经发包人签认的缺陷责任期终止证书，并退还剩余的质量保证金。</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19.7 保修责任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合同当事人根据有关法律规定，在专用合同条款中约定工程质量保修范围、期限和责任。保修期自实际竣工日期起计算。在全部工程竣工验收前，已经发包人提前验收的单位工程，其保修期的起算日期相应提前。</w:t>
      </w:r>
    </w:p>
    <w:p>
      <w:pPr>
        <w:pStyle w:val="6"/>
        <w:rPr>
          <w:rFonts w:hint="eastAsia" w:ascii="宋体" w:hAnsi="宋体" w:eastAsia="宋体" w:cs="宋体"/>
          <w:color w:val="auto"/>
          <w:sz w:val="24"/>
          <w:szCs w:val="24"/>
          <w:lang w:eastAsia="zh-CN"/>
        </w:rPr>
      </w:pPr>
      <w:bookmarkStart w:id="76" w:name="_Toc437355469"/>
      <w:bookmarkStart w:id="77" w:name="_Toc11410"/>
      <w:r>
        <w:rPr>
          <w:rFonts w:hint="eastAsia" w:ascii="宋体" w:hAnsi="宋体" w:eastAsia="宋体" w:cs="宋体"/>
          <w:color w:val="auto"/>
          <w:sz w:val="24"/>
          <w:szCs w:val="24"/>
          <w:lang w:eastAsia="zh-CN"/>
        </w:rPr>
        <w:t>20. 保险</w:t>
      </w:r>
      <w:bookmarkEnd w:id="76"/>
      <w:bookmarkEnd w:id="77"/>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20.1 工程保险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20.2 人员工伤事故的保险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20.2.1 承包人员工伤事故的保险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承包人应依照有关法律规定参加工伤保险，为其履行合同所雇佣的全部人员，缴纳工伤保险费，并要求其分包人也进行此项保险。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20.2.2 发包人员工伤事故的保险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发包人应依照有关法律规定参加工伤保险，为其现场机构雇佣的全部人员，缴纳工伤保险费，并要求其监理人也进行此项保险。</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20.3 人身意外伤害险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20.3.1 发包人应在整个施工期间为其现场机构雇用的全部人员，投保人身意外伤害险，缴纳保险费，并要求其监理人也进行此项保险。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20.3.2 承包人应在整个施工期间为其现场机构雇用的全部人员，投保人身意外伤害险，缴纳保险费，并要求其分包人也进行此项保险。</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20.4 第三者责任险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20.4.2 在缺陷责任期终止证书颁发前，承包人应以承包人和发包人的共同名义，投保第20.4.1 项约定的第三者责任险，其保险费率、保险金额等有关内容在专用合同条款中约定。</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20.5 其他保险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除专用合同条款另有约定外，承包人应为其施工设备、进场的材料和工程设备等办理保险。</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20.6 对各项保险的一般要求</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20.6.1 保险凭证</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承包人应在专用合同条款约定的期限内向发包人提交各项保险生效的证据和保险单副本，保险单必须与专用合同条款约定的条件保持一致。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20.6.2 保险合同条款的变动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承包人需要变动保险合同条款时，应事先征得发包人同意，并通知监理人。保险人作出变动的，承包人应在收到保险人通知后立即通知发包人和监理人。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20.6.3 持续保险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承包人应与保险人保持联系，使保险人能够随时了解工程实施中的变动，并确保按保险合同条款要求持续保险。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20.6.4 保险金不足的补偿</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保险金不足以补偿损失的，应由承包人和（或）发包人按合同约定负责补偿。</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20.6.5 未按约定投保的补救</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（1）由于负有投保义务的一方当事人未按合同约定办理保险，或未能使保险持续有效的，另一方当事人可代为办理，所需费用由对方当事人承担。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（2）由于负有投保义务的一方当事人未按合同约定办理某项保险，导致受益人未能得到保险人的赔偿，原应从该项保险得到的保险金应由负有投保义务的一方当事人支付。</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20.6.6 报告义务</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当保险事故发生时，投保人应按照保险单规定的条件和期限及时向保险人报告。</w:t>
      </w:r>
    </w:p>
    <w:p>
      <w:pPr>
        <w:pStyle w:val="6"/>
        <w:rPr>
          <w:rFonts w:hint="eastAsia" w:ascii="宋体" w:hAnsi="宋体" w:eastAsia="宋体" w:cs="宋体"/>
          <w:color w:val="auto"/>
          <w:sz w:val="24"/>
          <w:szCs w:val="24"/>
          <w:lang w:eastAsia="zh-CN"/>
        </w:rPr>
      </w:pPr>
      <w:bookmarkStart w:id="78" w:name="_Toc437355470"/>
      <w:bookmarkStart w:id="79" w:name="_Toc23750"/>
      <w:r>
        <w:rPr>
          <w:rFonts w:hint="eastAsia" w:ascii="宋体" w:hAnsi="宋体" w:eastAsia="宋体" w:cs="宋体"/>
          <w:color w:val="auto"/>
          <w:sz w:val="24"/>
          <w:szCs w:val="24"/>
          <w:lang w:eastAsia="zh-CN"/>
        </w:rPr>
        <w:t>21. 不可抗力</w:t>
      </w:r>
      <w:bookmarkEnd w:id="78"/>
      <w:bookmarkEnd w:id="79"/>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21.1 不可抗力的确认</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21.1.1 不可抗力是指承包人和发包人在订立合同时不可预见，在工程施工过程中不可避免发生并不能克服的自然灾害和社会性突发事件，如地震、海啸、瘟疫、水灾、骚乱、暴动、战争和专用合同条款约定的其他情形。</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21.1.2 不可抗力发生后，发包人和承包人应及时认真统计所造成的损失，收集不可抗力造成损失的证据。合同双方对是否属于不可抗力或其损失的意见不一致的，由监理人按第3.5 款商定或确定。发生争议时，按第24 条的约定办理。</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21.2 不可抗力的通知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21.2.1 合同一方当事人遇到不可抗力事件，使其履行合同义务受到阻碍时，应立即通知合同另一方当事人和监理人，书面说明不可抗力和受阻碍的详细情况，并提供必要的证明。</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21.2.2 如不可抗力持续发生，合同一方当事人应及时向合同另一方当事人和监理人提交中间报告，说明不可抗力和履行合同受阻的情况，并于不可抗力事件结束后28 天内提交最终报告及有关资料。</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21.3 不可抗力后果及其处理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21.3.1 不可抗力造成损害的责任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除专用合同条款另有约定外，不可抗力导致的人员伤亡、财产损失、费用增加和（或）工期延误等后果，由合同双方按以下原则承担：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（1）永久工程，包括已运至施工场地的材料和工程设备的损害，以及因工程损害造成的第三者人员伤亡和财产损失由发包人承担；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（2）承包人设备的损坏由承包人承担；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（3）发包人和承包人各自承担其人员伤亡和其他财产损失及其相关费用；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（4）承包人的停工损失由承包人承担，但停工期间应监理人要求照管工程和清理、修复工程的金额由发包人承担；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（5）不能按期竣工的，应合理延长工期，承包人不需支付逾期竣工违约金。发包人要求赶工的，承包人应采取赶工措施，赶工费用由发包人承担。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21.3.2 延迟履行期间发生的不可抗力</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合同一方当事人延迟履行，在延迟履行期间发生不可抗力的，不免除其责任。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21.3.3 避免和减少不可抗力损失</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不可抗力发生后，发包人和承包人均应采取措施尽量避免和减少损失的扩大，任何一方没有采取有效措施导致损失扩大的，应对扩大的损失承担责任。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21.3.4 因不可抗力解除合同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合同一方当事人因不可抗力不能履行合同的，应当及时通知对方解除合同。合同解除后，承包人应按照第22.2.5 项约定撤离施工场地。已经订货的材料、设备由订货方负责退货或解除订货合同，不能退还的货款和因退货、解除订货合同发生的费用，由发包人承担，因未及时退货造成的损失由责任方承担。合同解除后的付款，参照第22.2.4 项约定，由监理人按第3.5 款商定或确定。</w:t>
      </w:r>
    </w:p>
    <w:p>
      <w:pPr>
        <w:pStyle w:val="6"/>
        <w:rPr>
          <w:rFonts w:hint="eastAsia" w:ascii="宋体" w:hAnsi="宋体" w:eastAsia="宋体" w:cs="宋体"/>
          <w:color w:val="auto"/>
          <w:sz w:val="24"/>
          <w:szCs w:val="24"/>
          <w:lang w:eastAsia="zh-CN"/>
        </w:rPr>
      </w:pPr>
      <w:bookmarkStart w:id="80" w:name="_Toc437355471"/>
      <w:bookmarkStart w:id="81" w:name="_Toc21362"/>
      <w:r>
        <w:rPr>
          <w:rFonts w:hint="eastAsia" w:ascii="宋体" w:hAnsi="宋体" w:eastAsia="宋体" w:cs="宋体"/>
          <w:color w:val="auto"/>
          <w:sz w:val="24"/>
          <w:szCs w:val="24"/>
          <w:lang w:eastAsia="zh-CN"/>
        </w:rPr>
        <w:t>22. 违约</w:t>
      </w:r>
      <w:bookmarkEnd w:id="80"/>
      <w:bookmarkEnd w:id="81"/>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22.1 承包人违约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22.1.1 承包人违约的情形</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在履行合同过程中发生的下列情况属承包人违约：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（1）承包人违反第1.8 款或第4.3 款的约定，私自将合同的全部或部分权利转让给其他人，或私自将合同的全部或部分义务转移给其他人；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（2）承包人违反第5.3 款或第6.4 款的约定，未经监理人批准，私自将已按合同约定进入施工场地的施工设备、临时设施或材料撤离施工场地；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（3）承包人违反第5.4 款的约定使用了不合格材料或工程设备，工程质量达不到标准要求，又拒绝清除不合格工程；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（4）承包人未能按合同进度计划及时完成合同约定的工作，已造成或预期造成工期延误；</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（5）承包人在缺陷责任期内，未能对工程接收证书所列的缺陷清单的内容或缺陷责任期内发生的缺陷进行修复，而又拒绝按监理人指示再进行修补；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（6）承包人无法继续履行或明确表示不履行或实质上已停止履行合同；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（7）承包人不按合同约定履行义务的其他情况。</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22.1.2 对承包人违约的处理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（1）承包人发生第22.1.1（6）目约定的违约情况时，发包人可通知承包人立即解除合同，并按有关法律处理。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（2）承包人发生除第22.1.1（6）目约定以外的其他违约情况时，监理人可向承包人发出整改通知，要求其在指定的期限内改正。承包人应承担其违约所引起的费用增加和（或）工期延误。</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（3）经检查证明承包人已采取了有效措施纠正违约行为，具备复工条件的，可由监理人签发复工通知复工。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22.1.3 承包人违约解除合同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监理人发出整改通知28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22.1.4 合同解除后的估价、付款和结清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（1）合同解除后，监理人按第3.5 款商定或确定承包人实际完成工作的价值，以及承包人已提供的材料、施工设备、工程设备和临时工程等的价值。</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（2）合同解除后，发包人应暂停对承包人的一切付款，查清各项付款和已扣款金额，包括承包人应支付的违约金。</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（3）合同解除后，发包人应按第23.4 款的约定向承包人索赔由于解除合同给发包人造成的损失。</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（4）合同双方确认上述往来款项后，出具最终结清付款证书，结清全部合同款项。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（5）发包人和承包人未能就解除合同后的结清达成一致而形成争议的，按第24 条的约定办理。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22.1.5 协议利益的转让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因承包人违约解除合同的，发包人有权要求承包人将其为实施合同而签订的材料和设备的订货协议或任何服务协议利益转让给发包人，并在解除合同后的14 天内，依法办理转让手续。</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22.1.6 紧急情况下无能力或不愿进行抢救</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22.2 发包人违约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22.2.1 发包人违约的情形</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在履行合同过程中发生的下列情形，属发包人违约：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（1）发包人未能按合同约定支付预付款或合同价款，或拖延、拒绝批准付款申请和支付凭证，导致付款延误的；</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（2）发包人原因造成停工的；</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（3）监理人无正当理由没有在约定期限内发出复工指示，导致承包人无法复工的；</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（4）发包人无法继续履行或明确表示不履行或实质上已停止履行合同的；</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（5）发包人不履行合同约定其他义务的。</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22.2.2 承包人有权暂停施工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发包人发生除第22.2.1（4）目以外的违约情况时，承包人可向发包人发出通知，要求发包人采取有效措施纠正违约行为。发包人收到承包人通知后的28 天内仍不履行合同义务，承包人有权暂停施工，并通知监理人，发包人应承担由此增加的费用和（或）工期延误，并支付承包人合理利润。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22.2.3 发包人违约解除合同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（1）发生第22.2.1（4）目的违约情况时，承包人可书面通知发包人解除合同。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（2）承包人按22.2.2 项暂停施工28 天后，发包人仍不纠正违约行为的，承包人可向发包人发出解除合同通知。但承包人的这一行动不免除发包人承担的违约责任，也不影响承包人根据合同约定享有的索赔权利。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22.2.4 解除合同后的付款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因发包人违约解除合同的，发包人应在解除合同后28 天内向承包人支付下列金额，承包人应在此期限内及时向发包人提交要求支付下列金额的有关资料和凭证：</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（1）合同解除日以前所完成工作的价款；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（2）承包人为该工程施工订购并已付款的材料、工程设备和其他物品的金额。发包人付还后，该材料、工程设备和其他物品归发包人所有；</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（3）承包人为完成工程所发生的，而发包人未支付的金额；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（4）承包人撤离施工场地以及遣散承包人人员的金额；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（5）由于解除合同应赔偿的承包人损失；</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（6）按合同约定在合同解除日前应支付给承包人的其他金额。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发包人应按本项约定支付上述金额并退还质量保证金和履约担保，但有权要求承包人支付应偿还给发包人的各项金额。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22.2.5 解除合同后的承包人撤离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22.3 第三人造成的违约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在履行合同过程中，一方当事人因第三人的原因造成违约的，应当向对方当事人承担违约责任。一方当事人和第三人之间的纠纷，依照法律规定或者按照约定解决。</w:t>
      </w:r>
    </w:p>
    <w:p>
      <w:pPr>
        <w:pStyle w:val="6"/>
        <w:rPr>
          <w:rFonts w:hint="eastAsia" w:ascii="宋体" w:hAnsi="宋体" w:eastAsia="宋体" w:cs="宋体"/>
          <w:color w:val="auto"/>
          <w:sz w:val="24"/>
          <w:szCs w:val="24"/>
          <w:lang w:eastAsia="zh-CN"/>
        </w:rPr>
      </w:pPr>
      <w:bookmarkStart w:id="82" w:name="_Toc15106"/>
      <w:bookmarkStart w:id="83" w:name="_Toc437355472"/>
      <w:r>
        <w:rPr>
          <w:rFonts w:hint="eastAsia" w:ascii="宋体" w:hAnsi="宋体" w:eastAsia="宋体" w:cs="宋体"/>
          <w:color w:val="auto"/>
          <w:sz w:val="24"/>
          <w:szCs w:val="24"/>
          <w:lang w:eastAsia="zh-CN"/>
        </w:rPr>
        <w:t>23. 索赔</w:t>
      </w:r>
      <w:bookmarkEnd w:id="82"/>
      <w:bookmarkEnd w:id="83"/>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23.1 承包人索赔的提出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根据合同约定，承包人认为有权得到追加付款和（或）延长工期的，应按以下程序向发包人提出索赔：</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（1）承包人应在知道或应当知道索赔事件发生后28 天内，向监理人递交索赔意向通知书，并说明发生索赔事件的事由。承包人未在前述28 天内发出索赔意向通知书的，丧失要求追加付款和（或）延长工期的权利；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（2）承包人应在发出索赔意向通知书后28 天内，向监理人正式递交索赔通知书。索赔通知书应详细说明索赔理由以及要求追加的付款金额和（或）延长的工期，并附必要的记录和证明材料；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（3）索赔事件具有连续影响的，承包人应按合理时间间隔继续递交延续索赔通知，说明连续影响的实际情况和记录，列出累计的追加付款金额和（或）工期延长天数；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（4）在索赔事件影响结束后的28 天内，承包人应向监理人递交最终索赔通知书，说明最终要求索赔的追加付款金额和延长的工期，并附必要的记录和证明材料。</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23.2 承包人索赔处理程序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（1）监理人收到承包人提交的索赔通知书后，应及时审查索赔通知书的内容、查验承包人的记录和证明材料，必要时监理人可要求承包人提交全部原始记录副本。</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（2）监理人应按第3.5 款商定或确定追加的付款和（或）延长的工期，并在收到上述索赔通知书或有关索赔的进一步证明材料后的42 天内，将索赔处理结果答复承包人。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（3）承包人接受索赔处理结果的，发包人应在作出索赔处理结果答复后28 天内完成赔付。承包人不接受索赔处理结果的，按第24 条的约定办理。</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23.3 承包人提出索赔的期限</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23.3.1 承包人按第17.5 款的约定接受了竣工付款证书后，应被认为已无权再提出在合同工程接收证书颁发前所发生的任何索赔。</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23.3.2 承包人按第17.6 款的约定提交的最终结清申请单中，只限于提出工程接收证书颁发后发生的索赔。提出索赔的期限自接受最终结清证书时终止。</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23.4 发包人的索赔</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23.4.1 发生索赔事件后，监理人应及时书面通知承包人，详细说明发包人有权得到的索赔金额和（或）延长缺陷责任期的细节和依据。发包人提出索赔的期限和要求与第23.3 款的约定相同，延长缺陷责任期的通知应在缺陷责任期届满前发出。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23.4.2 监理人按第3.5 款商定或确定发包人从承包人处得到赔付的金额和（或）缺陷责任期的延长期。承包人应付给发包人的金额可从拟支付给承包人的合同价款中扣除，或由承包人以其他方式支付给发包人。</w:t>
      </w:r>
    </w:p>
    <w:p>
      <w:pPr>
        <w:pStyle w:val="6"/>
        <w:rPr>
          <w:rFonts w:hint="eastAsia" w:ascii="宋体" w:hAnsi="宋体" w:eastAsia="宋体" w:cs="宋体"/>
          <w:color w:val="auto"/>
          <w:sz w:val="24"/>
          <w:szCs w:val="24"/>
          <w:lang w:eastAsia="zh-CN"/>
        </w:rPr>
      </w:pPr>
      <w:bookmarkStart w:id="84" w:name="_Toc15688"/>
      <w:bookmarkStart w:id="85" w:name="_Toc437355473"/>
      <w:r>
        <w:rPr>
          <w:rFonts w:hint="eastAsia" w:ascii="宋体" w:hAnsi="宋体" w:eastAsia="宋体" w:cs="宋体"/>
          <w:color w:val="auto"/>
          <w:sz w:val="24"/>
          <w:szCs w:val="24"/>
          <w:lang w:eastAsia="zh-CN"/>
        </w:rPr>
        <w:t>24. 争议的解决</w:t>
      </w:r>
      <w:bookmarkEnd w:id="84"/>
      <w:bookmarkEnd w:id="85"/>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24.1 争议的解决方式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（1）向约定的仲裁委员会申请仲裁；</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（2）向有管辖权的人民法院提起诉讼。</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24.2 友好解决</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在提请争议评审、仲裁或者诉讼前，以及在争议评审、仲裁或诉讼过程中，发包人和承包人均可共同努力友好协商解决争议。</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 争议评审</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24.3.1 采用争议评审的，发包人和承包人应在开工日后的28 天内或在争议发生后，协商成立争议评审组。争议评审组由有合同管理和工程实践经验的专家组成。</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24.3.2 合同双方的争议，应首先由申请人向争议评审组提交一份详细的评审申请报告，并附必要的文件、图纸和证明材料，申请人还应将上述报告的副本同时提交给被申请人和监理人。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24.3.3 被申请人在收到申请人评审申请报告副本后的28 天内，向争议评审组提交一份答辩报告，并附证明材料。被申请人应将答辩报告的副本同时提交给申请人和监理人。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24.3.4 除专用合同条款另有约定外，争议评审组在收到合同双方报告后的14 天内，邀请双方代表和有关人员举行调查会，向双方调查争议细节；必要时争议评审组可要求双方进一步提供补充材料。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24.3.5 除专用合同条款另有约定外，在调查会结束后的14 天内，争议评审组应在不受任何干扰的情况下进行独立、公正的评审，作出书面评审意见，并说明理由。在争议评审期间，争议双方暂按总监理工程师的确定执行。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24.3.6 发包人和承包人接受评审意见的，由监理人根据评审意见拟定执行协议，经争议双方签字后作为合同的补充文件，并遵照执行。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24.3.7 发包人或承包人不接受评审意见，并要求提交仲裁或提起诉讼的，应在收到评审意见后的14 天内将仲裁或起诉意向书面通知另一方，并抄送监理人，但在仲裁或诉讼结束前应暂按总监理工程师的确定执行。</w:t>
      </w:r>
    </w:p>
    <w:p>
      <w:pPr>
        <w:pStyle w:val="5"/>
        <w:spacing w:before="120" w:after="120"/>
        <w:jc w:val="center"/>
        <w:rPr>
          <w:rFonts w:hint="eastAsia" w:ascii="宋体" w:hAnsi="宋体" w:eastAsia="宋体" w:cs="宋体"/>
          <w:i w:val="0"/>
          <w:color w:val="auto"/>
          <w:sz w:val="24"/>
          <w:szCs w:val="24"/>
          <w:lang w:eastAsia="zh-CN"/>
        </w:rPr>
      </w:pPr>
      <w:bookmarkStart w:id="86" w:name="_Toc437355474"/>
      <w:bookmarkStart w:id="87" w:name="_Toc199151991"/>
      <w:bookmarkStart w:id="88" w:name="_Toc179632782"/>
      <w:bookmarkStart w:id="89" w:name="_Toc152042543"/>
      <w:bookmarkStart w:id="90" w:name="_Toc152045764"/>
      <w:bookmarkStart w:id="91" w:name="_Toc144974734"/>
      <w:r>
        <w:rPr>
          <w:rFonts w:hint="eastAsia" w:ascii="宋体" w:hAnsi="宋体" w:eastAsia="宋体" w:cs="宋体"/>
          <w:b w:val="0"/>
          <w:bCs w:val="0"/>
          <w:i w:val="0"/>
          <w:iCs w:val="0"/>
          <w:color w:val="auto"/>
          <w:sz w:val="24"/>
          <w:szCs w:val="24"/>
          <w:lang w:eastAsia="zh-CN"/>
        </w:rPr>
        <w:br w:type="page"/>
      </w:r>
      <w:bookmarkStart w:id="92" w:name="_Toc8814"/>
      <w:bookmarkStart w:id="93" w:name="_Toc30853"/>
      <w:r>
        <w:rPr>
          <w:rFonts w:hint="eastAsia" w:ascii="宋体" w:hAnsi="宋体" w:eastAsia="宋体" w:cs="宋体"/>
          <w:b/>
          <w:bCs/>
          <w:i w:val="0"/>
          <w:iCs w:val="0"/>
          <w:color w:val="auto"/>
          <w:sz w:val="24"/>
          <w:szCs w:val="24"/>
          <w:lang w:eastAsia="zh-CN"/>
        </w:rPr>
        <w:t>第二节</w:t>
      </w:r>
      <w:r>
        <w:rPr>
          <w:rFonts w:hint="eastAsia" w:ascii="宋体" w:hAnsi="宋体" w:eastAsia="宋体" w:cs="宋体"/>
          <w:b/>
          <w:bCs/>
          <w:i w:val="0"/>
          <w:iCs w:val="0"/>
          <w:color w:val="auto"/>
          <w:sz w:val="24"/>
          <w:szCs w:val="24"/>
          <w:lang w:val="en-US" w:eastAsia="zh-CN"/>
        </w:rPr>
        <w:t xml:space="preserve"> </w:t>
      </w:r>
      <w:r>
        <w:rPr>
          <w:rFonts w:hint="eastAsia" w:ascii="宋体" w:hAnsi="宋体" w:eastAsia="宋体" w:cs="宋体"/>
          <w:i w:val="0"/>
          <w:color w:val="auto"/>
          <w:sz w:val="24"/>
          <w:szCs w:val="24"/>
          <w:lang w:eastAsia="zh-CN"/>
        </w:rPr>
        <w:t>专用合同条款</w:t>
      </w:r>
      <w:bookmarkEnd w:id="86"/>
      <w:bookmarkEnd w:id="87"/>
      <w:bookmarkEnd w:id="92"/>
      <w:bookmarkEnd w:id="93"/>
    </w:p>
    <w:p>
      <w:pPr>
        <w:pStyle w:val="6"/>
        <w:rPr>
          <w:rFonts w:hint="eastAsia" w:ascii="宋体" w:hAnsi="宋体" w:eastAsia="宋体" w:cs="宋体"/>
          <w:color w:val="auto"/>
          <w:sz w:val="24"/>
          <w:szCs w:val="24"/>
          <w:lang w:eastAsia="zh-CN"/>
        </w:rPr>
      </w:pPr>
      <w:bookmarkStart w:id="94" w:name="_Toc199151992"/>
      <w:bookmarkStart w:id="95" w:name="_Toc31192"/>
      <w:bookmarkStart w:id="96" w:name="_Toc437355475"/>
      <w:r>
        <w:rPr>
          <w:rFonts w:hint="eastAsia" w:ascii="宋体" w:hAnsi="宋体" w:eastAsia="宋体" w:cs="宋体"/>
          <w:color w:val="auto"/>
          <w:sz w:val="24"/>
          <w:szCs w:val="24"/>
          <w:lang w:eastAsia="zh-CN"/>
        </w:rPr>
        <w:t>1. 一般约定</w:t>
      </w:r>
      <w:bookmarkEnd w:id="94"/>
      <w:bookmarkEnd w:id="95"/>
      <w:bookmarkEnd w:id="96"/>
    </w:p>
    <w:p>
      <w:pPr>
        <w:pStyle w:val="7"/>
        <w:rPr>
          <w:rFonts w:hint="eastAsia" w:ascii="宋体" w:hAnsi="宋体" w:eastAsia="宋体" w:cs="宋体"/>
          <w:color w:val="auto"/>
          <w:sz w:val="24"/>
          <w:szCs w:val="24"/>
          <w:lang w:eastAsia="zh-CN"/>
        </w:rPr>
      </w:pPr>
      <w:bookmarkStart w:id="97" w:name="_Toc144974580"/>
      <w:bookmarkStart w:id="98" w:name="_Toc152045612"/>
      <w:bookmarkStart w:id="99" w:name="_Toc179632630"/>
      <w:bookmarkStart w:id="100" w:name="_Toc152042390"/>
      <w:bookmarkStart w:id="101" w:name="_Toc199151993"/>
      <w:r>
        <w:rPr>
          <w:rFonts w:hint="eastAsia" w:ascii="宋体" w:hAnsi="宋体" w:eastAsia="宋体" w:cs="宋体"/>
          <w:color w:val="auto"/>
          <w:sz w:val="24"/>
          <w:szCs w:val="24"/>
          <w:lang w:eastAsia="zh-CN"/>
        </w:rPr>
        <w:t>1.1 词语定义</w:t>
      </w:r>
      <w:bookmarkEnd w:id="97"/>
      <w:bookmarkEnd w:id="98"/>
      <w:bookmarkEnd w:id="99"/>
      <w:bookmarkEnd w:id="100"/>
      <w:bookmarkEnd w:id="101"/>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1.1.2合同当事人和人员</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1.1.2.2发包人：</w:t>
      </w:r>
      <w:r>
        <w:rPr>
          <w:rFonts w:hint="eastAsia" w:ascii="宋体" w:hAnsi="宋体" w:eastAsia="宋体" w:cs="宋体"/>
          <w:color w:val="auto"/>
          <w:sz w:val="24"/>
          <w:szCs w:val="24"/>
          <w:u w:val="single"/>
          <w:lang w:eastAsia="zh-CN"/>
        </w:rPr>
        <w:t xml:space="preserve">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1.1.2.6监理人：</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1.1.2.8发包人代表：指发包人指定的派驻施工场地的全权代表。</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姓    名：</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职    称：</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联系电话：</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电子信箱：</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通信地址：</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1.1.2.9专业分包人：指根据合同条款第15.8.1款的约定，由发包人和承包人以共同招标方式选择的分包人。</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1.1.2.10专项供应商：指根据合同条款第15.8.1款的约定，由发包人和承包人以共同招标方式选择的供应商。</w:t>
      </w:r>
    </w:p>
    <w:p>
      <w:pPr>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1.1.2.11独立承包人：指与发包人直接订立工程承包合同，负责实施与工程有关的其他工作的当事人。</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1.1.3工程和设备</w:t>
      </w:r>
    </w:p>
    <w:p>
      <w:pPr>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1.1.3.2永久工程：</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1.1.3.3临时工程：</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1.1.3.4单位工程：指具有相对独立的设计文件，能够独立组织施工并能形成独立使用功能的永久工程的组成部分。</w:t>
      </w:r>
    </w:p>
    <w:p>
      <w:pPr>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1.1.3.10永久占地：</w:t>
      </w:r>
      <w:r>
        <w:rPr>
          <w:rFonts w:hint="eastAsia" w:ascii="宋体" w:hAnsi="宋体" w:eastAsia="宋体" w:cs="宋体"/>
          <w:color w:val="auto"/>
          <w:sz w:val="24"/>
          <w:szCs w:val="24"/>
          <w:u w:val="single"/>
          <w:lang w:eastAsia="zh-CN"/>
        </w:rPr>
        <w:t>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1.1.3.11临时占地：</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1.1.4日期</w:t>
      </w:r>
    </w:p>
    <w:p>
      <w:pPr>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1.1.4.5缺陷责任期期限：</w:t>
      </w:r>
      <w:r>
        <w:rPr>
          <w:rFonts w:hint="eastAsia" w:ascii="宋体" w:hAnsi="宋体" w:eastAsia="宋体" w:cs="宋体"/>
          <w:color w:val="auto"/>
          <w:sz w:val="24"/>
          <w:szCs w:val="24"/>
          <w:u w:val="single"/>
          <w:lang w:eastAsia="zh-CN"/>
        </w:rPr>
        <w:t xml:space="preserve">同《通用条款》   </w:t>
      </w:r>
      <w:r>
        <w:rPr>
          <w:rFonts w:hint="eastAsia" w:ascii="宋体" w:hAnsi="宋体" w:eastAsia="宋体" w:cs="宋体"/>
          <w:color w:val="auto"/>
          <w:sz w:val="24"/>
          <w:szCs w:val="24"/>
          <w:lang w:eastAsia="zh-CN"/>
        </w:rPr>
        <w:t>月。</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1.1.4.8保修期：是根据现行有关法律规定，在合同条款第19.7款中约定的由承包人负责对合同约定的保修范围内发生的质量问题履行保修义务并对造成的损失承担赔偿责任的期限。</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1.1.6其他</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1.1.6.2材料：指构成或将构成永久工程组成部分的各类物品(工程设备除外)，包括合同中可能约定的承包人只负责供应的材料。</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1.1.6.3争议评议组：是由发包人和承包人共同聘请的或者委托社会公信机构推荐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接受聘请的争议评审专家应当分别与发包人和承包人签订聘用协议。</w:t>
      </w:r>
    </w:p>
    <w:p>
      <w:pPr>
        <w:pStyle w:val="9"/>
        <w:spacing w:after="190" w:afterLines="50"/>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1.1.6.4 除另有特别指明外，专用合同条款中使用的措辞“合同条款”指通用合同条款和专用合同条款两者的组合。</w:t>
      </w:r>
    </w:p>
    <w:p>
      <w:pPr>
        <w:pStyle w:val="7"/>
        <w:rPr>
          <w:rFonts w:hint="eastAsia" w:ascii="宋体" w:hAnsi="宋体" w:eastAsia="宋体" w:cs="宋体"/>
          <w:color w:val="auto"/>
          <w:sz w:val="24"/>
          <w:szCs w:val="24"/>
          <w:lang w:eastAsia="zh-CN"/>
        </w:rPr>
      </w:pPr>
      <w:bookmarkStart w:id="102" w:name="_Toc144974583"/>
      <w:bookmarkStart w:id="103" w:name="_Toc199151994"/>
      <w:bookmarkStart w:id="104" w:name="_Toc179632633"/>
      <w:bookmarkStart w:id="105" w:name="_Toc152045615"/>
      <w:bookmarkStart w:id="106" w:name="_Toc152042393"/>
      <w:r>
        <w:rPr>
          <w:rFonts w:hint="eastAsia" w:ascii="宋体" w:hAnsi="宋体" w:eastAsia="宋体" w:cs="宋体"/>
          <w:color w:val="auto"/>
          <w:sz w:val="24"/>
          <w:szCs w:val="24"/>
          <w:lang w:eastAsia="zh-CN"/>
        </w:rPr>
        <w:t>1.4 合同文件的优先顺序</w:t>
      </w:r>
      <w:bookmarkEnd w:id="102"/>
      <w:bookmarkEnd w:id="103"/>
      <w:bookmarkEnd w:id="104"/>
      <w:bookmarkEnd w:id="105"/>
      <w:bookmarkEnd w:id="106"/>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合同文件的优先解释顺序如下：</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（1）合同协议书；</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（2）中标通知书；</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（3）投标函及投标函附录；</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（4）专用合同条款；</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（5）通用合同条款；</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（6）技术标准和要求；</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（7）图纸；</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（8）已标价工程量清单；</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（9）组成合同文件的其他文件：</w:t>
      </w:r>
      <w:r>
        <w:rPr>
          <w:rFonts w:hint="eastAsia" w:ascii="宋体" w:hAnsi="宋体" w:eastAsia="宋体" w:cs="宋体"/>
          <w:color w:val="auto"/>
          <w:sz w:val="24"/>
          <w:szCs w:val="24"/>
          <w:u w:val="single"/>
          <w:lang w:eastAsia="zh-CN"/>
        </w:rPr>
        <w:t>　投标文件、招标文件等</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如果图纸与技术标准和要求之间有矛盾或者不一致，以其中要求较严格的标准为准。专用合同条款中没有约定的但在“技术标准和要求”第一节“一般要求”中有约定的内容，具有与专用合同条款的同等的优先解释顺序，但其中与通用合同条款和专用合同条款约定内容有抵触的对合同双方不具合同约束力。</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双方在合同订立和履行过程中签订的其他文件亦构成合同文件的组成部分，其解释顺序视其内容与其他合同文件的相互关系而定，但是任何补充或者修改性质的文件均不能与上述合同文件有实质性内容的矛盾或者不一致，否则为无效补充或者修改，对合同双方均不具合同约束力。</w:t>
      </w:r>
    </w:p>
    <w:p>
      <w:pPr>
        <w:pStyle w:val="7"/>
        <w:rPr>
          <w:rFonts w:hint="eastAsia" w:ascii="宋体" w:hAnsi="宋体" w:eastAsia="宋体" w:cs="宋体"/>
          <w:color w:val="auto"/>
          <w:sz w:val="24"/>
          <w:szCs w:val="24"/>
          <w:lang w:eastAsia="zh-CN"/>
        </w:rPr>
      </w:pPr>
      <w:bookmarkStart w:id="107" w:name="_Toc199151995"/>
      <w:bookmarkStart w:id="108" w:name="_Toc152045616"/>
      <w:bookmarkStart w:id="109" w:name="_Toc144974584"/>
      <w:bookmarkStart w:id="110" w:name="_Toc152042394"/>
      <w:bookmarkStart w:id="111" w:name="_Toc179632634"/>
      <w:r>
        <w:rPr>
          <w:rFonts w:hint="eastAsia" w:ascii="宋体" w:hAnsi="宋体" w:eastAsia="宋体" w:cs="宋体"/>
          <w:color w:val="auto"/>
          <w:sz w:val="24"/>
          <w:szCs w:val="24"/>
          <w:lang w:eastAsia="zh-CN"/>
        </w:rPr>
        <w:t>1.5 合同协议书</w:t>
      </w:r>
      <w:bookmarkEnd w:id="107"/>
      <w:bookmarkEnd w:id="108"/>
      <w:bookmarkEnd w:id="109"/>
      <w:bookmarkEnd w:id="110"/>
      <w:bookmarkEnd w:id="111"/>
    </w:p>
    <w:p>
      <w:pPr>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合同生效的条件：</w:t>
      </w:r>
      <w:r>
        <w:rPr>
          <w:rFonts w:hint="eastAsia" w:ascii="宋体" w:hAnsi="宋体" w:eastAsia="宋体" w:cs="宋体"/>
          <w:color w:val="auto"/>
          <w:sz w:val="24"/>
          <w:szCs w:val="24"/>
          <w:u w:val="single"/>
          <w:lang w:eastAsia="zh-CN"/>
        </w:rPr>
        <w:t>　　签字盖章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112" w:name="_Toc144974585"/>
      <w:bookmarkStart w:id="113" w:name="_Toc152045617"/>
      <w:bookmarkStart w:id="114" w:name="_Toc179632635"/>
      <w:bookmarkStart w:id="115" w:name="_Toc199151996"/>
      <w:bookmarkStart w:id="116" w:name="_Toc152042395"/>
      <w:r>
        <w:rPr>
          <w:rFonts w:hint="eastAsia" w:ascii="宋体" w:hAnsi="宋体" w:eastAsia="宋体" w:cs="宋体"/>
          <w:color w:val="auto"/>
          <w:sz w:val="24"/>
          <w:szCs w:val="24"/>
          <w:lang w:eastAsia="zh-CN"/>
        </w:rPr>
        <w:t>1.6 图纸和承包人文件</w:t>
      </w:r>
      <w:bookmarkEnd w:id="112"/>
      <w:bookmarkEnd w:id="113"/>
      <w:bookmarkEnd w:id="114"/>
      <w:bookmarkEnd w:id="115"/>
      <w:bookmarkEnd w:id="116"/>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1.6.1图纸的提供</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（1）发包人按照合同条款本项的约定向承包人提供图纸。承包人需要增加图纸套数的，发包人应代为复制，复制费用由承包人承担。</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 在监理人批准合同条款第10.1款约定的合同进度计划或者合同条款10.2款约定的合同进度计划修改后7天内,承包人应当根据合同进度计划和本项约定的图纸提供期限和数量，编制或者修改图纸供应计划并报送监理人，其中应当载明承包人对各区段最新版本图纸(包括合同条款第1.6.3项约定的图纸修改图)的最迟需求时间，监理人应当在收到图纸供应计划后7天内批复或提出修改意见，否则该图纸供应计划视为得到批准。经监理人批准的最新的图纸供应计划对合同双方有合同约束力，作为发包人或者监理人向承包人提供图纸的主要依据。发包人或者监理人不按照图纸供应计划提供图纸给承包人造成的损失和（或）延误的工期由发包人承担。承包人不按图纸供应计划组织施工所造成的损失和（或）延误的工期由承包人承担。</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（3）发包人提供图纸的期限：</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（4）发包人提供图纸的数量：</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1.6.2 承包人提供的文件</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（1）除专用合同条款第4.1.10(1)目约定的由承包人提供的设计文件外，本项约定的其他应由承包人提供的文件，包括必要的加工图和大样图，均不是合同计量与支付的依据文件。由承包人提供的文件范围：</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（2）承包人提供文件的期限：</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（3）承包人提供文件的数量：</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（4）监理人批复承包人提供文件的期限：</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（5）其他约定：</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1.6.3 图纸的修改</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监理人应当按照合同条款第1.6.1（2）目约定的有合同约束力的图纸供应计划，签发图纸修改图给承包人。</w:t>
      </w:r>
    </w:p>
    <w:p>
      <w:pPr>
        <w:pStyle w:val="7"/>
        <w:rPr>
          <w:rFonts w:hint="eastAsia" w:ascii="宋体" w:hAnsi="宋体" w:eastAsia="宋体" w:cs="宋体"/>
          <w:color w:val="auto"/>
          <w:sz w:val="24"/>
          <w:szCs w:val="24"/>
          <w:lang w:eastAsia="zh-CN"/>
        </w:rPr>
      </w:pPr>
      <w:bookmarkStart w:id="117" w:name="_Toc152045618"/>
      <w:bookmarkStart w:id="118" w:name="_Toc179632636"/>
      <w:bookmarkStart w:id="119" w:name="_Toc199151997"/>
      <w:bookmarkStart w:id="120" w:name="_Toc152042396"/>
      <w:bookmarkStart w:id="121" w:name="_Toc144974586"/>
      <w:r>
        <w:rPr>
          <w:rFonts w:hint="eastAsia" w:ascii="宋体" w:hAnsi="宋体" w:eastAsia="宋体" w:cs="宋体"/>
          <w:color w:val="auto"/>
          <w:sz w:val="24"/>
          <w:szCs w:val="24"/>
          <w:lang w:eastAsia="zh-CN"/>
        </w:rPr>
        <w:t>1.7 联络</w:t>
      </w:r>
      <w:bookmarkEnd w:id="117"/>
      <w:bookmarkEnd w:id="118"/>
      <w:bookmarkEnd w:id="119"/>
      <w:bookmarkEnd w:id="120"/>
      <w:bookmarkEnd w:id="121"/>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1.7.2联络来往函件的送达和接收</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（1）联络来往信函的送达期限：合同约定了发出期限的，送达期间为合同约定的发出期限后的24小时内；合同约定了通知、提供或者报送期限的，通知、提供或者报送期间即为送达期间。</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（2）发包人指定的接收地点：</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（3）发包人指定的接收人为：</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（4）监理人指定的接收地点：</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（5）监理人指定的接收人为：</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承包人指定的接收人为合同协议书中载明的承包人项目经理本人或者项目经理的授权代表。承包人应在收到开工通知后7天内，按照合同条款第4.5.4项的约定，将授权代表其接收来往信函的授权代表姓名和授权范围通知监理人。除合同另有约定外，承包人施工场地管理机构的办公地点即为承包人指定的接收地点。</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发包人（包括监理人）和承包人中任何一方指定的接收人或者接收地点发生变动，应当在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发包人（包括监理人）和承包人中任何一方均应当及时签收另一方送达其指定接收地点的来往信函，同一来往信函拒不签收达三次的，送达信函的一方可以采用挂号或者公证方式送达，所造成的损失（包括被迫采用特殊送达方式所发生的费用）和（或）延误的工期由拒绝签收一方承担。</w:t>
      </w:r>
    </w:p>
    <w:p>
      <w:pPr>
        <w:pStyle w:val="6"/>
        <w:rPr>
          <w:rFonts w:hint="eastAsia" w:ascii="宋体" w:hAnsi="宋体" w:eastAsia="宋体" w:cs="宋体"/>
          <w:color w:val="auto"/>
          <w:sz w:val="24"/>
          <w:szCs w:val="24"/>
          <w:lang w:eastAsia="zh-CN"/>
        </w:rPr>
      </w:pPr>
      <w:bookmarkStart w:id="122" w:name="_Toc152042402"/>
      <w:bookmarkStart w:id="123" w:name="_Toc179632642"/>
      <w:bookmarkStart w:id="124" w:name="_Toc12592"/>
      <w:bookmarkStart w:id="125" w:name="_Toc152045624"/>
      <w:bookmarkStart w:id="126" w:name="_Toc199151998"/>
      <w:bookmarkStart w:id="127" w:name="_Toc437355476"/>
      <w:bookmarkStart w:id="128" w:name="_Toc144974592"/>
      <w:r>
        <w:rPr>
          <w:rFonts w:hint="eastAsia" w:ascii="宋体" w:hAnsi="宋体" w:eastAsia="宋体" w:cs="宋体"/>
          <w:color w:val="auto"/>
          <w:sz w:val="24"/>
          <w:szCs w:val="24"/>
          <w:lang w:eastAsia="zh-CN"/>
        </w:rPr>
        <w:t>2. 发包人义务</w:t>
      </w:r>
      <w:bookmarkEnd w:id="122"/>
      <w:bookmarkEnd w:id="123"/>
      <w:bookmarkEnd w:id="124"/>
      <w:bookmarkEnd w:id="125"/>
      <w:bookmarkEnd w:id="126"/>
      <w:bookmarkEnd w:id="127"/>
      <w:bookmarkEnd w:id="128"/>
    </w:p>
    <w:p>
      <w:pPr>
        <w:pStyle w:val="7"/>
        <w:rPr>
          <w:rFonts w:hint="eastAsia" w:ascii="宋体" w:hAnsi="宋体" w:eastAsia="宋体" w:cs="宋体"/>
          <w:color w:val="auto"/>
          <w:sz w:val="24"/>
          <w:szCs w:val="24"/>
          <w:lang w:eastAsia="zh-CN"/>
        </w:rPr>
      </w:pPr>
      <w:bookmarkStart w:id="129" w:name="_Toc152045627"/>
      <w:bookmarkStart w:id="130" w:name="_Toc179632645"/>
      <w:bookmarkStart w:id="131" w:name="_Toc152042405"/>
      <w:bookmarkStart w:id="132" w:name="_Toc199151999"/>
      <w:bookmarkStart w:id="133" w:name="_Toc144974595"/>
      <w:r>
        <w:rPr>
          <w:rFonts w:hint="eastAsia" w:ascii="宋体" w:hAnsi="宋体" w:eastAsia="宋体" w:cs="宋体"/>
          <w:color w:val="auto"/>
          <w:sz w:val="24"/>
          <w:szCs w:val="24"/>
          <w:lang w:eastAsia="zh-CN"/>
        </w:rPr>
        <w:t>2.3 提供施工场地</w:t>
      </w:r>
      <w:bookmarkEnd w:id="129"/>
      <w:bookmarkEnd w:id="130"/>
      <w:bookmarkEnd w:id="131"/>
      <w:bookmarkEnd w:id="132"/>
      <w:bookmarkEnd w:id="133"/>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（1）施工场地具备施工条件的要求及完成的时间：</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（2）将施工所需的水、电、电讯等管线接至施工场地的时间、地点和供应要求：</w:t>
      </w:r>
    </w:p>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（3）施工场地与公共道路之间通道的开通时间和要求：</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（4）工程地质、地下管线和地下设施等资料的提供时间：</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（5）协助处理施工场地周围地下管线和邻近建筑物、构筑物（含文物保护建筑）、古树名木的保护工作，并承担相关费用：</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bookmarkStart w:id="134" w:name="_Toc152045628"/>
      <w:bookmarkStart w:id="135" w:name="_Toc179632646"/>
      <w:bookmarkStart w:id="136" w:name="_Toc152042406"/>
      <w:bookmarkStart w:id="137" w:name="_Toc144974596"/>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（6）在专用合同条款第8.1.1项约定的期限内通过监理人向承包人提供测量基准点、基准线和水准点及其书面资料。</w:t>
      </w:r>
    </w:p>
    <w:bookmarkEnd w:id="134"/>
    <w:bookmarkEnd w:id="135"/>
    <w:bookmarkEnd w:id="136"/>
    <w:bookmarkEnd w:id="137"/>
    <w:p>
      <w:pPr>
        <w:pStyle w:val="7"/>
        <w:rPr>
          <w:rFonts w:hint="eastAsia" w:ascii="宋体" w:hAnsi="宋体" w:eastAsia="宋体" w:cs="宋体"/>
          <w:color w:val="auto"/>
          <w:sz w:val="24"/>
          <w:szCs w:val="24"/>
          <w:lang w:eastAsia="zh-CN"/>
        </w:rPr>
      </w:pPr>
      <w:bookmarkStart w:id="138" w:name="_Toc199152000"/>
      <w:bookmarkStart w:id="139" w:name="_Toc152045629"/>
      <w:bookmarkStart w:id="140" w:name="_Toc179632647"/>
      <w:bookmarkStart w:id="141" w:name="_Toc144974597"/>
      <w:bookmarkStart w:id="142" w:name="_Toc152042407"/>
      <w:r>
        <w:rPr>
          <w:rFonts w:hint="eastAsia" w:ascii="宋体" w:hAnsi="宋体" w:eastAsia="宋体" w:cs="宋体"/>
          <w:color w:val="auto"/>
          <w:sz w:val="24"/>
          <w:szCs w:val="24"/>
          <w:lang w:eastAsia="zh-CN"/>
        </w:rPr>
        <w:t>2.5 组织设计交底</w:t>
      </w:r>
      <w:bookmarkEnd w:id="138"/>
      <w:bookmarkEnd w:id="139"/>
      <w:bookmarkEnd w:id="140"/>
      <w:bookmarkEnd w:id="141"/>
      <w:bookmarkEnd w:id="142"/>
    </w:p>
    <w:p>
      <w:pPr>
        <w:ind w:firstLine="480" w:firstLineChars="200"/>
        <w:rPr>
          <w:rFonts w:hint="eastAsia" w:ascii="宋体" w:hAnsi="宋体" w:eastAsia="宋体" w:cs="宋体"/>
          <w:color w:val="auto"/>
          <w:sz w:val="24"/>
          <w:szCs w:val="24"/>
          <w:lang w:eastAsia="zh-CN"/>
        </w:rPr>
      </w:pPr>
      <w:bookmarkStart w:id="143" w:name="_Toc152042408"/>
      <w:bookmarkStart w:id="144" w:name="_Toc152045630"/>
      <w:bookmarkStart w:id="145" w:name="_Toc179632648"/>
      <w:bookmarkStart w:id="146" w:name="_Toc144974598"/>
      <w:r>
        <w:rPr>
          <w:rFonts w:hint="eastAsia" w:ascii="宋体" w:hAnsi="宋体" w:eastAsia="宋体" w:cs="宋体"/>
          <w:color w:val="auto"/>
          <w:sz w:val="24"/>
          <w:szCs w:val="24"/>
          <w:lang w:eastAsia="zh-CN"/>
        </w:rPr>
        <w:t>发包人应当在合同条款11.1.1项约定的开工日期前组织设计单位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bookmarkEnd w:id="143"/>
    <w:bookmarkEnd w:id="144"/>
    <w:bookmarkEnd w:id="145"/>
    <w:bookmarkEnd w:id="146"/>
    <w:p>
      <w:pPr>
        <w:pStyle w:val="7"/>
        <w:rPr>
          <w:rFonts w:hint="eastAsia" w:ascii="宋体" w:hAnsi="宋体" w:eastAsia="宋体" w:cs="宋体"/>
          <w:color w:val="auto"/>
          <w:sz w:val="24"/>
          <w:szCs w:val="24"/>
          <w:lang w:eastAsia="zh-CN"/>
        </w:rPr>
      </w:pPr>
      <w:bookmarkStart w:id="147" w:name="_Toc144974600"/>
      <w:bookmarkStart w:id="148" w:name="_Toc152042410"/>
      <w:bookmarkStart w:id="149" w:name="_Toc199152001"/>
      <w:bookmarkStart w:id="150" w:name="_Toc179632650"/>
      <w:bookmarkStart w:id="151" w:name="_Toc152045632"/>
      <w:r>
        <w:rPr>
          <w:rFonts w:hint="eastAsia" w:ascii="宋体" w:hAnsi="宋体" w:eastAsia="宋体" w:cs="宋体"/>
          <w:color w:val="auto"/>
          <w:sz w:val="24"/>
          <w:szCs w:val="24"/>
          <w:lang w:eastAsia="zh-CN"/>
        </w:rPr>
        <w:t>2.8 其他义务</w:t>
      </w:r>
      <w:bookmarkEnd w:id="147"/>
      <w:bookmarkEnd w:id="148"/>
      <w:bookmarkEnd w:id="149"/>
      <w:bookmarkEnd w:id="150"/>
      <w:bookmarkEnd w:id="151"/>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（1）按有关规定及时办理工程质量监督手续。</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（2）根据建设行政主管部门和（或）城市建设档案管理机构的规定，收集、整理、立卷、归档工程资料，并按规定时间向建设行政主管部门或者城市建设档案管理机构移交规定的工程档案。</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批准和确认：按合同约定应当由监理人或者发包人回复、批复、批准、确认或提出修改意见的承包人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（4）发包人应履行合同约定的其他义务以及下述义务：</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pStyle w:val="6"/>
        <w:rPr>
          <w:rFonts w:hint="eastAsia" w:ascii="宋体" w:hAnsi="宋体" w:eastAsia="宋体" w:cs="宋体"/>
          <w:color w:val="auto"/>
          <w:sz w:val="24"/>
          <w:szCs w:val="24"/>
          <w:lang w:eastAsia="zh-CN"/>
        </w:rPr>
      </w:pPr>
      <w:bookmarkStart w:id="152" w:name="_Toc7140"/>
      <w:bookmarkStart w:id="153" w:name="_Toc437355477"/>
      <w:bookmarkStart w:id="154" w:name="_Toc179632651"/>
      <w:bookmarkStart w:id="155" w:name="_Toc152042411"/>
      <w:bookmarkStart w:id="156" w:name="_Toc152045633"/>
      <w:bookmarkStart w:id="157" w:name="_Toc199152002"/>
      <w:bookmarkStart w:id="158" w:name="_Toc144974601"/>
      <w:r>
        <w:rPr>
          <w:rFonts w:hint="eastAsia" w:ascii="宋体" w:hAnsi="宋体" w:eastAsia="宋体" w:cs="宋体"/>
          <w:color w:val="auto"/>
          <w:sz w:val="24"/>
          <w:szCs w:val="24"/>
          <w:lang w:eastAsia="zh-CN"/>
        </w:rPr>
        <w:t>3. 监理人</w:t>
      </w:r>
      <w:bookmarkEnd w:id="152"/>
      <w:bookmarkEnd w:id="153"/>
      <w:bookmarkEnd w:id="154"/>
      <w:bookmarkEnd w:id="155"/>
      <w:bookmarkEnd w:id="156"/>
      <w:bookmarkEnd w:id="157"/>
      <w:bookmarkEnd w:id="158"/>
    </w:p>
    <w:p>
      <w:pPr>
        <w:pStyle w:val="7"/>
        <w:rPr>
          <w:rFonts w:hint="eastAsia" w:ascii="宋体" w:hAnsi="宋体" w:eastAsia="宋体" w:cs="宋体"/>
          <w:color w:val="auto"/>
          <w:sz w:val="24"/>
          <w:szCs w:val="24"/>
          <w:lang w:eastAsia="zh-CN"/>
        </w:rPr>
      </w:pPr>
      <w:bookmarkStart w:id="159" w:name="_Toc152042412"/>
      <w:bookmarkStart w:id="160" w:name="_Toc144974602"/>
      <w:bookmarkStart w:id="161" w:name="_Toc152045634"/>
      <w:bookmarkStart w:id="162" w:name="_Toc199152003"/>
      <w:bookmarkStart w:id="163" w:name="_Toc179632652"/>
      <w:r>
        <w:rPr>
          <w:rFonts w:hint="eastAsia" w:ascii="宋体" w:hAnsi="宋体" w:eastAsia="宋体" w:cs="宋体"/>
          <w:color w:val="auto"/>
          <w:sz w:val="24"/>
          <w:szCs w:val="24"/>
          <w:lang w:eastAsia="zh-CN"/>
        </w:rPr>
        <w:t>3.1 监理人的职责和权力</w:t>
      </w:r>
      <w:bookmarkEnd w:id="159"/>
      <w:bookmarkEnd w:id="160"/>
      <w:bookmarkEnd w:id="161"/>
      <w:bookmarkEnd w:id="162"/>
      <w:bookmarkEnd w:id="163"/>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3.1.1须经发包人批准行使的权力：</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164" w:name="_Toc199152004"/>
      <w:bookmarkStart w:id="165" w:name="_Toc144974604"/>
      <w:bookmarkStart w:id="166" w:name="_Toc179632654"/>
      <w:bookmarkStart w:id="167" w:name="_Toc152045636"/>
      <w:bookmarkStart w:id="168" w:name="_Toc152042414"/>
      <w:r>
        <w:rPr>
          <w:rFonts w:hint="eastAsia" w:ascii="宋体" w:hAnsi="宋体" w:eastAsia="宋体" w:cs="宋体"/>
          <w:color w:val="auto"/>
          <w:sz w:val="24"/>
          <w:szCs w:val="24"/>
          <w:lang w:eastAsia="zh-CN"/>
        </w:rPr>
        <w:t>3.3 监理人员</w:t>
      </w:r>
      <w:bookmarkEnd w:id="164"/>
      <w:bookmarkEnd w:id="165"/>
      <w:bookmarkEnd w:id="166"/>
      <w:bookmarkEnd w:id="167"/>
      <w:bookmarkEnd w:id="168"/>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3.3.4 总监理工程师不应将第3.5款约定应由总监理工程师作出确定的权力授权或者委托给其他监理人员。</w:t>
      </w:r>
    </w:p>
    <w:p>
      <w:pPr>
        <w:pStyle w:val="7"/>
        <w:rPr>
          <w:rFonts w:hint="eastAsia" w:ascii="宋体" w:hAnsi="宋体" w:eastAsia="宋体" w:cs="宋体"/>
          <w:color w:val="auto"/>
          <w:sz w:val="24"/>
          <w:szCs w:val="24"/>
          <w:lang w:eastAsia="zh-CN"/>
        </w:rPr>
      </w:pPr>
      <w:bookmarkStart w:id="169" w:name="_Toc152045637"/>
      <w:bookmarkStart w:id="170" w:name="_Toc152042415"/>
      <w:bookmarkStart w:id="171" w:name="_Toc199152005"/>
      <w:bookmarkStart w:id="172" w:name="_Toc144974605"/>
      <w:bookmarkStart w:id="173" w:name="_Toc179632655"/>
      <w:r>
        <w:rPr>
          <w:rFonts w:hint="eastAsia" w:ascii="宋体" w:hAnsi="宋体" w:eastAsia="宋体" w:cs="宋体"/>
          <w:color w:val="auto"/>
          <w:sz w:val="24"/>
          <w:szCs w:val="24"/>
          <w:lang w:eastAsia="zh-CN"/>
        </w:rPr>
        <w:t>3.4 监理人的指示</w:t>
      </w:r>
      <w:bookmarkEnd w:id="169"/>
      <w:bookmarkEnd w:id="170"/>
      <w:bookmarkEnd w:id="171"/>
      <w:bookmarkEnd w:id="172"/>
      <w:bookmarkEnd w:id="173"/>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3.4.4除通用合同条款已有的专门约定外，承包人只能从总监理工程师或按第3.3.1项授权的监理人员处取得指示，发包人应当通过监理人向承包人发出指示。</w:t>
      </w:r>
    </w:p>
    <w:p>
      <w:pPr>
        <w:pStyle w:val="6"/>
        <w:rPr>
          <w:rFonts w:hint="eastAsia" w:ascii="宋体" w:hAnsi="宋体" w:eastAsia="宋体" w:cs="宋体"/>
          <w:color w:val="auto"/>
          <w:sz w:val="24"/>
          <w:szCs w:val="24"/>
          <w:lang w:eastAsia="zh-CN"/>
        </w:rPr>
      </w:pPr>
      <w:bookmarkStart w:id="174" w:name="_Toc179632657"/>
      <w:bookmarkStart w:id="175" w:name="_Toc152045639"/>
      <w:bookmarkStart w:id="176" w:name="_Toc199152006"/>
      <w:bookmarkStart w:id="177" w:name="_Toc8575"/>
      <w:bookmarkStart w:id="178" w:name="_Toc152042417"/>
      <w:bookmarkStart w:id="179" w:name="_Toc437355478"/>
      <w:bookmarkStart w:id="180" w:name="_Toc144974607"/>
      <w:r>
        <w:rPr>
          <w:rFonts w:hint="eastAsia" w:ascii="宋体" w:hAnsi="宋体" w:eastAsia="宋体" w:cs="宋体"/>
          <w:color w:val="auto"/>
          <w:sz w:val="24"/>
          <w:szCs w:val="24"/>
          <w:lang w:eastAsia="zh-CN"/>
        </w:rPr>
        <w:t>4. 承包人</w:t>
      </w:r>
      <w:bookmarkEnd w:id="174"/>
      <w:bookmarkEnd w:id="175"/>
      <w:bookmarkEnd w:id="176"/>
      <w:bookmarkEnd w:id="177"/>
      <w:bookmarkEnd w:id="178"/>
      <w:bookmarkEnd w:id="179"/>
      <w:bookmarkEnd w:id="180"/>
    </w:p>
    <w:p>
      <w:pPr>
        <w:pStyle w:val="7"/>
        <w:rPr>
          <w:rFonts w:hint="eastAsia" w:ascii="宋体" w:hAnsi="宋体" w:eastAsia="宋体" w:cs="宋体"/>
          <w:color w:val="auto"/>
          <w:sz w:val="24"/>
          <w:szCs w:val="24"/>
          <w:lang w:eastAsia="zh-CN"/>
        </w:rPr>
      </w:pPr>
      <w:bookmarkStart w:id="181" w:name="_Toc199152007"/>
      <w:bookmarkStart w:id="182" w:name="_Toc144974608"/>
      <w:bookmarkStart w:id="183" w:name="_Toc152042418"/>
      <w:bookmarkStart w:id="184" w:name="_Toc179632658"/>
      <w:bookmarkStart w:id="185" w:name="_Toc152045640"/>
      <w:r>
        <w:rPr>
          <w:rFonts w:hint="eastAsia" w:ascii="宋体" w:hAnsi="宋体" w:eastAsia="宋体" w:cs="宋体"/>
          <w:color w:val="auto"/>
          <w:sz w:val="24"/>
          <w:szCs w:val="24"/>
          <w:lang w:eastAsia="zh-CN"/>
        </w:rPr>
        <w:t>4.1 承包人的一般义务</w:t>
      </w:r>
      <w:bookmarkEnd w:id="181"/>
      <w:bookmarkEnd w:id="182"/>
      <w:bookmarkEnd w:id="183"/>
      <w:bookmarkEnd w:id="184"/>
      <w:bookmarkEnd w:id="185"/>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4.1.3除专用合同条款第5.2款约定由发包人提供的材料和工程设备和第6.2款约定由发包人提供的施工设备和临时设施外，承包人应负责提供为完成合同工作所需的劳务、材料、施工设备、工程设备和其他物品，并按合同约定负责临时设施的设计、建造、运行、维护、管理和拆除。</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4.1.8为他人提供方便</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当对在施工场地或者附近实施与合同工程有关的其他工作的独立承包人履行管理、协调、配合、照管和服务义务，由此发生的费用被认为已经包括在承包人的签约合同价（投标总报价）中，具体工作内容和要求包括：</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（2）承包人还应按监理人指示为独立承包人以外的他人在施工场地或者附近实施与合同工程有关的其他工作提供可能的条件，可能发生费用由监理人按第3.5款商定或者确定。</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4.1.10其他义务  </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根据发包人委托，在其设计资质等级和业务允许的范围内，完成施工图设计或与工程配套的设计，经监理人确认后使用，发包人承担由此发生的费用。由承包人负责完成的设计文件属于合同条款第1.6.2项约定的承包人提供的文件，承包人应按照专用合同条款第1.6.2项约定的期限和数量提交，由此发生的费用被认为已经包括在承包人的签约合同价（投标总报价）中。由承包人承担的施工图设计或与工程配套的设计工作内容：</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（2）承包人应履行合同约定的其他义务以及下述义务：</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186" w:name="_Toc199152008"/>
      <w:bookmarkStart w:id="187" w:name="_Toc152045642"/>
      <w:bookmarkStart w:id="188" w:name="_Toc152042420"/>
      <w:bookmarkStart w:id="189" w:name="_Toc179632660"/>
      <w:bookmarkStart w:id="190" w:name="_Toc144974610"/>
      <w:r>
        <w:rPr>
          <w:rFonts w:hint="eastAsia" w:ascii="宋体" w:hAnsi="宋体" w:eastAsia="宋体" w:cs="宋体"/>
          <w:color w:val="auto"/>
          <w:sz w:val="24"/>
          <w:szCs w:val="24"/>
          <w:lang w:eastAsia="zh-CN"/>
        </w:rPr>
        <w:t>4.3 分包</w:t>
      </w:r>
      <w:bookmarkEnd w:id="186"/>
      <w:bookmarkEnd w:id="187"/>
      <w:bookmarkEnd w:id="188"/>
      <w:bookmarkEnd w:id="189"/>
      <w:bookmarkEnd w:id="190"/>
      <w:r>
        <w:rPr>
          <w:rFonts w:hint="eastAsia" w:ascii="宋体" w:hAnsi="宋体" w:eastAsia="宋体" w:cs="宋体"/>
          <w:color w:val="auto"/>
          <w:sz w:val="24"/>
          <w:szCs w:val="24"/>
          <w:lang w:eastAsia="zh-CN"/>
        </w:rPr>
        <w:t xml:space="preserve"> </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4.3.2发包人同意承包人分包的非主体、非关键性工作见投标函附录。除通用合同条款第4.3款的约定外，分包还应遵循以下约定：</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除投标函附录中约定的分包内容外，经过发包人和监理人同意，承包人可以将其他非主体、非关键性工作分包给第三人，但分包人应当经过发包人和监理人审批。发包人和监理人有权拒绝承包人的分包请求和承包人选择的分包人。</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在工程量清单中给定暂估价的专业工程，包括从暂列金额开支的专业工程，达到依法应当招标的规模标准的，以及虽未达到规定的规模标准但合同中约定采用分包方式或者招标方式实施的，应当按专用合同条款第15.8.1款的约定，由发包人和承包人以招标方式确定专业分包人。除项目审批部门有特别核准外，暂估价的专业工程的招标应当采用与施工总承包同样的招标方式。</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（3）在相关分包合同签订并报送有关建设行政主管部门备案后7天内，承包人应当将一份副本提交给监理人，承包人应保障分包工作不得再次分包。</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（4）分包工程价款由承包人与分包人（包括专业分包人）结算。发包人未经承包人同意不得以任何形式向分包人（包括专业分包人）支付各种工程款项。</w:t>
      </w:r>
    </w:p>
    <w:p>
      <w:pPr>
        <w:ind w:firstLine="480" w:firstLineChars="200"/>
        <w:rPr>
          <w:rFonts w:hint="eastAsia" w:ascii="宋体" w:hAnsi="宋体" w:eastAsia="宋体" w:cs="宋体"/>
          <w:color w:val="auto"/>
          <w:sz w:val="24"/>
          <w:szCs w:val="24"/>
          <w:lang w:eastAsia="zh-CN"/>
        </w:rPr>
      </w:pPr>
      <w:bookmarkStart w:id="191" w:name="_Toc152045644"/>
      <w:bookmarkStart w:id="192" w:name="_Toc179632662"/>
      <w:bookmarkStart w:id="193" w:name="_Toc144974612"/>
      <w:bookmarkStart w:id="194" w:name="_Toc152042422"/>
      <w:r>
        <w:rPr>
          <w:rFonts w:hint="eastAsia" w:ascii="宋体" w:hAnsi="宋体" w:eastAsia="宋体" w:cs="宋体"/>
          <w:color w:val="auto"/>
          <w:sz w:val="24"/>
          <w:szCs w:val="24"/>
          <w:lang w:eastAsia="zh-CN"/>
        </w:rPr>
        <w:t>（5）未经发包人和监理人审批同意的分包工程和分包人，发包人有权拒绝验收分包工程和支付相应款项，由此引起的发包人损失和（或）延误的工期由承包人承担。</w:t>
      </w:r>
    </w:p>
    <w:p>
      <w:pPr>
        <w:pStyle w:val="7"/>
        <w:rPr>
          <w:rFonts w:hint="eastAsia" w:ascii="宋体" w:hAnsi="宋体" w:eastAsia="宋体" w:cs="宋体"/>
          <w:color w:val="auto"/>
          <w:sz w:val="24"/>
          <w:szCs w:val="24"/>
          <w:lang w:eastAsia="zh-CN"/>
        </w:rPr>
      </w:pPr>
      <w:bookmarkStart w:id="195" w:name="_Toc199152009"/>
      <w:r>
        <w:rPr>
          <w:rFonts w:hint="eastAsia" w:ascii="宋体" w:hAnsi="宋体" w:eastAsia="宋体" w:cs="宋体"/>
          <w:color w:val="auto"/>
          <w:sz w:val="24"/>
          <w:szCs w:val="24"/>
          <w:lang w:eastAsia="zh-CN"/>
        </w:rPr>
        <w:t>4.5 承包人项目经理</w:t>
      </w:r>
      <w:bookmarkEnd w:id="191"/>
      <w:bookmarkEnd w:id="192"/>
      <w:bookmarkEnd w:id="193"/>
      <w:bookmarkEnd w:id="194"/>
      <w:bookmarkEnd w:id="195"/>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4.5.1承包人项目经理必须与承包人投标时所承诺的人员一致，并在根据通用合同条款第11.1.1项确定的开工日期前到任。在监理人颁发本工程工程接收证书前，项目经理不得同时兼任其他任何项目的项目经理。未经发包人书面许可，承包人不得更换项目经理。承包人项目经理的姓名、职称、身份证号、注册执业资格证书号、注册证书号、执业印章号等细节资料应当在合同协议书中载明。</w:t>
      </w:r>
    </w:p>
    <w:p>
      <w:pPr>
        <w:pStyle w:val="7"/>
        <w:rPr>
          <w:rFonts w:hint="eastAsia" w:ascii="宋体" w:hAnsi="宋体" w:eastAsia="宋体" w:cs="宋体"/>
          <w:color w:val="auto"/>
          <w:sz w:val="24"/>
          <w:szCs w:val="24"/>
          <w:lang w:eastAsia="zh-CN"/>
        </w:rPr>
      </w:pPr>
      <w:bookmarkStart w:id="196" w:name="_Toc152042428"/>
      <w:bookmarkStart w:id="197" w:name="_Toc199152010"/>
      <w:bookmarkStart w:id="198" w:name="_Toc152045650"/>
      <w:bookmarkStart w:id="199" w:name="_Toc179632668"/>
      <w:bookmarkStart w:id="200" w:name="_Toc144974618"/>
      <w:r>
        <w:rPr>
          <w:rFonts w:hint="eastAsia" w:ascii="宋体" w:hAnsi="宋体" w:eastAsia="宋体" w:cs="宋体"/>
          <w:color w:val="auto"/>
          <w:sz w:val="24"/>
          <w:szCs w:val="24"/>
          <w:lang w:eastAsia="zh-CN"/>
        </w:rPr>
        <w:t>4.11 不利物质条件</w:t>
      </w:r>
      <w:bookmarkEnd w:id="196"/>
      <w:bookmarkEnd w:id="197"/>
      <w:bookmarkEnd w:id="198"/>
      <w:bookmarkEnd w:id="199"/>
      <w:bookmarkEnd w:id="200"/>
    </w:p>
    <w:p>
      <w:pPr>
        <w:rPr>
          <w:rFonts w:hint="eastAsia" w:ascii="宋体" w:hAnsi="宋体" w:eastAsia="宋体" w:cs="宋体"/>
          <w:color w:val="auto"/>
          <w:sz w:val="24"/>
          <w:szCs w:val="24"/>
          <w:u w:val="single"/>
          <w:lang w:eastAsia="zh-CN"/>
        </w:rPr>
      </w:pPr>
      <w:bookmarkStart w:id="201" w:name="_Toc152045651"/>
      <w:bookmarkStart w:id="202" w:name="_Toc152042429"/>
      <w:bookmarkStart w:id="203" w:name="_Toc179632669"/>
      <w:bookmarkStart w:id="204" w:name="_Toc144974619"/>
      <w:r>
        <w:rPr>
          <w:rFonts w:hint="eastAsia" w:ascii="宋体" w:hAnsi="宋体" w:eastAsia="宋体" w:cs="宋体"/>
          <w:color w:val="auto"/>
          <w:sz w:val="24"/>
          <w:szCs w:val="24"/>
          <w:lang w:eastAsia="zh-CN"/>
        </w:rPr>
        <w:t>4.11.1不利物质条件的范围：</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w:t>
      </w:r>
    </w:p>
    <w:p>
      <w:pPr>
        <w:pStyle w:val="6"/>
        <w:rPr>
          <w:rFonts w:hint="eastAsia" w:ascii="宋体" w:hAnsi="宋体" w:eastAsia="宋体" w:cs="宋体"/>
          <w:color w:val="auto"/>
          <w:sz w:val="24"/>
          <w:szCs w:val="24"/>
          <w:lang w:eastAsia="zh-CN"/>
        </w:rPr>
      </w:pPr>
      <w:bookmarkStart w:id="205" w:name="_Toc199152011"/>
      <w:bookmarkStart w:id="206" w:name="_Toc6071"/>
      <w:bookmarkStart w:id="207" w:name="_Toc437355479"/>
      <w:r>
        <w:rPr>
          <w:rFonts w:hint="eastAsia" w:ascii="宋体" w:hAnsi="宋体" w:eastAsia="宋体" w:cs="宋体"/>
          <w:color w:val="auto"/>
          <w:sz w:val="24"/>
          <w:szCs w:val="24"/>
          <w:lang w:eastAsia="zh-CN"/>
        </w:rPr>
        <w:t>5. 材料和工程设备</w:t>
      </w:r>
      <w:bookmarkEnd w:id="201"/>
      <w:bookmarkEnd w:id="202"/>
      <w:bookmarkEnd w:id="203"/>
      <w:bookmarkEnd w:id="204"/>
      <w:bookmarkEnd w:id="205"/>
      <w:bookmarkEnd w:id="206"/>
      <w:bookmarkEnd w:id="207"/>
    </w:p>
    <w:p>
      <w:pPr>
        <w:pStyle w:val="7"/>
        <w:rPr>
          <w:rFonts w:hint="eastAsia" w:ascii="宋体" w:hAnsi="宋体" w:eastAsia="宋体" w:cs="宋体"/>
          <w:color w:val="auto"/>
          <w:sz w:val="24"/>
          <w:szCs w:val="24"/>
          <w:lang w:eastAsia="zh-CN"/>
        </w:rPr>
      </w:pPr>
      <w:bookmarkStart w:id="208" w:name="_Toc152042430"/>
      <w:bookmarkStart w:id="209" w:name="_Toc152045652"/>
      <w:bookmarkStart w:id="210" w:name="_Toc144974620"/>
      <w:bookmarkStart w:id="211" w:name="_Toc199152012"/>
      <w:bookmarkStart w:id="212" w:name="_Toc179632670"/>
      <w:r>
        <w:rPr>
          <w:rFonts w:hint="eastAsia" w:ascii="宋体" w:hAnsi="宋体" w:eastAsia="宋体" w:cs="宋体"/>
          <w:color w:val="auto"/>
          <w:sz w:val="24"/>
          <w:szCs w:val="24"/>
          <w:lang w:eastAsia="zh-CN"/>
        </w:rPr>
        <w:t>5.1 承包人提供的材料和工程设备</w:t>
      </w:r>
      <w:bookmarkEnd w:id="208"/>
      <w:bookmarkEnd w:id="209"/>
      <w:bookmarkEnd w:id="210"/>
      <w:bookmarkEnd w:id="211"/>
      <w:bookmarkEnd w:id="212"/>
    </w:p>
    <w:p>
      <w:pPr>
        <w:spacing w:line="276"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5.1.1除专用合同条款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15.8.1款的约定，由发包人和承包人以招标方式确定专项供应商。承包人负责提供的主要材料和工程设备清单见附件二“承包人提供的材料和工程设备一览表”。</w:t>
      </w:r>
    </w:p>
    <w:p>
      <w:pPr>
        <w:spacing w:line="276"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5.1.2 承包人将由其提供的材料和工程设备的供货人及品种、规格、数量和供货时间等报送监理人审批的期限：</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 xml:space="preserve">。 </w:t>
      </w:r>
    </w:p>
    <w:p>
      <w:pPr>
        <w:pStyle w:val="7"/>
        <w:spacing w:line="276" w:lineRule="auto"/>
        <w:rPr>
          <w:rFonts w:hint="eastAsia" w:ascii="宋体" w:hAnsi="宋体" w:eastAsia="宋体" w:cs="宋体"/>
          <w:color w:val="auto"/>
          <w:sz w:val="24"/>
          <w:szCs w:val="24"/>
          <w:lang w:eastAsia="zh-CN"/>
        </w:rPr>
      </w:pPr>
      <w:bookmarkStart w:id="213" w:name="_Toc179632671"/>
      <w:bookmarkStart w:id="214" w:name="_Toc144974621"/>
      <w:bookmarkStart w:id="215" w:name="_Toc152045653"/>
      <w:bookmarkStart w:id="216" w:name="_Toc152042431"/>
      <w:bookmarkStart w:id="217" w:name="_Toc199152013"/>
      <w:r>
        <w:rPr>
          <w:rFonts w:hint="eastAsia" w:ascii="宋体" w:hAnsi="宋体" w:eastAsia="宋体" w:cs="宋体"/>
          <w:color w:val="auto"/>
          <w:sz w:val="24"/>
          <w:szCs w:val="24"/>
          <w:lang w:eastAsia="zh-CN"/>
        </w:rPr>
        <w:t>5.2 发包人提供的材料和工程设备</w:t>
      </w:r>
      <w:bookmarkEnd w:id="213"/>
      <w:bookmarkEnd w:id="214"/>
      <w:bookmarkEnd w:id="215"/>
      <w:bookmarkEnd w:id="216"/>
      <w:bookmarkEnd w:id="217"/>
    </w:p>
    <w:p>
      <w:pPr>
        <w:spacing w:line="276"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5.2.1发包人负责提供的材料和工程设备的名称、规格、数量、价格、交货方式、交货地点和计划交货日期等见附件三“发包人提供的材料和工程设备一览表”。</w:t>
      </w:r>
    </w:p>
    <w:p>
      <w:pPr>
        <w:spacing w:line="276"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5.2.3由发包人提供的材料和工程设备验收后，由承包人负责接收、运输和保管。</w:t>
      </w:r>
    </w:p>
    <w:p>
      <w:pPr>
        <w:pStyle w:val="6"/>
        <w:rPr>
          <w:rFonts w:hint="eastAsia" w:ascii="宋体" w:hAnsi="宋体" w:eastAsia="宋体" w:cs="宋体"/>
          <w:color w:val="auto"/>
          <w:sz w:val="24"/>
          <w:szCs w:val="24"/>
          <w:lang w:eastAsia="zh-CN"/>
        </w:rPr>
      </w:pPr>
      <w:bookmarkStart w:id="218" w:name="_Toc437355480"/>
      <w:bookmarkStart w:id="219" w:name="_Toc152045656"/>
      <w:bookmarkStart w:id="220" w:name="_Toc179632674"/>
      <w:bookmarkStart w:id="221" w:name="_Toc144974624"/>
      <w:bookmarkStart w:id="222" w:name="_Toc22378"/>
      <w:bookmarkStart w:id="223" w:name="_Toc199152014"/>
      <w:bookmarkStart w:id="224" w:name="_Toc152042434"/>
      <w:r>
        <w:rPr>
          <w:rFonts w:hint="eastAsia" w:ascii="宋体" w:hAnsi="宋体" w:eastAsia="宋体" w:cs="宋体"/>
          <w:color w:val="auto"/>
          <w:sz w:val="24"/>
          <w:szCs w:val="24"/>
          <w:lang w:eastAsia="zh-CN"/>
        </w:rPr>
        <w:t>6. 施工设备和临时设施</w:t>
      </w:r>
      <w:bookmarkEnd w:id="218"/>
      <w:bookmarkEnd w:id="219"/>
      <w:bookmarkEnd w:id="220"/>
      <w:bookmarkEnd w:id="221"/>
      <w:bookmarkEnd w:id="222"/>
      <w:bookmarkEnd w:id="223"/>
      <w:bookmarkEnd w:id="224"/>
    </w:p>
    <w:p>
      <w:pPr>
        <w:pStyle w:val="7"/>
        <w:rPr>
          <w:rFonts w:hint="eastAsia" w:ascii="宋体" w:hAnsi="宋体" w:eastAsia="宋体" w:cs="宋体"/>
          <w:color w:val="auto"/>
          <w:sz w:val="24"/>
          <w:szCs w:val="24"/>
          <w:lang w:eastAsia="zh-CN"/>
        </w:rPr>
      </w:pPr>
      <w:bookmarkStart w:id="225" w:name="_Toc152042435"/>
      <w:bookmarkStart w:id="226" w:name="_Toc144974625"/>
      <w:bookmarkStart w:id="227" w:name="_Toc179632675"/>
      <w:bookmarkStart w:id="228" w:name="_Toc152045657"/>
      <w:bookmarkStart w:id="229" w:name="_Toc199152015"/>
      <w:r>
        <w:rPr>
          <w:rFonts w:hint="eastAsia" w:ascii="宋体" w:hAnsi="宋体" w:eastAsia="宋体" w:cs="宋体"/>
          <w:color w:val="auto"/>
          <w:sz w:val="24"/>
          <w:szCs w:val="24"/>
          <w:lang w:eastAsia="zh-CN"/>
        </w:rPr>
        <w:t>6.1 承包人提供的施工设备和临时设施</w:t>
      </w:r>
      <w:bookmarkEnd w:id="225"/>
      <w:bookmarkEnd w:id="226"/>
      <w:bookmarkEnd w:id="227"/>
      <w:bookmarkEnd w:id="228"/>
      <w:bookmarkEnd w:id="229"/>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6.1.2发包人承担修建临时设施的费用的范围：</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 xml:space="preserve">。 </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需要发包人办理申请手续和承担相关费用的临时占地：</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 xml:space="preserve">。 </w:t>
      </w:r>
    </w:p>
    <w:p>
      <w:pPr>
        <w:pStyle w:val="7"/>
        <w:rPr>
          <w:rFonts w:hint="eastAsia" w:ascii="宋体" w:hAnsi="宋体" w:eastAsia="宋体" w:cs="宋体"/>
          <w:color w:val="auto"/>
          <w:sz w:val="24"/>
          <w:szCs w:val="24"/>
          <w:lang w:eastAsia="zh-CN"/>
        </w:rPr>
      </w:pPr>
      <w:bookmarkStart w:id="230" w:name="_Toc152042436"/>
      <w:bookmarkStart w:id="231" w:name="_Toc144974626"/>
      <w:bookmarkStart w:id="232" w:name="_Toc152045658"/>
      <w:bookmarkStart w:id="233" w:name="_Toc179632676"/>
      <w:bookmarkStart w:id="234" w:name="_Toc199152016"/>
      <w:r>
        <w:rPr>
          <w:rFonts w:hint="eastAsia" w:ascii="宋体" w:hAnsi="宋体" w:eastAsia="宋体" w:cs="宋体"/>
          <w:color w:val="auto"/>
          <w:sz w:val="24"/>
          <w:szCs w:val="24"/>
          <w:lang w:eastAsia="zh-CN"/>
        </w:rPr>
        <w:t>6.2 发包人提供的施工设备和临时设施</w:t>
      </w:r>
      <w:bookmarkEnd w:id="230"/>
      <w:bookmarkEnd w:id="231"/>
      <w:bookmarkEnd w:id="232"/>
      <w:bookmarkEnd w:id="233"/>
      <w:bookmarkEnd w:id="234"/>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发包人提供的施工设备和临时设施：</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235" w:name="_Toc152042438"/>
      <w:bookmarkStart w:id="236" w:name="_Toc152045660"/>
      <w:bookmarkStart w:id="237" w:name="_Toc144974628"/>
      <w:bookmarkStart w:id="238" w:name="_Toc199152017"/>
      <w:bookmarkStart w:id="239" w:name="_Toc179632678"/>
      <w:r>
        <w:rPr>
          <w:rFonts w:hint="eastAsia" w:ascii="宋体" w:hAnsi="宋体" w:eastAsia="宋体" w:cs="宋体"/>
          <w:color w:val="auto"/>
          <w:sz w:val="24"/>
          <w:szCs w:val="24"/>
          <w:lang w:eastAsia="zh-CN"/>
        </w:rPr>
        <w:t>6.4 施工设备和临时设施专用于合同工程</w:t>
      </w:r>
      <w:bookmarkEnd w:id="235"/>
      <w:bookmarkEnd w:id="236"/>
      <w:bookmarkEnd w:id="237"/>
      <w:bookmarkEnd w:id="238"/>
      <w:bookmarkEnd w:id="239"/>
    </w:p>
    <w:p>
      <w:pPr>
        <w:ind w:firstLine="480" w:firstLineChars="200"/>
        <w:rPr>
          <w:rFonts w:hint="eastAsia" w:ascii="宋体" w:hAnsi="宋体" w:eastAsia="宋体" w:cs="宋体"/>
          <w:color w:val="auto"/>
          <w:sz w:val="24"/>
          <w:szCs w:val="24"/>
          <w:u w:val="single"/>
          <w:bdr w:val="single" w:color="auto" w:sz="4" w:space="0"/>
          <w:lang w:eastAsia="zh-CN"/>
        </w:rPr>
      </w:pPr>
      <w:r>
        <w:rPr>
          <w:rFonts w:hint="eastAsia" w:ascii="宋体" w:hAnsi="宋体" w:eastAsia="宋体" w:cs="宋体"/>
          <w:color w:val="auto"/>
          <w:sz w:val="24"/>
          <w:szCs w:val="24"/>
          <w:lang w:eastAsia="zh-CN"/>
        </w:rPr>
        <w:t>6.4.1除为专用合同条款第4.1.8款约定的其他独立承包人和监理人指示的他人提供条件外,承包人运入施工场地的所有施工设备以及在施工场地建设的临时设施仅限于用于合同工程。</w:t>
      </w:r>
    </w:p>
    <w:p>
      <w:pPr>
        <w:pStyle w:val="6"/>
        <w:rPr>
          <w:rFonts w:hint="eastAsia" w:ascii="宋体" w:hAnsi="宋体" w:eastAsia="宋体" w:cs="宋体"/>
          <w:color w:val="auto"/>
          <w:sz w:val="24"/>
          <w:szCs w:val="24"/>
          <w:lang w:eastAsia="zh-CN"/>
        </w:rPr>
      </w:pPr>
      <w:bookmarkStart w:id="240" w:name="_Toc19183"/>
      <w:bookmarkStart w:id="241" w:name="_Toc152042439"/>
      <w:bookmarkStart w:id="242" w:name="_Toc199152018"/>
      <w:bookmarkStart w:id="243" w:name="_Toc152045661"/>
      <w:bookmarkStart w:id="244" w:name="_Toc179632679"/>
      <w:bookmarkStart w:id="245" w:name="_Toc437355481"/>
      <w:bookmarkStart w:id="246" w:name="_Toc144974629"/>
      <w:r>
        <w:rPr>
          <w:rFonts w:hint="eastAsia" w:ascii="宋体" w:hAnsi="宋体" w:eastAsia="宋体" w:cs="宋体"/>
          <w:color w:val="auto"/>
          <w:sz w:val="24"/>
          <w:szCs w:val="24"/>
          <w:lang w:eastAsia="zh-CN"/>
        </w:rPr>
        <w:t>7. 交通运输</w:t>
      </w:r>
      <w:bookmarkEnd w:id="240"/>
      <w:bookmarkEnd w:id="241"/>
      <w:bookmarkEnd w:id="242"/>
      <w:bookmarkEnd w:id="243"/>
      <w:bookmarkEnd w:id="244"/>
      <w:bookmarkEnd w:id="245"/>
      <w:bookmarkEnd w:id="246"/>
    </w:p>
    <w:p>
      <w:pPr>
        <w:pStyle w:val="7"/>
        <w:rPr>
          <w:rFonts w:hint="eastAsia" w:ascii="宋体" w:hAnsi="宋体" w:eastAsia="宋体" w:cs="宋体"/>
          <w:color w:val="auto"/>
          <w:sz w:val="24"/>
          <w:szCs w:val="24"/>
          <w:lang w:eastAsia="zh-CN"/>
        </w:rPr>
      </w:pPr>
      <w:bookmarkStart w:id="247" w:name="_Toc152045662"/>
      <w:bookmarkStart w:id="248" w:name="_Toc144974630"/>
      <w:bookmarkStart w:id="249" w:name="_Toc179632680"/>
      <w:bookmarkStart w:id="250" w:name="_Toc199152019"/>
      <w:bookmarkStart w:id="251" w:name="_Toc152042440"/>
      <w:r>
        <w:rPr>
          <w:rFonts w:hint="eastAsia" w:ascii="宋体" w:hAnsi="宋体" w:eastAsia="宋体" w:cs="宋体"/>
          <w:color w:val="auto"/>
          <w:sz w:val="24"/>
          <w:szCs w:val="24"/>
          <w:lang w:eastAsia="zh-CN"/>
        </w:rPr>
        <w:t>7.1 道路通行权和场外设施</w:t>
      </w:r>
      <w:bookmarkEnd w:id="247"/>
      <w:bookmarkEnd w:id="248"/>
      <w:bookmarkEnd w:id="249"/>
      <w:bookmarkEnd w:id="250"/>
      <w:bookmarkEnd w:id="251"/>
    </w:p>
    <w:p>
      <w:pPr>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取得道路通行权、修建场外设施权并承担相关费用的办理人:</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252" w:name="_Toc199152020"/>
      <w:bookmarkStart w:id="253" w:name="_Toc152042441"/>
      <w:bookmarkStart w:id="254" w:name="_Toc152045663"/>
      <w:bookmarkStart w:id="255" w:name="_Toc179632681"/>
      <w:bookmarkStart w:id="256" w:name="_Toc144974631"/>
      <w:r>
        <w:rPr>
          <w:rFonts w:hint="eastAsia" w:ascii="宋体" w:hAnsi="宋体" w:eastAsia="宋体" w:cs="宋体"/>
          <w:color w:val="auto"/>
          <w:sz w:val="24"/>
          <w:szCs w:val="24"/>
          <w:lang w:eastAsia="zh-CN"/>
        </w:rPr>
        <w:t>7.2 场内施工道路</w:t>
      </w:r>
      <w:bookmarkEnd w:id="252"/>
      <w:bookmarkEnd w:id="253"/>
      <w:bookmarkEnd w:id="254"/>
      <w:bookmarkEnd w:id="255"/>
      <w:bookmarkEnd w:id="256"/>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7.2.1施工所需的场内临时道路和交通设施的修建、维护、养护和管理人</w:t>
      </w:r>
      <w:r>
        <w:rPr>
          <w:rFonts w:hint="eastAsia" w:ascii="宋体" w:hAnsi="宋体" w:eastAsia="宋体" w:cs="宋体"/>
          <w:color w:val="auto"/>
          <w:sz w:val="24"/>
          <w:szCs w:val="24"/>
          <w:u w:val="single"/>
          <w:lang w:eastAsia="zh-CN"/>
        </w:rPr>
        <w:t>承包人</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7.2.2发包人和监理人有权无偿使用承包人修建的临时道路和交通设施，不需要交纳任何费用。</w:t>
      </w:r>
    </w:p>
    <w:p>
      <w:pPr>
        <w:pStyle w:val="7"/>
        <w:rPr>
          <w:rFonts w:hint="eastAsia" w:ascii="宋体" w:hAnsi="宋体" w:eastAsia="宋体" w:cs="宋体"/>
          <w:color w:val="auto"/>
          <w:sz w:val="24"/>
          <w:szCs w:val="24"/>
          <w:lang w:eastAsia="zh-CN"/>
        </w:rPr>
      </w:pPr>
      <w:bookmarkStart w:id="257" w:name="_Toc179632683"/>
      <w:bookmarkStart w:id="258" w:name="_Toc199152021"/>
      <w:bookmarkStart w:id="259" w:name="_Toc152042443"/>
      <w:bookmarkStart w:id="260" w:name="_Toc152045665"/>
      <w:bookmarkStart w:id="261" w:name="_Toc144974633"/>
      <w:r>
        <w:rPr>
          <w:rFonts w:hint="eastAsia" w:ascii="宋体" w:hAnsi="宋体" w:eastAsia="宋体" w:cs="宋体"/>
          <w:color w:val="auto"/>
          <w:sz w:val="24"/>
          <w:szCs w:val="24"/>
          <w:lang w:eastAsia="zh-CN"/>
        </w:rPr>
        <w:t>7.4 超大件和超重件的运输</w:t>
      </w:r>
      <w:bookmarkEnd w:id="257"/>
      <w:bookmarkEnd w:id="258"/>
      <w:bookmarkEnd w:id="259"/>
      <w:bookmarkEnd w:id="260"/>
      <w:bookmarkEnd w:id="261"/>
    </w:p>
    <w:p>
      <w:pPr>
        <w:ind w:firstLine="480" w:firstLineChars="200"/>
        <w:rPr>
          <w:rFonts w:hint="eastAsia" w:ascii="宋体" w:hAnsi="宋体" w:eastAsia="宋体" w:cs="宋体"/>
          <w:color w:val="auto"/>
          <w:sz w:val="24"/>
          <w:szCs w:val="24"/>
          <w:lang w:eastAsia="zh-CN"/>
        </w:rPr>
      </w:pPr>
      <w:bookmarkStart w:id="262" w:name="_Toc152045666"/>
      <w:bookmarkStart w:id="263" w:name="_Toc144974634"/>
      <w:bookmarkStart w:id="264" w:name="_Toc152042444"/>
      <w:bookmarkStart w:id="265" w:name="_Toc179632684"/>
      <w:r>
        <w:rPr>
          <w:rFonts w:hint="eastAsia" w:ascii="宋体" w:hAnsi="宋体" w:eastAsia="宋体" w:cs="宋体"/>
          <w:color w:val="auto"/>
          <w:sz w:val="24"/>
          <w:szCs w:val="24"/>
          <w:lang w:eastAsia="zh-CN"/>
        </w:rPr>
        <w:t>运输超大件或超重件所需的道路和桥梁临时加固改造等费用的承担人：</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w:t>
      </w:r>
    </w:p>
    <w:bookmarkEnd w:id="262"/>
    <w:bookmarkEnd w:id="263"/>
    <w:bookmarkEnd w:id="264"/>
    <w:bookmarkEnd w:id="265"/>
    <w:p>
      <w:pPr>
        <w:pStyle w:val="6"/>
        <w:rPr>
          <w:rFonts w:hint="eastAsia" w:ascii="宋体" w:hAnsi="宋体" w:eastAsia="宋体" w:cs="宋体"/>
          <w:color w:val="auto"/>
          <w:sz w:val="24"/>
          <w:szCs w:val="24"/>
          <w:lang w:eastAsia="zh-CN"/>
        </w:rPr>
      </w:pPr>
      <w:bookmarkStart w:id="266" w:name="_Toc144974636"/>
      <w:bookmarkStart w:id="267" w:name="_Toc437355482"/>
      <w:bookmarkStart w:id="268" w:name="_Toc152042446"/>
      <w:bookmarkStart w:id="269" w:name="_Toc179632686"/>
      <w:bookmarkStart w:id="270" w:name="_Toc199152022"/>
      <w:bookmarkStart w:id="271" w:name="_Toc19313"/>
      <w:bookmarkStart w:id="272" w:name="_Toc152045668"/>
      <w:r>
        <w:rPr>
          <w:rFonts w:hint="eastAsia" w:ascii="宋体" w:hAnsi="宋体" w:eastAsia="宋体" w:cs="宋体"/>
          <w:color w:val="auto"/>
          <w:sz w:val="24"/>
          <w:szCs w:val="24"/>
          <w:lang w:eastAsia="zh-CN"/>
        </w:rPr>
        <w:t>8. 测量放线</w:t>
      </w:r>
      <w:bookmarkEnd w:id="266"/>
      <w:bookmarkEnd w:id="267"/>
      <w:bookmarkEnd w:id="268"/>
      <w:bookmarkEnd w:id="269"/>
      <w:bookmarkEnd w:id="270"/>
      <w:bookmarkEnd w:id="271"/>
      <w:bookmarkEnd w:id="272"/>
    </w:p>
    <w:p>
      <w:pPr>
        <w:pStyle w:val="7"/>
        <w:rPr>
          <w:rFonts w:hint="eastAsia" w:ascii="宋体" w:hAnsi="宋体" w:eastAsia="宋体" w:cs="宋体"/>
          <w:color w:val="auto"/>
          <w:sz w:val="24"/>
          <w:szCs w:val="24"/>
          <w:lang w:eastAsia="zh-CN"/>
        </w:rPr>
      </w:pPr>
      <w:bookmarkStart w:id="273" w:name="_Toc144974637"/>
      <w:bookmarkStart w:id="274" w:name="_Toc152042447"/>
      <w:bookmarkStart w:id="275" w:name="_Toc152045669"/>
      <w:bookmarkStart w:id="276" w:name="_Toc199152023"/>
      <w:bookmarkStart w:id="277" w:name="_Toc179632687"/>
      <w:r>
        <w:rPr>
          <w:rFonts w:hint="eastAsia" w:ascii="宋体" w:hAnsi="宋体" w:eastAsia="宋体" w:cs="宋体"/>
          <w:color w:val="auto"/>
          <w:sz w:val="24"/>
          <w:szCs w:val="24"/>
          <w:lang w:eastAsia="zh-CN"/>
        </w:rPr>
        <w:t>8.1 施工控制网</w:t>
      </w:r>
      <w:bookmarkEnd w:id="273"/>
      <w:bookmarkEnd w:id="274"/>
      <w:bookmarkEnd w:id="275"/>
      <w:bookmarkEnd w:id="276"/>
      <w:bookmarkEnd w:id="277"/>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8.1.1发包人提供测量基准点、基准线和水准点及其书面资料的期限：</w:t>
      </w:r>
      <w:r>
        <w:rPr>
          <w:rFonts w:hint="eastAsia" w:ascii="宋体" w:hAnsi="宋体" w:eastAsia="宋体" w:cs="宋体"/>
          <w:color w:val="auto"/>
          <w:sz w:val="24"/>
          <w:szCs w:val="24"/>
          <w:u w:val="single"/>
          <w:lang w:eastAsia="zh-CN"/>
        </w:rPr>
        <w:t>开工后七日内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承包人测设施工控制网的要求：</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承包人将施工控制网资料报送监理人审批的期限：</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pStyle w:val="6"/>
        <w:rPr>
          <w:rFonts w:hint="eastAsia" w:ascii="宋体" w:hAnsi="宋体" w:eastAsia="宋体" w:cs="宋体"/>
          <w:color w:val="auto"/>
          <w:sz w:val="24"/>
          <w:szCs w:val="24"/>
          <w:lang w:eastAsia="zh-CN"/>
        </w:rPr>
      </w:pPr>
      <w:bookmarkStart w:id="278" w:name="_Toc199152024"/>
      <w:bookmarkStart w:id="279" w:name="_Toc437355483"/>
      <w:bookmarkStart w:id="280" w:name="_Toc179632691"/>
      <w:bookmarkStart w:id="281" w:name="_Toc152045673"/>
      <w:bookmarkStart w:id="282" w:name="_Toc144974641"/>
      <w:bookmarkStart w:id="283" w:name="_Toc152042451"/>
      <w:bookmarkStart w:id="284" w:name="_Toc8170"/>
      <w:r>
        <w:rPr>
          <w:rFonts w:hint="eastAsia" w:ascii="宋体" w:hAnsi="宋体" w:eastAsia="宋体" w:cs="宋体"/>
          <w:color w:val="auto"/>
          <w:sz w:val="24"/>
          <w:szCs w:val="24"/>
          <w:lang w:eastAsia="zh-CN"/>
        </w:rPr>
        <w:t>9. 施工安全、治安保卫和环境保护</w:t>
      </w:r>
      <w:bookmarkEnd w:id="278"/>
      <w:bookmarkEnd w:id="279"/>
      <w:bookmarkEnd w:id="280"/>
      <w:bookmarkEnd w:id="281"/>
      <w:bookmarkEnd w:id="282"/>
      <w:bookmarkEnd w:id="283"/>
      <w:bookmarkEnd w:id="284"/>
    </w:p>
    <w:p>
      <w:pPr>
        <w:pStyle w:val="7"/>
        <w:rPr>
          <w:rFonts w:hint="eastAsia" w:ascii="宋体" w:hAnsi="宋体" w:eastAsia="宋体" w:cs="宋体"/>
          <w:color w:val="auto"/>
          <w:sz w:val="24"/>
          <w:szCs w:val="24"/>
          <w:lang w:eastAsia="zh-CN"/>
        </w:rPr>
      </w:pPr>
      <w:bookmarkStart w:id="285" w:name="_Toc144974643"/>
      <w:bookmarkStart w:id="286" w:name="_Toc179632693"/>
      <w:bookmarkStart w:id="287" w:name="_Toc152045675"/>
      <w:bookmarkStart w:id="288" w:name="_Toc152042453"/>
      <w:bookmarkStart w:id="289" w:name="_Toc199152025"/>
      <w:r>
        <w:rPr>
          <w:rFonts w:hint="eastAsia" w:ascii="宋体" w:hAnsi="宋体" w:eastAsia="宋体" w:cs="宋体"/>
          <w:color w:val="auto"/>
          <w:sz w:val="24"/>
          <w:szCs w:val="24"/>
          <w:lang w:eastAsia="zh-CN"/>
        </w:rPr>
        <w:t>9.2 承包人的施工安全责任</w:t>
      </w:r>
      <w:bookmarkEnd w:id="285"/>
      <w:bookmarkEnd w:id="286"/>
      <w:bookmarkEnd w:id="287"/>
      <w:bookmarkEnd w:id="288"/>
      <w:bookmarkEnd w:id="289"/>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9.2.1承包人向监理人报送施工安全措施计划的期限：</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290" w:name="_Toc199152026"/>
      <w:bookmarkStart w:id="291" w:name="_Toc179632694"/>
      <w:bookmarkStart w:id="292" w:name="_Toc152042454"/>
      <w:bookmarkStart w:id="293" w:name="_Toc144974644"/>
      <w:bookmarkStart w:id="294" w:name="_Toc152045676"/>
      <w:r>
        <w:rPr>
          <w:rFonts w:hint="eastAsia" w:ascii="宋体" w:hAnsi="宋体" w:eastAsia="宋体" w:cs="宋体"/>
          <w:color w:val="auto"/>
          <w:sz w:val="24"/>
          <w:szCs w:val="24"/>
          <w:lang w:eastAsia="zh-CN"/>
        </w:rPr>
        <w:t>9.3 治安保卫</w:t>
      </w:r>
      <w:bookmarkEnd w:id="290"/>
      <w:bookmarkEnd w:id="291"/>
      <w:bookmarkEnd w:id="292"/>
      <w:bookmarkEnd w:id="293"/>
      <w:bookmarkEnd w:id="294"/>
    </w:p>
    <w:p>
      <w:pPr>
        <w:ind w:firstLine="480" w:firstLineChars="200"/>
        <w:rPr>
          <w:rFonts w:hint="eastAsia" w:ascii="宋体" w:hAnsi="宋体" w:eastAsia="宋体" w:cs="宋体"/>
          <w:color w:val="auto"/>
          <w:sz w:val="24"/>
          <w:szCs w:val="24"/>
          <w:lang w:eastAsia="zh-CN"/>
        </w:rPr>
      </w:pPr>
      <w:bookmarkStart w:id="295" w:name="_Toc152042455"/>
      <w:bookmarkStart w:id="296" w:name="_Toc144974645"/>
      <w:bookmarkStart w:id="297" w:name="_Toc152045677"/>
      <w:bookmarkStart w:id="298" w:name="_Toc179632695"/>
      <w:r>
        <w:rPr>
          <w:rFonts w:hint="eastAsia" w:ascii="宋体" w:hAnsi="宋体" w:eastAsia="宋体" w:cs="宋体"/>
          <w:color w:val="auto"/>
          <w:sz w:val="24"/>
          <w:szCs w:val="24"/>
          <w:lang w:eastAsia="zh-CN"/>
        </w:rPr>
        <w:t>9.3.1承包人应当负责统一管理施工场地的治安保卫事项，履行合同工程的治安保卫职责。</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9.3.3施工场地治安管理计划和突发治安事件紧急预案的编制责任人</w:t>
      </w:r>
      <w:r>
        <w:rPr>
          <w:rFonts w:hint="eastAsia" w:ascii="宋体" w:hAnsi="宋体" w:eastAsia="宋体" w:cs="宋体"/>
          <w:color w:val="auto"/>
          <w:sz w:val="24"/>
          <w:szCs w:val="24"/>
          <w:u w:val="single"/>
          <w:lang w:eastAsia="zh-CN"/>
        </w:rPr>
        <w:t>投标时报送</w:t>
      </w:r>
      <w:r>
        <w:rPr>
          <w:rFonts w:hint="eastAsia" w:ascii="宋体" w:hAnsi="宋体" w:eastAsia="宋体" w:cs="宋体"/>
          <w:color w:val="auto"/>
          <w:sz w:val="24"/>
          <w:szCs w:val="24"/>
          <w:lang w:eastAsia="zh-CN"/>
        </w:rPr>
        <w:t>。</w:t>
      </w:r>
    </w:p>
    <w:bookmarkEnd w:id="295"/>
    <w:bookmarkEnd w:id="296"/>
    <w:bookmarkEnd w:id="297"/>
    <w:bookmarkEnd w:id="298"/>
    <w:p>
      <w:pPr>
        <w:pStyle w:val="6"/>
        <w:rPr>
          <w:rFonts w:hint="eastAsia" w:ascii="宋体" w:hAnsi="宋体" w:eastAsia="宋体" w:cs="宋体"/>
          <w:color w:val="auto"/>
          <w:sz w:val="24"/>
          <w:szCs w:val="24"/>
          <w:lang w:eastAsia="zh-CN"/>
        </w:rPr>
      </w:pPr>
      <w:bookmarkStart w:id="299" w:name="_Toc152042457"/>
      <w:bookmarkStart w:id="300" w:name="_Toc199152027"/>
      <w:bookmarkStart w:id="301" w:name="_Toc144974647"/>
      <w:bookmarkStart w:id="302" w:name="_Toc437355484"/>
      <w:bookmarkStart w:id="303" w:name="_Toc10992"/>
      <w:bookmarkStart w:id="304" w:name="_Toc152045679"/>
      <w:bookmarkStart w:id="305" w:name="_Toc179632697"/>
      <w:r>
        <w:rPr>
          <w:rFonts w:hint="eastAsia" w:ascii="宋体" w:hAnsi="宋体" w:eastAsia="宋体" w:cs="宋体"/>
          <w:color w:val="auto"/>
          <w:sz w:val="24"/>
          <w:szCs w:val="24"/>
          <w:lang w:eastAsia="zh-CN"/>
        </w:rPr>
        <w:t>10. 进度计划</w:t>
      </w:r>
      <w:bookmarkEnd w:id="299"/>
      <w:bookmarkEnd w:id="300"/>
      <w:bookmarkEnd w:id="301"/>
      <w:bookmarkEnd w:id="302"/>
      <w:bookmarkEnd w:id="303"/>
      <w:bookmarkEnd w:id="304"/>
      <w:bookmarkEnd w:id="305"/>
    </w:p>
    <w:p>
      <w:pPr>
        <w:pStyle w:val="7"/>
        <w:rPr>
          <w:rFonts w:hint="eastAsia" w:ascii="宋体" w:hAnsi="宋体" w:eastAsia="宋体" w:cs="宋体"/>
          <w:color w:val="auto"/>
          <w:sz w:val="24"/>
          <w:szCs w:val="24"/>
          <w:lang w:eastAsia="zh-CN"/>
        </w:rPr>
      </w:pPr>
      <w:bookmarkStart w:id="306" w:name="_Toc152045680"/>
      <w:bookmarkStart w:id="307" w:name="_Toc179632698"/>
      <w:bookmarkStart w:id="308" w:name="_Toc199152028"/>
      <w:bookmarkStart w:id="309" w:name="_Toc144974648"/>
      <w:bookmarkStart w:id="310" w:name="_Toc152042458"/>
      <w:r>
        <w:rPr>
          <w:rFonts w:hint="eastAsia" w:ascii="宋体" w:hAnsi="宋体" w:eastAsia="宋体" w:cs="宋体"/>
          <w:color w:val="auto"/>
          <w:sz w:val="24"/>
          <w:szCs w:val="24"/>
          <w:lang w:eastAsia="zh-CN"/>
        </w:rPr>
        <w:t>10.1 合同进度计划</w:t>
      </w:r>
      <w:bookmarkEnd w:id="306"/>
      <w:bookmarkEnd w:id="307"/>
      <w:bookmarkEnd w:id="308"/>
      <w:bookmarkEnd w:id="309"/>
      <w:bookmarkEnd w:id="310"/>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（1）承包人应当在收到监理人按照通用合同条款第11.1.1项发出的开工通知后7天内，编制详细的施工进度计划和施工方案说明并报送监理人。承包人编制施工进度计划和施工方案说明的内容：</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，施工进度计划中还应载明要求发包人组织设计单位进行阶段性工程设计交底的时间。</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（2）监理人批复或对施工进度计划和施工方案说明提出修改意见的期限：自监理人收到承包人报送的相关进度计划和施工方案说明后14天内。</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（3）承包人编制分阶段或分项施工进度计划和施工方案说明的内容：</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。承包人报送分阶段或分项施工进度计划和施工方案说明的期限</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（4）群体工程中单位工程分期进行施工的，承包人应按照发包人提供图纸及有关资料的时间，按单位工程编制进度计划和施工方案说明。群体工程中有关进度计划和施工方案说明的要求：</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311" w:name="_Toc144974649"/>
      <w:bookmarkStart w:id="312" w:name="_Toc152045681"/>
      <w:bookmarkStart w:id="313" w:name="_Toc152042459"/>
      <w:bookmarkStart w:id="314" w:name="_Toc179632699"/>
      <w:bookmarkStart w:id="315" w:name="_Toc199152029"/>
      <w:r>
        <w:rPr>
          <w:rFonts w:hint="eastAsia" w:ascii="宋体" w:hAnsi="宋体" w:eastAsia="宋体" w:cs="宋体"/>
          <w:color w:val="auto"/>
          <w:sz w:val="24"/>
          <w:szCs w:val="24"/>
          <w:lang w:eastAsia="zh-CN"/>
        </w:rPr>
        <w:t>10.2 合同进度计划的修订</w:t>
      </w:r>
      <w:bookmarkEnd w:id="311"/>
      <w:bookmarkEnd w:id="312"/>
      <w:bookmarkEnd w:id="313"/>
      <w:bookmarkEnd w:id="314"/>
      <w:bookmarkEnd w:id="315"/>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（1）承包人报送修订合同进度计划申请报告和相关资料的期限：</w:t>
      </w:r>
      <w:r>
        <w:rPr>
          <w:rFonts w:hint="eastAsia" w:ascii="宋体" w:hAnsi="宋体" w:eastAsia="宋体" w:cs="宋体"/>
          <w:color w:val="auto"/>
          <w:sz w:val="24"/>
          <w:szCs w:val="24"/>
          <w:u w:val="single"/>
          <w:lang w:eastAsia="zh-CN"/>
        </w:rPr>
        <w:t>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（2）监理人批复修订合同进度计划申请报告的期限：</w:t>
      </w:r>
      <w:r>
        <w:rPr>
          <w:rFonts w:hint="eastAsia" w:ascii="宋体" w:hAnsi="宋体" w:eastAsia="宋体" w:cs="宋体"/>
          <w:color w:val="auto"/>
          <w:sz w:val="24"/>
          <w:szCs w:val="24"/>
          <w:u w:val="single"/>
          <w:lang w:eastAsia="zh-CN"/>
        </w:rPr>
        <w:t>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（3）监理人批复修订合同进度计划的期限：</w:t>
      </w:r>
      <w:r>
        <w:rPr>
          <w:rFonts w:hint="eastAsia" w:ascii="宋体" w:hAnsi="宋体" w:eastAsia="宋体" w:cs="宋体"/>
          <w:color w:val="auto"/>
          <w:sz w:val="24"/>
          <w:szCs w:val="24"/>
          <w:u w:val="single"/>
          <w:lang w:eastAsia="zh-CN"/>
        </w:rPr>
        <w:t>同《通用条款》　</w:t>
      </w:r>
      <w:r>
        <w:rPr>
          <w:rFonts w:hint="eastAsia" w:ascii="宋体" w:hAnsi="宋体" w:eastAsia="宋体" w:cs="宋体"/>
          <w:color w:val="auto"/>
          <w:sz w:val="24"/>
          <w:szCs w:val="24"/>
          <w:lang w:eastAsia="zh-CN"/>
        </w:rPr>
        <w:t>。</w:t>
      </w:r>
    </w:p>
    <w:p>
      <w:pPr>
        <w:pStyle w:val="6"/>
        <w:rPr>
          <w:rFonts w:hint="eastAsia" w:ascii="宋体" w:hAnsi="宋体" w:eastAsia="宋体" w:cs="宋体"/>
          <w:color w:val="auto"/>
          <w:sz w:val="24"/>
          <w:szCs w:val="24"/>
          <w:lang w:eastAsia="zh-CN"/>
        </w:rPr>
      </w:pPr>
      <w:bookmarkStart w:id="316" w:name="_Toc152045682"/>
      <w:bookmarkStart w:id="317" w:name="_Toc179632700"/>
      <w:bookmarkStart w:id="318" w:name="_Toc199152030"/>
      <w:bookmarkStart w:id="319" w:name="_Toc437355485"/>
      <w:bookmarkStart w:id="320" w:name="_Toc144974650"/>
      <w:bookmarkStart w:id="321" w:name="_Toc152042460"/>
      <w:bookmarkStart w:id="322" w:name="_Toc4412"/>
      <w:r>
        <w:rPr>
          <w:rFonts w:hint="eastAsia" w:ascii="宋体" w:hAnsi="宋体" w:eastAsia="宋体" w:cs="宋体"/>
          <w:color w:val="auto"/>
          <w:sz w:val="24"/>
          <w:szCs w:val="24"/>
          <w:lang w:eastAsia="zh-CN"/>
        </w:rPr>
        <w:t>11. 开工和竣工</w:t>
      </w:r>
      <w:bookmarkEnd w:id="316"/>
      <w:bookmarkEnd w:id="317"/>
      <w:bookmarkEnd w:id="318"/>
      <w:bookmarkEnd w:id="319"/>
      <w:bookmarkEnd w:id="320"/>
      <w:bookmarkEnd w:id="321"/>
      <w:bookmarkEnd w:id="322"/>
    </w:p>
    <w:p>
      <w:pPr>
        <w:pStyle w:val="7"/>
        <w:rPr>
          <w:rFonts w:hint="eastAsia" w:ascii="宋体" w:hAnsi="宋体" w:eastAsia="宋体" w:cs="宋体"/>
          <w:color w:val="auto"/>
          <w:sz w:val="24"/>
          <w:szCs w:val="24"/>
          <w:lang w:eastAsia="zh-CN"/>
        </w:rPr>
      </w:pPr>
      <w:bookmarkStart w:id="323" w:name="_Toc152045685"/>
      <w:bookmarkStart w:id="324" w:name="_Toc144974653"/>
      <w:bookmarkStart w:id="325" w:name="_Toc152042463"/>
      <w:bookmarkStart w:id="326" w:name="_Toc199152031"/>
      <w:bookmarkStart w:id="327" w:name="_Toc179632703"/>
      <w:r>
        <w:rPr>
          <w:rFonts w:hint="eastAsia" w:ascii="宋体" w:hAnsi="宋体" w:eastAsia="宋体" w:cs="宋体"/>
          <w:color w:val="auto"/>
          <w:sz w:val="24"/>
          <w:szCs w:val="24"/>
          <w:lang w:eastAsia="zh-CN"/>
        </w:rPr>
        <w:t>11.3 发包人的工期延误</w:t>
      </w:r>
      <w:bookmarkEnd w:id="323"/>
      <w:bookmarkEnd w:id="324"/>
      <w:bookmarkEnd w:id="325"/>
      <w:bookmarkEnd w:id="326"/>
      <w:bookmarkEnd w:id="327"/>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 因发包人原因不能按照合同协议书约定的计划开工日期开工。除发包人原因延期开工外，发包人造成工期延误的其他原因还包括：</w:t>
      </w:r>
      <w:r>
        <w:rPr>
          <w:rFonts w:hint="eastAsia" w:ascii="宋体" w:hAnsi="宋体" w:eastAsia="宋体" w:cs="宋体"/>
          <w:color w:val="auto"/>
          <w:sz w:val="24"/>
          <w:szCs w:val="24"/>
          <w:u w:val="single"/>
          <w:lang w:eastAsia="zh-CN"/>
        </w:rPr>
        <w:t>业主造成原因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328" w:name="_Toc152042464"/>
      <w:bookmarkStart w:id="329" w:name="_Toc152045686"/>
      <w:bookmarkStart w:id="330" w:name="_Toc199152032"/>
      <w:bookmarkStart w:id="331" w:name="_Toc144974654"/>
      <w:bookmarkStart w:id="332" w:name="_Toc179632704"/>
      <w:r>
        <w:rPr>
          <w:rFonts w:hint="eastAsia" w:ascii="宋体" w:hAnsi="宋体" w:eastAsia="宋体" w:cs="宋体"/>
          <w:color w:val="auto"/>
          <w:sz w:val="24"/>
          <w:szCs w:val="24"/>
          <w:lang w:eastAsia="zh-CN"/>
        </w:rPr>
        <w:t>11.4 异常恶劣的气候条件</w:t>
      </w:r>
      <w:bookmarkEnd w:id="328"/>
      <w:bookmarkEnd w:id="329"/>
      <w:bookmarkEnd w:id="330"/>
      <w:bookmarkEnd w:id="331"/>
      <w:bookmarkEnd w:id="332"/>
    </w:p>
    <w:p>
      <w:pPr>
        <w:ind w:firstLine="480" w:firstLineChars="200"/>
        <w:rPr>
          <w:rFonts w:hint="eastAsia" w:ascii="宋体" w:hAnsi="宋体" w:eastAsia="宋体" w:cs="宋体"/>
          <w:color w:val="auto"/>
          <w:sz w:val="24"/>
          <w:szCs w:val="24"/>
          <w:lang w:eastAsia="zh-CN"/>
        </w:rPr>
      </w:pPr>
      <w:bookmarkStart w:id="333" w:name="_Toc152042465"/>
      <w:bookmarkStart w:id="334" w:name="_Toc179632705"/>
      <w:bookmarkStart w:id="335" w:name="_Toc152045687"/>
      <w:bookmarkStart w:id="336" w:name="_Toc144974655"/>
      <w:r>
        <w:rPr>
          <w:rFonts w:hint="eastAsia" w:ascii="宋体" w:hAnsi="宋体" w:eastAsia="宋体" w:cs="宋体"/>
          <w:color w:val="auto"/>
          <w:sz w:val="24"/>
          <w:szCs w:val="24"/>
          <w:lang w:eastAsia="zh-CN"/>
        </w:rPr>
        <w:t>异常恶劣的气候条件的范围和标准：</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337" w:name="_Toc199152033"/>
      <w:r>
        <w:rPr>
          <w:rFonts w:hint="eastAsia" w:ascii="宋体" w:hAnsi="宋体" w:eastAsia="宋体" w:cs="宋体"/>
          <w:color w:val="auto"/>
          <w:sz w:val="24"/>
          <w:szCs w:val="24"/>
          <w:lang w:eastAsia="zh-CN"/>
        </w:rPr>
        <w:t>11.5 承包人的工期延误</w:t>
      </w:r>
      <w:bookmarkEnd w:id="333"/>
      <w:bookmarkEnd w:id="334"/>
      <w:bookmarkEnd w:id="335"/>
      <w:bookmarkEnd w:id="336"/>
      <w:bookmarkEnd w:id="337"/>
    </w:p>
    <w:p>
      <w:pPr>
        <w:ind w:firstLine="480" w:firstLineChars="200"/>
        <w:rPr>
          <w:rFonts w:hint="eastAsia" w:ascii="宋体" w:hAnsi="宋体" w:eastAsia="宋体" w:cs="宋体"/>
          <w:color w:val="auto"/>
          <w:sz w:val="24"/>
          <w:szCs w:val="24"/>
          <w:lang w:eastAsia="zh-CN"/>
        </w:rPr>
      </w:pPr>
      <w:bookmarkStart w:id="338" w:name="_Toc144974656"/>
      <w:bookmarkStart w:id="339" w:name="_Toc179632706"/>
      <w:bookmarkStart w:id="340" w:name="_Toc152045688"/>
      <w:bookmarkStart w:id="341" w:name="_Toc152042466"/>
      <w:r>
        <w:rPr>
          <w:rFonts w:hint="eastAsia" w:ascii="宋体" w:hAnsi="宋体" w:eastAsia="宋体" w:cs="宋体"/>
          <w:color w:val="auto"/>
          <w:sz w:val="24"/>
          <w:szCs w:val="24"/>
          <w:lang w:eastAsia="zh-CN"/>
        </w:rPr>
        <w:t>由于承包人原因造成不能按期竣工的，在按合同约定确定的竣工日期（包括按合同延长的工期）后7天内，监理人应当按通用合同条款第23.4.1的约定书面通知承包人,说明发包人有权得到按本款约定的下列标准和方法计算的逾期竣工违约金，但最终违约金的金额不应超过本款约定的逾期竣工违约金最高限额。监理人未在规定的期限内发出本款约定的书面通知的，发包人丧失要求逾期竣工违约金的权利。</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逾期竣工违约金的计算标准：</w:t>
      </w:r>
      <w:r>
        <w:rPr>
          <w:rFonts w:hint="eastAsia" w:ascii="宋体" w:hAnsi="宋体" w:eastAsia="宋体" w:cs="宋体"/>
          <w:color w:val="auto"/>
          <w:sz w:val="24"/>
          <w:szCs w:val="24"/>
          <w:u w:val="single"/>
          <w:lang w:eastAsia="zh-CN"/>
        </w:rPr>
        <w:t>　中标价的千分之三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逾期竣工违约金的计算方法：</w:t>
      </w:r>
      <w:r>
        <w:rPr>
          <w:rFonts w:hint="eastAsia" w:ascii="宋体" w:hAnsi="宋体" w:eastAsia="宋体" w:cs="宋体"/>
          <w:color w:val="auto"/>
          <w:sz w:val="24"/>
          <w:szCs w:val="24"/>
          <w:u w:val="single"/>
          <w:lang w:eastAsia="zh-CN"/>
        </w:rPr>
        <w:t>　天　　　　</w:t>
      </w:r>
      <w:r>
        <w:rPr>
          <w:rFonts w:hint="eastAsia" w:ascii="宋体" w:hAnsi="宋体" w:eastAsia="宋体" w:cs="宋体"/>
          <w:color w:val="auto"/>
          <w:sz w:val="24"/>
          <w:szCs w:val="24"/>
          <w:lang w:eastAsia="zh-CN"/>
        </w:rPr>
        <w:t xml:space="preserve">。 </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逾期竣工违约金最高限额：</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342" w:name="_Toc199152034"/>
      <w:r>
        <w:rPr>
          <w:rFonts w:hint="eastAsia" w:ascii="宋体" w:hAnsi="宋体" w:eastAsia="宋体" w:cs="宋体"/>
          <w:color w:val="auto"/>
          <w:sz w:val="24"/>
          <w:szCs w:val="24"/>
          <w:lang w:eastAsia="zh-CN"/>
        </w:rPr>
        <w:t>11.6</w:t>
      </w:r>
      <w:bookmarkEnd w:id="338"/>
      <w:bookmarkStart w:id="343" w:name="_Toc144974657"/>
      <w:r>
        <w:rPr>
          <w:rFonts w:hint="eastAsia" w:ascii="宋体" w:hAnsi="宋体" w:eastAsia="宋体" w:cs="宋体"/>
          <w:color w:val="auto"/>
          <w:sz w:val="24"/>
          <w:szCs w:val="24"/>
          <w:lang w:eastAsia="zh-CN"/>
        </w:rPr>
        <w:t xml:space="preserve"> 工期提前</w:t>
      </w:r>
      <w:bookmarkEnd w:id="339"/>
      <w:bookmarkEnd w:id="340"/>
      <w:bookmarkEnd w:id="341"/>
      <w:bookmarkEnd w:id="342"/>
      <w:bookmarkEnd w:id="343"/>
    </w:p>
    <w:p>
      <w:pPr>
        <w:ind w:firstLine="480" w:firstLineChars="200"/>
        <w:rPr>
          <w:rFonts w:hint="eastAsia" w:ascii="宋体" w:hAnsi="宋体" w:eastAsia="宋体" w:cs="宋体"/>
          <w:color w:val="auto"/>
          <w:sz w:val="24"/>
          <w:szCs w:val="24"/>
          <w:lang w:eastAsia="zh-CN"/>
        </w:rPr>
      </w:pPr>
      <w:bookmarkStart w:id="344" w:name="_Toc152045689"/>
      <w:bookmarkStart w:id="345" w:name="_Toc179632707"/>
      <w:bookmarkStart w:id="346" w:name="_Toc144974658"/>
      <w:bookmarkStart w:id="347" w:name="_Toc152042467"/>
      <w:r>
        <w:rPr>
          <w:rFonts w:hint="eastAsia" w:ascii="宋体" w:hAnsi="宋体" w:eastAsia="宋体" w:cs="宋体"/>
          <w:color w:val="auto"/>
          <w:sz w:val="24"/>
          <w:szCs w:val="24"/>
          <w:lang w:eastAsia="zh-CN"/>
        </w:rPr>
        <w:t>提前竣工的奖励办法：</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pStyle w:val="6"/>
        <w:rPr>
          <w:rFonts w:hint="eastAsia" w:ascii="宋体" w:hAnsi="宋体" w:eastAsia="宋体" w:cs="宋体"/>
          <w:color w:val="auto"/>
          <w:sz w:val="24"/>
          <w:szCs w:val="24"/>
          <w:lang w:eastAsia="zh-CN"/>
        </w:rPr>
      </w:pPr>
      <w:bookmarkStart w:id="348" w:name="_Toc199152035"/>
      <w:bookmarkStart w:id="349" w:name="_Toc9773"/>
      <w:bookmarkStart w:id="350" w:name="_Toc437355486"/>
      <w:r>
        <w:rPr>
          <w:rFonts w:hint="eastAsia" w:ascii="宋体" w:hAnsi="宋体" w:eastAsia="宋体" w:cs="宋体"/>
          <w:color w:val="auto"/>
          <w:sz w:val="24"/>
          <w:szCs w:val="24"/>
          <w:lang w:eastAsia="zh-CN"/>
        </w:rPr>
        <w:t>12. 暂停施工</w:t>
      </w:r>
      <w:bookmarkEnd w:id="344"/>
      <w:bookmarkEnd w:id="345"/>
      <w:bookmarkEnd w:id="346"/>
      <w:bookmarkEnd w:id="347"/>
      <w:bookmarkEnd w:id="348"/>
      <w:bookmarkEnd w:id="349"/>
      <w:bookmarkEnd w:id="350"/>
    </w:p>
    <w:p>
      <w:pPr>
        <w:pStyle w:val="7"/>
        <w:rPr>
          <w:rFonts w:hint="eastAsia" w:ascii="宋体" w:hAnsi="宋体" w:eastAsia="宋体" w:cs="宋体"/>
          <w:color w:val="auto"/>
          <w:sz w:val="24"/>
          <w:szCs w:val="24"/>
          <w:lang w:eastAsia="zh-CN"/>
        </w:rPr>
      </w:pPr>
      <w:bookmarkStart w:id="351" w:name="_Toc179632708"/>
      <w:bookmarkStart w:id="352" w:name="_Toc199152036"/>
      <w:bookmarkStart w:id="353" w:name="_Toc144974659"/>
      <w:bookmarkStart w:id="354" w:name="_Toc152045690"/>
      <w:bookmarkStart w:id="355" w:name="_Toc152042468"/>
      <w:r>
        <w:rPr>
          <w:rFonts w:hint="eastAsia" w:ascii="宋体" w:hAnsi="宋体" w:eastAsia="宋体" w:cs="宋体"/>
          <w:color w:val="auto"/>
          <w:sz w:val="24"/>
          <w:szCs w:val="24"/>
          <w:lang w:eastAsia="zh-CN"/>
        </w:rPr>
        <w:t>12.1 承包人暂停施工的责任</w:t>
      </w:r>
      <w:bookmarkEnd w:id="351"/>
      <w:bookmarkEnd w:id="352"/>
      <w:bookmarkEnd w:id="353"/>
      <w:bookmarkEnd w:id="354"/>
      <w:bookmarkEnd w:id="355"/>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（5）承包人承担暂停施工责任的其他情形</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pStyle w:val="6"/>
        <w:rPr>
          <w:rFonts w:hint="eastAsia" w:ascii="宋体" w:hAnsi="宋体" w:eastAsia="宋体" w:cs="宋体"/>
          <w:color w:val="auto"/>
          <w:sz w:val="24"/>
          <w:szCs w:val="24"/>
          <w:lang w:eastAsia="zh-CN"/>
        </w:rPr>
      </w:pPr>
      <w:bookmarkStart w:id="356" w:name="_Toc152042473"/>
      <w:bookmarkStart w:id="357" w:name="_Toc199152037"/>
      <w:bookmarkStart w:id="358" w:name="_Toc13837"/>
      <w:bookmarkStart w:id="359" w:name="_Toc179632713"/>
      <w:bookmarkStart w:id="360" w:name="_Toc144974664"/>
      <w:bookmarkStart w:id="361" w:name="_Toc437355487"/>
      <w:bookmarkStart w:id="362" w:name="_Toc152045695"/>
      <w:r>
        <w:rPr>
          <w:rFonts w:hint="eastAsia" w:ascii="宋体" w:hAnsi="宋体" w:eastAsia="宋体" w:cs="宋体"/>
          <w:color w:val="auto"/>
          <w:sz w:val="24"/>
          <w:szCs w:val="24"/>
          <w:lang w:eastAsia="zh-CN"/>
        </w:rPr>
        <w:t>13. 工程质量</w:t>
      </w:r>
      <w:bookmarkEnd w:id="356"/>
      <w:bookmarkEnd w:id="357"/>
      <w:bookmarkEnd w:id="358"/>
      <w:bookmarkEnd w:id="359"/>
      <w:bookmarkEnd w:id="360"/>
      <w:bookmarkEnd w:id="361"/>
      <w:bookmarkEnd w:id="362"/>
      <w:bookmarkStart w:id="363" w:name="_Toc152042475"/>
      <w:bookmarkStart w:id="364" w:name="_Toc152045697"/>
      <w:bookmarkStart w:id="365" w:name="_Toc179632715"/>
      <w:bookmarkStart w:id="366" w:name="_Toc144974666"/>
    </w:p>
    <w:p>
      <w:pPr>
        <w:pStyle w:val="7"/>
        <w:rPr>
          <w:rFonts w:hint="eastAsia" w:ascii="宋体" w:hAnsi="宋体" w:eastAsia="宋体" w:cs="宋体"/>
          <w:color w:val="auto"/>
          <w:sz w:val="24"/>
          <w:szCs w:val="24"/>
          <w:lang w:eastAsia="zh-CN"/>
        </w:rPr>
      </w:pPr>
      <w:bookmarkStart w:id="367" w:name="_Toc199152038"/>
      <w:r>
        <w:rPr>
          <w:rFonts w:hint="eastAsia" w:ascii="宋体" w:hAnsi="宋体" w:eastAsia="宋体" w:cs="宋体"/>
          <w:color w:val="auto"/>
          <w:sz w:val="24"/>
          <w:szCs w:val="24"/>
          <w:lang w:eastAsia="zh-CN"/>
        </w:rPr>
        <w:t>13.2 承包人的质量管理</w:t>
      </w:r>
      <w:bookmarkEnd w:id="363"/>
      <w:bookmarkEnd w:id="364"/>
      <w:bookmarkEnd w:id="365"/>
      <w:bookmarkEnd w:id="366"/>
      <w:bookmarkEnd w:id="367"/>
    </w:p>
    <w:p>
      <w:pPr>
        <w:ind w:firstLine="480" w:firstLineChars="200"/>
        <w:rPr>
          <w:rFonts w:hint="eastAsia" w:ascii="宋体" w:hAnsi="宋体" w:eastAsia="宋体" w:cs="宋体"/>
          <w:color w:val="auto"/>
          <w:sz w:val="24"/>
          <w:szCs w:val="24"/>
          <w:lang w:eastAsia="zh-CN"/>
        </w:rPr>
      </w:pPr>
      <w:bookmarkStart w:id="368" w:name="_Toc152045698"/>
      <w:bookmarkStart w:id="369" w:name="_Toc179632716"/>
      <w:bookmarkStart w:id="370" w:name="_Toc152042476"/>
      <w:bookmarkStart w:id="371" w:name="_Toc144974667"/>
      <w:r>
        <w:rPr>
          <w:rFonts w:hint="eastAsia" w:ascii="宋体" w:hAnsi="宋体" w:eastAsia="宋体" w:cs="宋体"/>
          <w:color w:val="auto"/>
          <w:sz w:val="24"/>
          <w:szCs w:val="24"/>
          <w:lang w:eastAsia="zh-CN"/>
        </w:rPr>
        <w:t>13.2.1承包人向监理人提交工程质量保证措施文件的期限：</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监理人审批工程质量保证措施文件的期限：</w:t>
      </w:r>
      <w:r>
        <w:rPr>
          <w:rFonts w:hint="eastAsia" w:ascii="宋体" w:hAnsi="宋体" w:eastAsia="宋体" w:cs="宋体"/>
          <w:color w:val="auto"/>
          <w:sz w:val="24"/>
          <w:szCs w:val="24"/>
          <w:u w:val="single"/>
          <w:lang w:eastAsia="zh-CN"/>
        </w:rPr>
        <w:t>同《通用条款》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372" w:name="_Toc199152039"/>
      <w:r>
        <w:rPr>
          <w:rFonts w:hint="eastAsia" w:ascii="宋体" w:hAnsi="宋体" w:eastAsia="宋体" w:cs="宋体"/>
          <w:color w:val="auto"/>
          <w:sz w:val="24"/>
          <w:szCs w:val="24"/>
          <w:lang w:eastAsia="zh-CN"/>
        </w:rPr>
        <w:t>13.3 承包人的质量检查</w:t>
      </w:r>
      <w:bookmarkEnd w:id="368"/>
      <w:bookmarkEnd w:id="369"/>
      <w:bookmarkEnd w:id="370"/>
      <w:bookmarkEnd w:id="371"/>
      <w:bookmarkEnd w:id="372"/>
    </w:p>
    <w:p>
      <w:pPr>
        <w:ind w:firstLine="480" w:firstLineChars="200"/>
        <w:rPr>
          <w:rFonts w:hint="eastAsia" w:ascii="宋体" w:hAnsi="宋体" w:eastAsia="宋体" w:cs="宋体"/>
          <w:color w:val="auto"/>
          <w:sz w:val="24"/>
          <w:szCs w:val="24"/>
          <w:lang w:eastAsia="zh-CN"/>
        </w:rPr>
      </w:pPr>
      <w:bookmarkStart w:id="373" w:name="_Toc144974668"/>
      <w:bookmarkStart w:id="374" w:name="_Toc152042477"/>
      <w:bookmarkStart w:id="375" w:name="_Toc152045699"/>
      <w:bookmarkStart w:id="376" w:name="_Toc179632717"/>
      <w:r>
        <w:rPr>
          <w:rFonts w:hint="eastAsia" w:ascii="宋体" w:hAnsi="宋体" w:eastAsia="宋体" w:cs="宋体"/>
          <w:color w:val="auto"/>
          <w:sz w:val="24"/>
          <w:szCs w:val="24"/>
          <w:lang w:eastAsia="zh-CN"/>
        </w:rPr>
        <w:t>承包人向监理人报送工程质量报表的期限：</w:t>
      </w:r>
      <w:r>
        <w:rPr>
          <w:rFonts w:hint="eastAsia" w:ascii="宋体" w:hAnsi="宋体" w:eastAsia="宋体" w:cs="宋体"/>
          <w:color w:val="auto"/>
          <w:sz w:val="24"/>
          <w:szCs w:val="24"/>
          <w:u w:val="single"/>
          <w:lang w:eastAsia="zh-CN"/>
        </w:rPr>
        <w:t>同《通用条款》　　　　</w:t>
      </w:r>
      <w:r>
        <w:rPr>
          <w:rFonts w:hint="eastAsia" w:ascii="宋体" w:hAnsi="宋体" w:eastAsia="宋体" w:cs="宋体"/>
          <w:color w:val="auto"/>
          <w:sz w:val="24"/>
          <w:szCs w:val="24"/>
          <w:lang w:eastAsia="zh-CN"/>
        </w:rPr>
        <w:t>。</w:t>
      </w:r>
    </w:p>
    <w:bookmarkEnd w:id="373"/>
    <w:bookmarkEnd w:id="374"/>
    <w:bookmarkEnd w:id="375"/>
    <w:bookmarkEnd w:id="376"/>
    <w:p>
      <w:pPr>
        <w:ind w:firstLine="480" w:firstLineChars="200"/>
        <w:rPr>
          <w:rFonts w:hint="eastAsia" w:ascii="宋体" w:hAnsi="宋体" w:eastAsia="宋体" w:cs="宋体"/>
          <w:color w:val="auto"/>
          <w:sz w:val="24"/>
          <w:szCs w:val="24"/>
          <w:lang w:eastAsia="zh-CN"/>
        </w:rPr>
      </w:pPr>
      <w:bookmarkStart w:id="377" w:name="_Toc152045700"/>
      <w:bookmarkStart w:id="378" w:name="_Toc179632718"/>
      <w:bookmarkStart w:id="379" w:name="_Toc144974669"/>
      <w:bookmarkStart w:id="380" w:name="_Toc152042478"/>
      <w:r>
        <w:rPr>
          <w:rFonts w:hint="eastAsia" w:ascii="宋体" w:hAnsi="宋体" w:eastAsia="宋体" w:cs="宋体"/>
          <w:color w:val="auto"/>
          <w:sz w:val="24"/>
          <w:szCs w:val="24"/>
          <w:lang w:eastAsia="zh-CN"/>
        </w:rPr>
        <w:t>承包人向监理人报送工程质量报表的要求：</w:t>
      </w:r>
      <w:r>
        <w:rPr>
          <w:rFonts w:hint="eastAsia" w:ascii="宋体" w:hAnsi="宋体" w:eastAsia="宋体" w:cs="宋体"/>
          <w:color w:val="auto"/>
          <w:sz w:val="24"/>
          <w:szCs w:val="24"/>
          <w:u w:val="single"/>
          <w:lang w:eastAsia="zh-CN"/>
        </w:rPr>
        <w:t>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监理人审查工程质量报表的期限</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381" w:name="_Toc199152040"/>
      <w:r>
        <w:rPr>
          <w:rFonts w:hint="eastAsia" w:ascii="宋体" w:hAnsi="宋体" w:eastAsia="宋体" w:cs="宋体"/>
          <w:color w:val="auto"/>
          <w:sz w:val="24"/>
          <w:szCs w:val="24"/>
          <w:lang w:eastAsia="zh-CN"/>
        </w:rPr>
        <w:t>13.4 监理人的质量检查</w:t>
      </w:r>
      <w:bookmarkEnd w:id="381"/>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承包人应当为监理人的检查和检验提供方便，监理人可以进行察看和查阅施工原始记录的其他地方包括：</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382" w:name="_Toc199152041"/>
      <w:r>
        <w:rPr>
          <w:rFonts w:hint="eastAsia" w:ascii="宋体" w:hAnsi="宋体" w:eastAsia="宋体" w:cs="宋体"/>
          <w:color w:val="auto"/>
          <w:sz w:val="24"/>
          <w:szCs w:val="24"/>
          <w:lang w:eastAsia="zh-CN"/>
        </w:rPr>
        <w:t>13.5 工程隐蔽部位覆盖前的检查</w:t>
      </w:r>
      <w:bookmarkEnd w:id="377"/>
      <w:bookmarkEnd w:id="378"/>
      <w:bookmarkEnd w:id="379"/>
      <w:bookmarkEnd w:id="380"/>
      <w:bookmarkEnd w:id="382"/>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13.5.1 监理人对工程隐蔽部位进行检查的期限：</w:t>
      </w:r>
      <w:r>
        <w:rPr>
          <w:rFonts w:hint="eastAsia" w:ascii="宋体" w:hAnsi="宋体" w:eastAsia="宋体" w:cs="宋体"/>
          <w:color w:val="auto"/>
          <w:sz w:val="24"/>
          <w:szCs w:val="24"/>
          <w:u w:val="single"/>
          <w:lang w:eastAsia="zh-CN"/>
        </w:rPr>
        <w:t>同《通用条款》　　　　</w:t>
      </w:r>
      <w:r>
        <w:rPr>
          <w:rFonts w:hint="eastAsia" w:ascii="宋体" w:hAnsi="宋体" w:eastAsia="宋体" w:cs="宋体"/>
          <w:color w:val="auto"/>
          <w:sz w:val="24"/>
          <w:szCs w:val="24"/>
          <w:lang w:eastAsia="zh-CN"/>
        </w:rPr>
        <w:t>。</w:t>
      </w:r>
    </w:p>
    <w:p>
      <w:pPr>
        <w:pStyle w:val="6"/>
        <w:rPr>
          <w:rFonts w:hint="eastAsia" w:ascii="宋体" w:hAnsi="宋体" w:eastAsia="宋体" w:cs="宋体"/>
          <w:color w:val="auto"/>
          <w:sz w:val="24"/>
          <w:szCs w:val="24"/>
          <w:lang w:eastAsia="zh-CN"/>
        </w:rPr>
      </w:pPr>
      <w:bookmarkStart w:id="383" w:name="_Toc152042484"/>
      <w:bookmarkStart w:id="384" w:name="_Toc26560"/>
      <w:bookmarkStart w:id="385" w:name="_Toc144974675"/>
      <w:bookmarkStart w:id="386" w:name="_Toc152045706"/>
      <w:bookmarkStart w:id="387" w:name="_Toc437355488"/>
      <w:bookmarkStart w:id="388" w:name="_Toc199152042"/>
      <w:bookmarkStart w:id="389" w:name="_Toc179632724"/>
      <w:r>
        <w:rPr>
          <w:rFonts w:hint="eastAsia" w:ascii="宋体" w:hAnsi="宋体" w:eastAsia="宋体" w:cs="宋体"/>
          <w:color w:val="auto"/>
          <w:sz w:val="24"/>
          <w:szCs w:val="24"/>
          <w:lang w:eastAsia="zh-CN"/>
        </w:rPr>
        <w:t>15. 变更</w:t>
      </w:r>
      <w:bookmarkEnd w:id="383"/>
      <w:bookmarkEnd w:id="384"/>
      <w:bookmarkEnd w:id="385"/>
      <w:bookmarkEnd w:id="386"/>
      <w:bookmarkEnd w:id="387"/>
      <w:bookmarkEnd w:id="388"/>
      <w:bookmarkEnd w:id="389"/>
    </w:p>
    <w:p>
      <w:pPr>
        <w:pStyle w:val="7"/>
        <w:rPr>
          <w:rFonts w:hint="eastAsia" w:ascii="宋体" w:hAnsi="宋体" w:eastAsia="宋体" w:cs="宋体"/>
          <w:color w:val="auto"/>
          <w:sz w:val="24"/>
          <w:szCs w:val="24"/>
          <w:lang w:eastAsia="zh-CN"/>
        </w:rPr>
      </w:pPr>
      <w:bookmarkStart w:id="390" w:name="_Toc152042485"/>
      <w:bookmarkStart w:id="391" w:name="_Toc179632725"/>
      <w:bookmarkStart w:id="392" w:name="_Toc144974676"/>
      <w:bookmarkStart w:id="393" w:name="_Toc152045707"/>
      <w:bookmarkStart w:id="394" w:name="_Toc199152043"/>
      <w:r>
        <w:rPr>
          <w:rFonts w:hint="eastAsia" w:ascii="宋体" w:hAnsi="宋体" w:eastAsia="宋体" w:cs="宋体"/>
          <w:color w:val="auto"/>
          <w:sz w:val="24"/>
          <w:szCs w:val="24"/>
          <w:lang w:eastAsia="zh-CN"/>
        </w:rPr>
        <w:t>15.1 变更的范围和内容</w:t>
      </w:r>
      <w:bookmarkEnd w:id="390"/>
      <w:bookmarkEnd w:id="391"/>
      <w:bookmarkEnd w:id="392"/>
      <w:bookmarkEnd w:id="393"/>
      <w:bookmarkEnd w:id="394"/>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应当进行变更的其他情形：</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违背通用合同条款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并承担由此引起的其他责任。承包人应当按通用合同条款第23.1.1（1）目的约定，在上述28天期限到期后的28天内，向监理人递交索赔意向通知书,并按通用合同条款第23.1.1（2）目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pPr>
        <w:pStyle w:val="7"/>
        <w:rPr>
          <w:rFonts w:hint="eastAsia" w:ascii="宋体" w:hAnsi="宋体" w:eastAsia="宋体" w:cs="宋体"/>
          <w:color w:val="auto"/>
          <w:sz w:val="24"/>
          <w:szCs w:val="24"/>
          <w:lang w:eastAsia="zh-CN"/>
        </w:rPr>
      </w:pPr>
      <w:bookmarkStart w:id="395" w:name="_Toc152045709"/>
      <w:bookmarkStart w:id="396" w:name="_Toc199152044"/>
      <w:bookmarkStart w:id="397" w:name="_Toc144974678"/>
      <w:bookmarkStart w:id="398" w:name="_Toc152042487"/>
      <w:bookmarkStart w:id="399" w:name="_Toc179632727"/>
      <w:r>
        <w:rPr>
          <w:rFonts w:hint="eastAsia" w:ascii="宋体" w:hAnsi="宋体" w:eastAsia="宋体" w:cs="宋体"/>
          <w:color w:val="auto"/>
          <w:sz w:val="24"/>
          <w:szCs w:val="24"/>
          <w:lang w:eastAsia="zh-CN"/>
        </w:rPr>
        <w:t>15.3 变更程序</w:t>
      </w:r>
      <w:bookmarkEnd w:id="395"/>
      <w:bookmarkEnd w:id="396"/>
      <w:bookmarkEnd w:id="397"/>
      <w:bookmarkEnd w:id="398"/>
      <w:bookmarkEnd w:id="399"/>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15.3.2 变更估价</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（1）承包人提交变更报价书的期限：</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（２）监理人商定或确定变更价格的期限：</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400" w:name="_Toc199152045"/>
      <w:bookmarkStart w:id="401" w:name="_Toc179632728"/>
      <w:bookmarkStart w:id="402" w:name="_Toc152042488"/>
      <w:bookmarkStart w:id="403" w:name="_Toc144974679"/>
      <w:bookmarkStart w:id="404" w:name="_Toc152045710"/>
      <w:r>
        <w:rPr>
          <w:rFonts w:hint="eastAsia" w:ascii="宋体" w:hAnsi="宋体" w:eastAsia="宋体" w:cs="宋体"/>
          <w:color w:val="auto"/>
          <w:sz w:val="24"/>
          <w:szCs w:val="24"/>
          <w:lang w:eastAsia="zh-CN"/>
        </w:rPr>
        <w:t>15.4 变更的估价原则</w:t>
      </w:r>
      <w:bookmarkEnd w:id="400"/>
      <w:bookmarkEnd w:id="401"/>
      <w:bookmarkEnd w:id="402"/>
      <w:bookmarkEnd w:id="403"/>
      <w:bookmarkEnd w:id="404"/>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因变更引起价格调整的其他处理方式：</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405" w:name="_Toc152042489"/>
      <w:bookmarkStart w:id="406" w:name="_Toc152045711"/>
      <w:bookmarkStart w:id="407" w:name="_Toc199152046"/>
      <w:bookmarkStart w:id="408" w:name="_Toc144974680"/>
      <w:bookmarkStart w:id="409" w:name="_Toc179632729"/>
      <w:r>
        <w:rPr>
          <w:rFonts w:hint="eastAsia" w:ascii="宋体" w:hAnsi="宋体" w:eastAsia="宋体" w:cs="宋体"/>
          <w:color w:val="auto"/>
          <w:sz w:val="24"/>
          <w:szCs w:val="24"/>
          <w:lang w:eastAsia="zh-CN"/>
        </w:rPr>
        <w:t>15.5 承包人的合理化建议</w:t>
      </w:r>
      <w:bookmarkEnd w:id="405"/>
      <w:bookmarkEnd w:id="406"/>
      <w:bookmarkEnd w:id="407"/>
      <w:bookmarkEnd w:id="408"/>
      <w:bookmarkEnd w:id="409"/>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15.5.2对承包人提出合理化建议的奖励方法：</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w:t>
      </w:r>
      <w:bookmarkStart w:id="410" w:name="_Toc152042490"/>
      <w:bookmarkStart w:id="411" w:name="_Toc144974681"/>
      <w:bookmarkStart w:id="412" w:name="_Toc152045712"/>
      <w:bookmarkStart w:id="413" w:name="_Toc179632730"/>
    </w:p>
    <w:bookmarkEnd w:id="410"/>
    <w:bookmarkEnd w:id="411"/>
    <w:bookmarkEnd w:id="412"/>
    <w:bookmarkEnd w:id="413"/>
    <w:p>
      <w:pPr>
        <w:pStyle w:val="7"/>
        <w:rPr>
          <w:rFonts w:hint="eastAsia" w:ascii="宋体" w:hAnsi="宋体" w:eastAsia="宋体" w:cs="宋体"/>
          <w:color w:val="auto"/>
          <w:sz w:val="24"/>
          <w:szCs w:val="24"/>
          <w:lang w:eastAsia="zh-CN"/>
        </w:rPr>
      </w:pPr>
      <w:bookmarkStart w:id="414" w:name="_Toc199152047"/>
      <w:bookmarkStart w:id="415" w:name="_Toc152042492"/>
      <w:bookmarkStart w:id="416" w:name="_Toc144974683"/>
      <w:bookmarkStart w:id="417" w:name="_Toc152045714"/>
      <w:bookmarkStart w:id="418" w:name="_Toc179632732"/>
      <w:r>
        <w:rPr>
          <w:rFonts w:hint="eastAsia" w:ascii="宋体" w:hAnsi="宋体" w:eastAsia="宋体" w:cs="宋体"/>
          <w:color w:val="auto"/>
          <w:sz w:val="24"/>
          <w:szCs w:val="24"/>
          <w:lang w:eastAsia="zh-CN"/>
        </w:rPr>
        <w:t>15.8 暂估价</w:t>
      </w:r>
      <w:bookmarkEnd w:id="414"/>
      <w:bookmarkEnd w:id="415"/>
      <w:bookmarkEnd w:id="416"/>
      <w:bookmarkEnd w:id="417"/>
      <w:bookmarkEnd w:id="418"/>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15.8.1按合同约定应当由发包人选择专项供应商或专业分包人的，供应的材料和专业分包的配合费、以及相应的管理费、税金等应当被认为已经包括在承包人的签约合同价（投标总报价）中：</w:t>
      </w:r>
    </w:p>
    <w:p>
      <w:pPr>
        <w:spacing w:after="190" w:afterLines="5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15.8.2发包人在工程量清单中给定暂估价的专业工程，其最终价格的估价人为：</w:t>
      </w:r>
      <w:r>
        <w:rPr>
          <w:rFonts w:hint="eastAsia" w:ascii="宋体" w:hAnsi="宋体" w:eastAsia="宋体" w:cs="宋体"/>
          <w:color w:val="auto"/>
          <w:sz w:val="24"/>
          <w:szCs w:val="24"/>
          <w:u w:val="single"/>
          <w:lang w:eastAsia="zh-CN"/>
        </w:rPr>
        <w:t>　发包人　　　</w:t>
      </w:r>
      <w:r>
        <w:rPr>
          <w:rFonts w:hint="eastAsia" w:ascii="宋体" w:hAnsi="宋体" w:eastAsia="宋体" w:cs="宋体"/>
          <w:color w:val="auto"/>
          <w:sz w:val="24"/>
          <w:szCs w:val="24"/>
          <w:lang w:eastAsia="zh-CN"/>
        </w:rPr>
        <w:t>。</w:t>
      </w:r>
    </w:p>
    <w:p>
      <w:pPr>
        <w:pStyle w:val="6"/>
        <w:rPr>
          <w:rFonts w:hint="eastAsia" w:ascii="宋体" w:hAnsi="宋体" w:eastAsia="宋体" w:cs="宋体"/>
          <w:color w:val="auto"/>
          <w:sz w:val="24"/>
          <w:szCs w:val="24"/>
          <w:lang w:eastAsia="zh-CN"/>
        </w:rPr>
      </w:pPr>
      <w:bookmarkStart w:id="419" w:name="_Toc152045715"/>
      <w:bookmarkStart w:id="420" w:name="_Toc144974684"/>
      <w:bookmarkStart w:id="421" w:name="_Toc437355489"/>
      <w:bookmarkStart w:id="422" w:name="_Toc152042493"/>
      <w:bookmarkStart w:id="423" w:name="_Toc199152048"/>
      <w:bookmarkStart w:id="424" w:name="_Toc179632733"/>
      <w:bookmarkStart w:id="425" w:name="_Toc1634"/>
      <w:r>
        <w:rPr>
          <w:rFonts w:hint="eastAsia" w:ascii="宋体" w:hAnsi="宋体" w:eastAsia="宋体" w:cs="宋体"/>
          <w:color w:val="auto"/>
          <w:sz w:val="24"/>
          <w:szCs w:val="24"/>
          <w:lang w:eastAsia="zh-CN"/>
        </w:rPr>
        <w:t>16. 价格调整</w:t>
      </w:r>
      <w:bookmarkEnd w:id="419"/>
      <w:bookmarkEnd w:id="420"/>
      <w:bookmarkEnd w:id="421"/>
      <w:bookmarkEnd w:id="422"/>
      <w:bookmarkEnd w:id="423"/>
      <w:bookmarkEnd w:id="424"/>
      <w:bookmarkEnd w:id="425"/>
    </w:p>
    <w:p>
      <w:pPr>
        <w:pStyle w:val="7"/>
        <w:rPr>
          <w:rFonts w:hint="eastAsia" w:ascii="宋体" w:hAnsi="宋体" w:eastAsia="宋体" w:cs="宋体"/>
          <w:color w:val="auto"/>
          <w:sz w:val="24"/>
          <w:szCs w:val="24"/>
          <w:lang w:eastAsia="zh-CN"/>
        </w:rPr>
      </w:pPr>
      <w:bookmarkStart w:id="426" w:name="_Toc152045716"/>
      <w:bookmarkStart w:id="427" w:name="_Toc199152049"/>
      <w:bookmarkStart w:id="428" w:name="_Toc152042494"/>
      <w:bookmarkStart w:id="429" w:name="_Toc144974685"/>
      <w:bookmarkStart w:id="430" w:name="_Toc179632734"/>
      <w:r>
        <w:rPr>
          <w:rFonts w:hint="eastAsia" w:ascii="宋体" w:hAnsi="宋体" w:eastAsia="宋体" w:cs="宋体"/>
          <w:color w:val="auto"/>
          <w:sz w:val="24"/>
          <w:szCs w:val="24"/>
          <w:lang w:eastAsia="zh-CN"/>
        </w:rPr>
        <w:t>16.1 物价波动引起的价格调整</w:t>
      </w:r>
      <w:bookmarkEnd w:id="426"/>
      <w:bookmarkEnd w:id="427"/>
      <w:bookmarkEnd w:id="428"/>
      <w:bookmarkEnd w:id="429"/>
      <w:bookmarkEnd w:id="430"/>
    </w:p>
    <w:p>
      <w:pPr>
        <w:spacing w:after="190" w:afterLines="50" w:line="30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物价波动引起的价格调整方法：</w:t>
      </w:r>
      <w:r>
        <w:rPr>
          <w:rFonts w:hint="eastAsia" w:ascii="宋体" w:hAnsi="宋体" w:eastAsia="宋体" w:cs="宋体"/>
          <w:color w:val="auto"/>
          <w:sz w:val="24"/>
          <w:szCs w:val="24"/>
          <w:u w:val="single"/>
          <w:lang w:eastAsia="zh-CN"/>
        </w:rPr>
        <w:t>固定总价，除因工程量造成的变更外，合同单价不作调整　</w:t>
      </w:r>
      <w:r>
        <w:rPr>
          <w:rFonts w:hint="eastAsia" w:ascii="宋体" w:hAnsi="宋体" w:eastAsia="宋体" w:cs="宋体"/>
          <w:color w:val="auto"/>
          <w:sz w:val="24"/>
          <w:szCs w:val="24"/>
          <w:lang w:eastAsia="zh-CN"/>
        </w:rPr>
        <w:t>。</w:t>
      </w:r>
    </w:p>
    <w:p>
      <w:pPr>
        <w:pStyle w:val="6"/>
        <w:rPr>
          <w:rFonts w:hint="eastAsia" w:ascii="宋体" w:hAnsi="宋体" w:eastAsia="宋体" w:cs="宋体"/>
          <w:color w:val="auto"/>
          <w:sz w:val="24"/>
          <w:szCs w:val="24"/>
          <w:lang w:eastAsia="zh-CN"/>
        </w:rPr>
      </w:pPr>
      <w:bookmarkStart w:id="431" w:name="_Toc152045718"/>
      <w:bookmarkStart w:id="432" w:name="_Toc437355490"/>
      <w:bookmarkStart w:id="433" w:name="_Toc18494"/>
      <w:bookmarkStart w:id="434" w:name="_Toc199152050"/>
      <w:bookmarkStart w:id="435" w:name="_Toc179632736"/>
      <w:bookmarkStart w:id="436" w:name="_Toc152042497"/>
      <w:bookmarkStart w:id="437" w:name="_Toc144974689"/>
      <w:r>
        <w:rPr>
          <w:rFonts w:hint="eastAsia" w:ascii="宋体" w:hAnsi="宋体" w:eastAsia="宋体" w:cs="宋体"/>
          <w:color w:val="auto"/>
          <w:sz w:val="24"/>
          <w:szCs w:val="24"/>
          <w:lang w:eastAsia="zh-CN"/>
        </w:rPr>
        <w:t>17. 计量与支付</w:t>
      </w:r>
      <w:bookmarkEnd w:id="431"/>
      <w:bookmarkEnd w:id="432"/>
      <w:bookmarkEnd w:id="433"/>
      <w:bookmarkEnd w:id="434"/>
      <w:bookmarkEnd w:id="435"/>
      <w:bookmarkEnd w:id="436"/>
      <w:bookmarkEnd w:id="437"/>
    </w:p>
    <w:p>
      <w:pPr>
        <w:pStyle w:val="7"/>
        <w:rPr>
          <w:rFonts w:hint="eastAsia" w:ascii="宋体" w:hAnsi="宋体" w:eastAsia="宋体" w:cs="宋体"/>
          <w:color w:val="auto"/>
          <w:sz w:val="24"/>
          <w:szCs w:val="24"/>
          <w:lang w:eastAsia="zh-CN"/>
        </w:rPr>
      </w:pPr>
      <w:bookmarkStart w:id="438" w:name="_Toc179632737"/>
      <w:bookmarkStart w:id="439" w:name="_Toc144974690"/>
      <w:bookmarkStart w:id="440" w:name="_Toc152045719"/>
      <w:bookmarkStart w:id="441" w:name="_Toc199152051"/>
      <w:bookmarkStart w:id="442" w:name="_Toc152042498"/>
      <w:r>
        <w:rPr>
          <w:rFonts w:hint="eastAsia" w:ascii="宋体" w:hAnsi="宋体" w:eastAsia="宋体" w:cs="宋体"/>
          <w:color w:val="auto"/>
          <w:sz w:val="24"/>
          <w:szCs w:val="24"/>
          <w:lang w:eastAsia="zh-CN"/>
        </w:rPr>
        <w:t>17.1 计量</w:t>
      </w:r>
      <w:bookmarkEnd w:id="438"/>
      <w:bookmarkEnd w:id="439"/>
      <w:bookmarkEnd w:id="440"/>
      <w:bookmarkEnd w:id="441"/>
      <w:bookmarkEnd w:id="442"/>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17.1.2 计量方法</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工程量计算规则执行国家有关主管部门发布的现行国家标准《建设工程工程量清单计价规范》。承包人实际完成的工程量按约定的工程量计算规则和有合同约束力的图纸进行计量。</w:t>
      </w:r>
    </w:p>
    <w:p>
      <w:pPr>
        <w:pStyle w:val="7"/>
        <w:rPr>
          <w:rFonts w:hint="eastAsia" w:ascii="宋体" w:hAnsi="宋体" w:eastAsia="宋体" w:cs="宋体"/>
          <w:color w:val="auto"/>
          <w:sz w:val="24"/>
          <w:szCs w:val="24"/>
          <w:lang w:eastAsia="zh-CN"/>
        </w:rPr>
      </w:pPr>
      <w:bookmarkStart w:id="443" w:name="_Toc199152052"/>
      <w:bookmarkStart w:id="444" w:name="_Toc179632738"/>
      <w:bookmarkStart w:id="445" w:name="_Toc152045720"/>
      <w:bookmarkStart w:id="446" w:name="_Toc144974691"/>
      <w:bookmarkStart w:id="447" w:name="_Toc152042499"/>
      <w:r>
        <w:rPr>
          <w:rFonts w:hint="eastAsia" w:ascii="宋体" w:hAnsi="宋体" w:eastAsia="宋体" w:cs="宋体"/>
          <w:color w:val="auto"/>
          <w:sz w:val="24"/>
          <w:szCs w:val="24"/>
          <w:lang w:eastAsia="zh-CN"/>
        </w:rPr>
        <w:t>17.2 材料预付款</w:t>
      </w:r>
      <w:bookmarkEnd w:id="443"/>
      <w:bookmarkEnd w:id="444"/>
      <w:bookmarkEnd w:id="445"/>
      <w:bookmarkEnd w:id="446"/>
      <w:bookmarkEnd w:id="447"/>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17.2.1</w:t>
      </w:r>
      <w:r>
        <w:rPr>
          <w:rFonts w:hint="eastAsia" w:ascii="宋体" w:hAnsi="宋体" w:eastAsia="宋体" w:cs="宋体"/>
          <w:color w:val="auto"/>
          <w:sz w:val="24"/>
          <w:szCs w:val="24"/>
          <w:u w:val="single"/>
          <w:lang w:eastAsia="zh-CN"/>
        </w:rPr>
        <w:t>本工程材料预付款签订合同时约定　　。</w:t>
      </w:r>
    </w:p>
    <w:p>
      <w:pPr>
        <w:pStyle w:val="7"/>
        <w:rPr>
          <w:rFonts w:hint="eastAsia" w:ascii="宋体" w:hAnsi="宋体" w:eastAsia="宋体" w:cs="宋体"/>
          <w:color w:val="auto"/>
          <w:sz w:val="24"/>
          <w:szCs w:val="24"/>
          <w:lang w:eastAsia="zh-CN"/>
        </w:rPr>
      </w:pPr>
      <w:bookmarkStart w:id="448" w:name="_Toc179632739"/>
      <w:bookmarkStart w:id="449" w:name="_Toc152042500"/>
      <w:bookmarkStart w:id="450" w:name="_Toc152045721"/>
      <w:bookmarkStart w:id="451" w:name="_Toc144974692"/>
      <w:bookmarkStart w:id="452" w:name="_Toc199152053"/>
      <w:r>
        <w:rPr>
          <w:rFonts w:hint="eastAsia" w:ascii="宋体" w:hAnsi="宋体" w:eastAsia="宋体" w:cs="宋体"/>
          <w:color w:val="auto"/>
          <w:sz w:val="24"/>
          <w:szCs w:val="24"/>
          <w:lang w:eastAsia="zh-CN"/>
        </w:rPr>
        <w:t>17.3 工程进度付款</w:t>
      </w:r>
      <w:bookmarkEnd w:id="448"/>
      <w:bookmarkEnd w:id="449"/>
      <w:bookmarkEnd w:id="450"/>
      <w:bookmarkEnd w:id="451"/>
      <w:bookmarkEnd w:id="452"/>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17.3.1．付款周期：</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17.3.2进度付款申请单</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进度付款申请单的份数：</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进度付款申请单的内容：</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17.3.2进度款支付时间：</w:t>
      </w:r>
      <w:bookmarkStart w:id="453" w:name="_Toc152045722"/>
      <w:bookmarkStart w:id="454" w:name="_Toc144974693"/>
      <w:bookmarkStart w:id="455" w:name="_Toc152042501"/>
      <w:bookmarkStart w:id="456" w:name="_Toc199152054"/>
      <w:bookmarkStart w:id="457" w:name="_Toc179632740"/>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17.4 </w:t>
      </w:r>
      <w:bookmarkEnd w:id="453"/>
      <w:bookmarkEnd w:id="454"/>
      <w:bookmarkEnd w:id="455"/>
      <w:r>
        <w:rPr>
          <w:rFonts w:hint="eastAsia" w:ascii="宋体" w:hAnsi="宋体" w:eastAsia="宋体" w:cs="宋体"/>
          <w:color w:val="auto"/>
          <w:sz w:val="24"/>
          <w:szCs w:val="24"/>
          <w:lang w:eastAsia="zh-CN"/>
        </w:rPr>
        <w:t>质量保证金</w:t>
      </w:r>
      <w:bookmarkEnd w:id="456"/>
      <w:bookmarkEnd w:id="457"/>
    </w:p>
    <w:p>
      <w:pPr>
        <w:ind w:firstLine="480" w:firstLineChars="200"/>
        <w:rPr>
          <w:rFonts w:hint="eastAsia" w:ascii="宋体" w:hAnsi="宋体" w:eastAsia="宋体" w:cs="宋体"/>
          <w:color w:val="auto"/>
          <w:sz w:val="24"/>
          <w:szCs w:val="24"/>
          <w:lang w:eastAsia="zh-CN"/>
        </w:rPr>
      </w:pPr>
      <w:bookmarkStart w:id="458" w:name="_Toc152045723"/>
      <w:bookmarkStart w:id="459" w:name="_Toc152042502"/>
      <w:bookmarkStart w:id="460" w:name="_Toc144974694"/>
      <w:bookmarkStart w:id="461" w:name="_Toc179632741"/>
      <w:r>
        <w:rPr>
          <w:rFonts w:hint="eastAsia" w:ascii="宋体" w:hAnsi="宋体" w:eastAsia="宋体" w:cs="宋体"/>
          <w:color w:val="auto"/>
          <w:sz w:val="24"/>
          <w:szCs w:val="24"/>
          <w:lang w:eastAsia="zh-CN"/>
        </w:rPr>
        <w:t>17.4.1</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462" w:name="_Toc199152055"/>
      <w:r>
        <w:rPr>
          <w:rFonts w:hint="eastAsia" w:ascii="宋体" w:hAnsi="宋体" w:eastAsia="宋体" w:cs="宋体"/>
          <w:color w:val="auto"/>
          <w:sz w:val="24"/>
          <w:szCs w:val="24"/>
          <w:lang w:eastAsia="zh-CN"/>
        </w:rPr>
        <w:t>17.5 竣工结算</w:t>
      </w:r>
      <w:bookmarkEnd w:id="458"/>
      <w:bookmarkEnd w:id="459"/>
      <w:bookmarkEnd w:id="460"/>
      <w:bookmarkEnd w:id="461"/>
      <w:bookmarkEnd w:id="462"/>
    </w:p>
    <w:p>
      <w:pPr>
        <w:ind w:firstLine="480" w:firstLineChars="200"/>
        <w:rPr>
          <w:rFonts w:hint="eastAsia" w:ascii="宋体" w:hAnsi="宋体" w:eastAsia="宋体" w:cs="宋体"/>
          <w:color w:val="auto"/>
          <w:sz w:val="24"/>
          <w:szCs w:val="24"/>
          <w:lang w:eastAsia="zh-CN"/>
        </w:rPr>
      </w:pPr>
      <w:bookmarkStart w:id="463" w:name="_Toc152045724"/>
      <w:bookmarkStart w:id="464" w:name="_Toc179632742"/>
      <w:bookmarkStart w:id="465" w:name="_Toc152042503"/>
      <w:bookmarkStart w:id="466" w:name="_Toc144974695"/>
      <w:r>
        <w:rPr>
          <w:rFonts w:hint="eastAsia" w:ascii="宋体" w:hAnsi="宋体" w:eastAsia="宋体" w:cs="宋体"/>
          <w:color w:val="auto"/>
          <w:sz w:val="24"/>
          <w:szCs w:val="24"/>
          <w:lang w:eastAsia="zh-CN"/>
        </w:rPr>
        <w:t>17.5.1竣工付款申请单</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承包人提交竣工付款申请单的份数：</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承包人提交竣工付款申请单的期限：</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竣工付款申请单的内容：</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467" w:name="_Toc199152056"/>
      <w:r>
        <w:rPr>
          <w:rFonts w:hint="eastAsia" w:ascii="宋体" w:hAnsi="宋体" w:eastAsia="宋体" w:cs="宋体"/>
          <w:color w:val="auto"/>
          <w:sz w:val="24"/>
          <w:szCs w:val="24"/>
          <w:lang w:eastAsia="zh-CN"/>
        </w:rPr>
        <w:t>17.6 最终结清</w:t>
      </w:r>
      <w:bookmarkEnd w:id="463"/>
      <w:bookmarkEnd w:id="464"/>
      <w:bookmarkEnd w:id="465"/>
      <w:bookmarkEnd w:id="466"/>
      <w:bookmarkEnd w:id="467"/>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17.6.1最终结清申请单</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承包人提交最终结清申请单的份数：</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承包人提交最终结清申请单的期限：</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pStyle w:val="6"/>
        <w:rPr>
          <w:rFonts w:hint="eastAsia" w:ascii="宋体" w:hAnsi="宋体" w:eastAsia="宋体" w:cs="宋体"/>
          <w:color w:val="auto"/>
          <w:sz w:val="24"/>
          <w:szCs w:val="24"/>
          <w:lang w:eastAsia="zh-CN"/>
        </w:rPr>
      </w:pPr>
      <w:bookmarkStart w:id="468" w:name="_Toc437355491"/>
      <w:bookmarkStart w:id="469" w:name="_Toc144974696"/>
      <w:bookmarkStart w:id="470" w:name="_Toc152042504"/>
      <w:bookmarkStart w:id="471" w:name="_Toc199152057"/>
      <w:bookmarkStart w:id="472" w:name="_Toc179632743"/>
      <w:bookmarkStart w:id="473" w:name="_Toc152045725"/>
      <w:bookmarkStart w:id="474" w:name="_Toc16016"/>
      <w:r>
        <w:rPr>
          <w:rFonts w:hint="eastAsia" w:ascii="宋体" w:hAnsi="宋体" w:eastAsia="宋体" w:cs="宋体"/>
          <w:color w:val="auto"/>
          <w:sz w:val="24"/>
          <w:szCs w:val="24"/>
          <w:lang w:eastAsia="zh-CN"/>
        </w:rPr>
        <w:t>18. 竣工验收</w:t>
      </w:r>
      <w:bookmarkEnd w:id="468"/>
      <w:bookmarkEnd w:id="469"/>
      <w:bookmarkEnd w:id="470"/>
      <w:bookmarkEnd w:id="471"/>
      <w:bookmarkEnd w:id="472"/>
      <w:bookmarkEnd w:id="473"/>
      <w:bookmarkEnd w:id="474"/>
    </w:p>
    <w:p>
      <w:pPr>
        <w:pStyle w:val="7"/>
        <w:rPr>
          <w:rFonts w:hint="eastAsia" w:ascii="宋体" w:hAnsi="宋体" w:eastAsia="宋体" w:cs="宋体"/>
          <w:color w:val="auto"/>
          <w:sz w:val="24"/>
          <w:szCs w:val="24"/>
          <w:lang w:eastAsia="zh-CN"/>
        </w:rPr>
      </w:pPr>
      <w:bookmarkStart w:id="475" w:name="_Toc144974698"/>
      <w:bookmarkStart w:id="476" w:name="_Toc152045727"/>
      <w:bookmarkStart w:id="477" w:name="_Toc199152058"/>
      <w:bookmarkStart w:id="478" w:name="_Toc152042506"/>
      <w:bookmarkStart w:id="479" w:name="_Toc179632745"/>
      <w:r>
        <w:rPr>
          <w:rFonts w:hint="eastAsia" w:ascii="宋体" w:hAnsi="宋体" w:eastAsia="宋体" w:cs="宋体"/>
          <w:color w:val="auto"/>
          <w:sz w:val="24"/>
          <w:szCs w:val="24"/>
          <w:lang w:eastAsia="zh-CN"/>
        </w:rPr>
        <w:t>18.2 竣工验收申请报告</w:t>
      </w:r>
      <w:bookmarkEnd w:id="475"/>
      <w:bookmarkEnd w:id="476"/>
      <w:bookmarkEnd w:id="477"/>
      <w:bookmarkEnd w:id="478"/>
      <w:bookmarkEnd w:id="479"/>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（１）承包人负责整理和提交的竣工验收资料应当符合工程所在地建设行政主管部门和（或）城市建设档案管理机构有关施工资料的要求，具体内容包括</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竣工验收资料的份数：</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bookmarkStart w:id="480" w:name="_Toc152042507"/>
      <w:bookmarkStart w:id="481" w:name="_Toc152045728"/>
      <w:bookmarkStart w:id="482" w:name="_Toc179632746"/>
      <w:bookmarkStart w:id="483" w:name="_Toc144974699"/>
      <w:r>
        <w:rPr>
          <w:rFonts w:hint="eastAsia" w:ascii="宋体" w:hAnsi="宋体" w:eastAsia="宋体" w:cs="宋体"/>
          <w:color w:val="auto"/>
          <w:sz w:val="24"/>
          <w:szCs w:val="24"/>
          <w:lang w:eastAsia="zh-CN"/>
        </w:rPr>
        <w:t>竣工验收资料的费用支付方式</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484" w:name="_Toc199152059"/>
      <w:r>
        <w:rPr>
          <w:rFonts w:hint="eastAsia" w:ascii="宋体" w:hAnsi="宋体" w:eastAsia="宋体" w:cs="宋体"/>
          <w:color w:val="auto"/>
          <w:sz w:val="24"/>
          <w:szCs w:val="24"/>
          <w:lang w:eastAsia="zh-CN"/>
        </w:rPr>
        <w:t>18.3 验收</w:t>
      </w:r>
      <w:bookmarkEnd w:id="480"/>
      <w:bookmarkEnd w:id="481"/>
      <w:bookmarkEnd w:id="482"/>
      <w:bookmarkEnd w:id="483"/>
      <w:bookmarkEnd w:id="484"/>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18.3.5经验收合格的工程,实际竣工日期为承包人提交竣工验收申请报告的日期。</w:t>
      </w:r>
    </w:p>
    <w:p>
      <w:pPr>
        <w:pStyle w:val="7"/>
        <w:rPr>
          <w:rFonts w:hint="eastAsia" w:ascii="宋体" w:hAnsi="宋体" w:eastAsia="宋体" w:cs="宋体"/>
          <w:color w:val="auto"/>
          <w:sz w:val="24"/>
          <w:szCs w:val="24"/>
          <w:lang w:eastAsia="zh-CN"/>
        </w:rPr>
      </w:pPr>
      <w:bookmarkStart w:id="485" w:name="_Toc179632750"/>
      <w:bookmarkStart w:id="486" w:name="_Toc199152062"/>
      <w:bookmarkStart w:id="487" w:name="_Toc144974703"/>
      <w:bookmarkStart w:id="488" w:name="_Toc152042511"/>
      <w:bookmarkStart w:id="489" w:name="_Toc152045732"/>
      <w:r>
        <w:rPr>
          <w:rFonts w:hint="eastAsia" w:ascii="宋体" w:hAnsi="宋体" w:eastAsia="宋体" w:cs="宋体"/>
          <w:color w:val="auto"/>
          <w:sz w:val="24"/>
          <w:szCs w:val="24"/>
          <w:lang w:eastAsia="zh-CN"/>
        </w:rPr>
        <w:t>18.4竣工清场</w:t>
      </w:r>
      <w:bookmarkEnd w:id="485"/>
      <w:bookmarkEnd w:id="486"/>
      <w:bookmarkEnd w:id="487"/>
      <w:bookmarkEnd w:id="488"/>
      <w:bookmarkEnd w:id="489"/>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工程接收证书颁发后，承包人负责按照通用合同条款本项约定的要求对施工场地进行清理并承担相关费用，直至监理人检验合格为止。</w:t>
      </w:r>
    </w:p>
    <w:p>
      <w:pPr>
        <w:pStyle w:val="7"/>
        <w:rPr>
          <w:rFonts w:hint="eastAsia" w:ascii="宋体" w:hAnsi="宋体" w:eastAsia="宋体" w:cs="宋体"/>
          <w:color w:val="auto"/>
          <w:sz w:val="24"/>
          <w:szCs w:val="24"/>
          <w:lang w:eastAsia="zh-CN"/>
        </w:rPr>
      </w:pPr>
      <w:bookmarkStart w:id="490" w:name="_Toc152042512"/>
      <w:bookmarkStart w:id="491" w:name="_Toc199152063"/>
      <w:bookmarkStart w:id="492" w:name="_Toc179632751"/>
      <w:bookmarkStart w:id="493" w:name="_Toc152045733"/>
      <w:bookmarkStart w:id="494" w:name="_Toc144974704"/>
      <w:r>
        <w:rPr>
          <w:rFonts w:hint="eastAsia" w:ascii="宋体" w:hAnsi="宋体" w:eastAsia="宋体" w:cs="宋体"/>
          <w:color w:val="auto"/>
          <w:sz w:val="24"/>
          <w:szCs w:val="24"/>
          <w:lang w:eastAsia="zh-CN"/>
        </w:rPr>
        <w:t>18.5 施工队伍的撤离</w:t>
      </w:r>
      <w:bookmarkEnd w:id="490"/>
      <w:bookmarkEnd w:id="491"/>
      <w:bookmarkEnd w:id="492"/>
      <w:bookmarkEnd w:id="493"/>
      <w:bookmarkEnd w:id="494"/>
    </w:p>
    <w:p>
      <w:pPr>
        <w:ind w:firstLine="480" w:firstLineChars="200"/>
        <w:rPr>
          <w:rFonts w:hint="eastAsia" w:ascii="宋体" w:hAnsi="宋体" w:eastAsia="宋体" w:cs="宋体"/>
          <w:color w:val="auto"/>
          <w:sz w:val="24"/>
          <w:szCs w:val="24"/>
          <w:lang w:eastAsia="zh-CN"/>
        </w:rPr>
      </w:pPr>
      <w:bookmarkStart w:id="495" w:name="_Toc179632752"/>
      <w:bookmarkStart w:id="496" w:name="_Toc144974705"/>
      <w:bookmarkStart w:id="497" w:name="_Toc152042513"/>
      <w:bookmarkStart w:id="498" w:name="_Toc152045734"/>
      <w:r>
        <w:rPr>
          <w:rFonts w:hint="eastAsia" w:ascii="宋体" w:hAnsi="宋体" w:eastAsia="宋体" w:cs="宋体"/>
          <w:color w:val="auto"/>
          <w:sz w:val="24"/>
          <w:szCs w:val="24"/>
          <w:lang w:eastAsia="zh-CN"/>
        </w:rPr>
        <w:t>缺陷责任期满时，承包人可以继续在施工场地保留的人员和施工设备以及最终撤离的期限：</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pStyle w:val="6"/>
        <w:rPr>
          <w:rFonts w:hint="eastAsia" w:ascii="宋体" w:hAnsi="宋体" w:eastAsia="宋体" w:cs="宋体"/>
          <w:color w:val="auto"/>
          <w:sz w:val="24"/>
          <w:szCs w:val="24"/>
          <w:lang w:eastAsia="zh-CN"/>
        </w:rPr>
      </w:pPr>
      <w:bookmarkStart w:id="499" w:name="_Toc199152064"/>
      <w:bookmarkStart w:id="500" w:name="_Toc437355492"/>
      <w:bookmarkStart w:id="501" w:name="_Toc10329"/>
      <w:r>
        <w:rPr>
          <w:rFonts w:hint="eastAsia" w:ascii="宋体" w:hAnsi="宋体" w:eastAsia="宋体" w:cs="宋体"/>
          <w:color w:val="auto"/>
          <w:sz w:val="24"/>
          <w:szCs w:val="24"/>
          <w:lang w:eastAsia="zh-CN"/>
        </w:rPr>
        <w:t>19. 缺陷责任与保修责任</w:t>
      </w:r>
      <w:bookmarkEnd w:id="495"/>
      <w:bookmarkEnd w:id="496"/>
      <w:bookmarkEnd w:id="497"/>
      <w:bookmarkEnd w:id="498"/>
      <w:bookmarkEnd w:id="499"/>
      <w:bookmarkEnd w:id="500"/>
      <w:bookmarkEnd w:id="501"/>
    </w:p>
    <w:p>
      <w:pPr>
        <w:pStyle w:val="7"/>
        <w:rPr>
          <w:rFonts w:hint="eastAsia" w:ascii="宋体" w:hAnsi="宋体" w:eastAsia="宋体" w:cs="宋体"/>
          <w:color w:val="auto"/>
          <w:sz w:val="24"/>
          <w:szCs w:val="24"/>
          <w:lang w:eastAsia="zh-CN"/>
        </w:rPr>
      </w:pPr>
      <w:bookmarkStart w:id="502" w:name="_Toc152045741"/>
      <w:bookmarkStart w:id="503" w:name="_Toc179632759"/>
      <w:bookmarkStart w:id="504" w:name="_Toc152042520"/>
      <w:bookmarkStart w:id="505" w:name="_Toc144974712"/>
      <w:bookmarkStart w:id="506" w:name="_Toc199152065"/>
      <w:r>
        <w:rPr>
          <w:rFonts w:hint="eastAsia" w:ascii="宋体" w:hAnsi="宋体" w:eastAsia="宋体" w:cs="宋体"/>
          <w:color w:val="auto"/>
          <w:sz w:val="24"/>
          <w:szCs w:val="24"/>
          <w:lang w:eastAsia="zh-CN"/>
        </w:rPr>
        <w:t>19.1 保修责任</w:t>
      </w:r>
      <w:bookmarkEnd w:id="502"/>
      <w:bookmarkEnd w:id="503"/>
      <w:bookmarkEnd w:id="504"/>
      <w:bookmarkEnd w:id="505"/>
      <w:bookmarkEnd w:id="506"/>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（1）工程质量保修范围：</w:t>
      </w:r>
      <w:r>
        <w:rPr>
          <w:rFonts w:hint="eastAsia" w:ascii="宋体" w:hAnsi="宋体" w:eastAsia="宋体" w:cs="宋体"/>
          <w:color w:val="auto"/>
          <w:sz w:val="24"/>
          <w:szCs w:val="24"/>
          <w:u w:val="single"/>
          <w:lang w:eastAsia="zh-CN"/>
        </w:rPr>
        <w:t>　按《质量保修书》约定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（2）工程质量保修期限：</w:t>
      </w:r>
      <w:r>
        <w:rPr>
          <w:rFonts w:hint="eastAsia" w:ascii="宋体" w:hAnsi="宋体" w:eastAsia="宋体" w:cs="宋体"/>
          <w:color w:val="auto"/>
          <w:sz w:val="24"/>
          <w:szCs w:val="24"/>
          <w:u w:val="single"/>
          <w:lang w:eastAsia="zh-CN"/>
        </w:rPr>
        <w:t>　按《质量保修书》约定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（3）工程质量保修责任：</w:t>
      </w:r>
      <w:r>
        <w:rPr>
          <w:rFonts w:hint="eastAsia" w:ascii="宋体" w:hAnsi="宋体" w:eastAsia="宋体" w:cs="宋体"/>
          <w:color w:val="auto"/>
          <w:sz w:val="24"/>
          <w:szCs w:val="24"/>
          <w:u w:val="single"/>
          <w:lang w:eastAsia="zh-CN"/>
        </w:rPr>
        <w:t>　按《质量保修书》约定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承包人按照有关法律法规规定出具的质量保修书的主要内容应当与本款上述约定内容一致，并在向监理人报送合同条款第18.１款约定的竣工验收申请报告时，一并报送监理人。</w:t>
      </w:r>
    </w:p>
    <w:p>
      <w:pPr>
        <w:pStyle w:val="6"/>
        <w:rPr>
          <w:rFonts w:hint="eastAsia" w:ascii="宋体" w:hAnsi="宋体" w:eastAsia="宋体" w:cs="宋体"/>
          <w:color w:val="auto"/>
          <w:sz w:val="24"/>
          <w:szCs w:val="24"/>
          <w:lang w:eastAsia="zh-CN"/>
        </w:rPr>
      </w:pPr>
      <w:bookmarkStart w:id="507" w:name="_Toc179632760"/>
      <w:bookmarkStart w:id="508" w:name="_Toc152045742"/>
      <w:bookmarkStart w:id="509" w:name="_Toc199152066"/>
      <w:bookmarkStart w:id="510" w:name="_Toc152042521"/>
      <w:bookmarkStart w:id="511" w:name="_Toc144974713"/>
      <w:bookmarkStart w:id="512" w:name="_Toc437355493"/>
      <w:bookmarkStart w:id="513" w:name="_Toc17263"/>
      <w:r>
        <w:rPr>
          <w:rFonts w:hint="eastAsia" w:ascii="宋体" w:hAnsi="宋体" w:eastAsia="宋体" w:cs="宋体"/>
          <w:color w:val="auto"/>
          <w:sz w:val="24"/>
          <w:szCs w:val="24"/>
          <w:lang w:eastAsia="zh-CN"/>
        </w:rPr>
        <w:t>20. 保险</w:t>
      </w:r>
      <w:bookmarkEnd w:id="507"/>
      <w:bookmarkEnd w:id="508"/>
      <w:bookmarkEnd w:id="509"/>
      <w:bookmarkEnd w:id="510"/>
      <w:bookmarkEnd w:id="511"/>
      <w:bookmarkEnd w:id="512"/>
      <w:bookmarkEnd w:id="513"/>
    </w:p>
    <w:p>
      <w:pPr>
        <w:pStyle w:val="7"/>
        <w:rPr>
          <w:rFonts w:hint="eastAsia" w:ascii="宋体" w:hAnsi="宋体" w:eastAsia="宋体" w:cs="宋体"/>
          <w:color w:val="auto"/>
          <w:sz w:val="24"/>
          <w:szCs w:val="24"/>
          <w:lang w:eastAsia="zh-CN"/>
        </w:rPr>
      </w:pPr>
      <w:bookmarkStart w:id="514" w:name="_Toc179632761"/>
      <w:bookmarkStart w:id="515" w:name="_Toc152045743"/>
      <w:bookmarkStart w:id="516" w:name="_Toc152042522"/>
      <w:bookmarkStart w:id="517" w:name="_Toc199152067"/>
      <w:bookmarkStart w:id="518" w:name="_Toc144974714"/>
      <w:r>
        <w:rPr>
          <w:rFonts w:hint="eastAsia" w:ascii="宋体" w:hAnsi="宋体" w:eastAsia="宋体" w:cs="宋体"/>
          <w:color w:val="auto"/>
          <w:sz w:val="24"/>
          <w:szCs w:val="24"/>
          <w:lang w:eastAsia="zh-CN"/>
        </w:rPr>
        <w:t>20.1 工程保险</w:t>
      </w:r>
      <w:bookmarkEnd w:id="514"/>
      <w:bookmarkEnd w:id="515"/>
      <w:bookmarkEnd w:id="516"/>
      <w:bookmarkEnd w:id="517"/>
      <w:bookmarkEnd w:id="518"/>
    </w:p>
    <w:p>
      <w:pPr>
        <w:ind w:firstLine="480" w:firstLineChars="200"/>
        <w:rPr>
          <w:rFonts w:hint="eastAsia" w:ascii="宋体" w:hAnsi="宋体" w:eastAsia="宋体" w:cs="宋体"/>
          <w:color w:val="auto"/>
          <w:sz w:val="24"/>
          <w:szCs w:val="24"/>
          <w:lang w:eastAsia="zh-CN"/>
        </w:rPr>
      </w:pPr>
      <w:bookmarkStart w:id="519" w:name="_Toc179632762"/>
      <w:bookmarkStart w:id="520" w:name="_Toc152045744"/>
      <w:bookmarkStart w:id="521" w:name="_Toc152042523"/>
      <w:bookmarkStart w:id="522" w:name="_Toc144974715"/>
      <w:r>
        <w:rPr>
          <w:rFonts w:hint="eastAsia" w:ascii="宋体" w:hAnsi="宋体" w:eastAsia="宋体" w:cs="宋体"/>
          <w:color w:val="auto"/>
          <w:sz w:val="24"/>
          <w:szCs w:val="24"/>
          <w:lang w:eastAsia="zh-CN"/>
        </w:rPr>
        <w:t>承包人应以发包人和承包人的共同名义向双方同意的保险人投保工程一切险；本工程</w:t>
      </w:r>
      <w:bookmarkEnd w:id="519"/>
      <w:bookmarkEnd w:id="520"/>
      <w:bookmarkEnd w:id="521"/>
      <w:bookmarkEnd w:id="522"/>
      <w:bookmarkStart w:id="523" w:name="_Toc179632765"/>
      <w:bookmarkStart w:id="524" w:name="_Toc152045747"/>
      <w:bookmarkStart w:id="525" w:name="_Toc144974718"/>
      <w:bookmarkStart w:id="526" w:name="_Toc152042526"/>
      <w:r>
        <w:rPr>
          <w:rFonts w:hint="eastAsia" w:ascii="宋体" w:hAnsi="宋体" w:eastAsia="宋体" w:cs="宋体"/>
          <w:color w:val="auto"/>
          <w:sz w:val="24"/>
          <w:szCs w:val="24"/>
          <w:lang w:eastAsia="zh-CN"/>
        </w:rPr>
        <w:t>要求承包人必须办理人员意外伤害险，费用由承包人承担。</w:t>
      </w:r>
    </w:p>
    <w:p>
      <w:pPr>
        <w:pStyle w:val="7"/>
        <w:rPr>
          <w:rFonts w:hint="eastAsia" w:ascii="宋体" w:hAnsi="宋体" w:eastAsia="宋体" w:cs="宋体"/>
          <w:color w:val="auto"/>
          <w:sz w:val="24"/>
          <w:szCs w:val="24"/>
          <w:lang w:eastAsia="zh-CN"/>
        </w:rPr>
      </w:pPr>
      <w:bookmarkStart w:id="527" w:name="_Toc199152069"/>
      <w:r>
        <w:rPr>
          <w:rFonts w:hint="eastAsia" w:ascii="宋体" w:hAnsi="宋体" w:eastAsia="宋体" w:cs="宋体"/>
          <w:color w:val="auto"/>
          <w:sz w:val="24"/>
          <w:szCs w:val="24"/>
          <w:lang w:eastAsia="zh-CN"/>
        </w:rPr>
        <w:t>20.5 其他保险</w:t>
      </w:r>
      <w:bookmarkEnd w:id="523"/>
      <w:bookmarkEnd w:id="524"/>
      <w:bookmarkEnd w:id="525"/>
      <w:bookmarkEnd w:id="526"/>
      <w:bookmarkEnd w:id="527"/>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承包人应办理的其它保险：</w:t>
      </w:r>
      <w:r>
        <w:rPr>
          <w:rFonts w:hint="eastAsia" w:ascii="宋体" w:hAnsi="宋体" w:eastAsia="宋体" w:cs="宋体"/>
          <w:color w:val="auto"/>
          <w:sz w:val="24"/>
          <w:szCs w:val="24"/>
          <w:u w:val="single"/>
          <w:lang w:eastAsia="zh-CN"/>
        </w:rPr>
        <w:t>由承包人自行决定，其费用发包人视为已包含在合同总价中　</w:t>
      </w:r>
      <w:r>
        <w:rPr>
          <w:rFonts w:hint="eastAsia" w:ascii="宋体" w:hAnsi="宋体" w:eastAsia="宋体" w:cs="宋体"/>
          <w:color w:val="auto"/>
          <w:sz w:val="24"/>
          <w:szCs w:val="24"/>
          <w:lang w:eastAsia="zh-CN"/>
        </w:rPr>
        <w:t>。</w:t>
      </w:r>
    </w:p>
    <w:p>
      <w:pPr>
        <w:pStyle w:val="6"/>
        <w:rPr>
          <w:rFonts w:hint="eastAsia" w:ascii="宋体" w:hAnsi="宋体" w:eastAsia="宋体" w:cs="宋体"/>
          <w:color w:val="auto"/>
          <w:sz w:val="24"/>
          <w:szCs w:val="24"/>
          <w:lang w:eastAsia="zh-CN"/>
        </w:rPr>
      </w:pPr>
      <w:bookmarkStart w:id="528" w:name="_Toc179632767"/>
      <w:bookmarkStart w:id="529" w:name="_Toc152045749"/>
      <w:bookmarkStart w:id="530" w:name="_Toc144974720"/>
      <w:bookmarkStart w:id="531" w:name="_Toc199152071"/>
      <w:bookmarkStart w:id="532" w:name="_Toc152042528"/>
      <w:bookmarkStart w:id="533" w:name="_Toc437355494"/>
      <w:bookmarkStart w:id="534" w:name="_Toc27851"/>
      <w:r>
        <w:rPr>
          <w:rFonts w:hint="eastAsia" w:ascii="宋体" w:hAnsi="宋体" w:eastAsia="宋体" w:cs="宋体"/>
          <w:color w:val="auto"/>
          <w:sz w:val="24"/>
          <w:szCs w:val="24"/>
          <w:lang w:eastAsia="zh-CN"/>
        </w:rPr>
        <w:t>21. 不可抗力</w:t>
      </w:r>
      <w:bookmarkEnd w:id="528"/>
      <w:bookmarkEnd w:id="529"/>
      <w:bookmarkEnd w:id="530"/>
      <w:bookmarkEnd w:id="531"/>
      <w:bookmarkEnd w:id="532"/>
      <w:bookmarkEnd w:id="533"/>
      <w:bookmarkEnd w:id="534"/>
    </w:p>
    <w:p>
      <w:pPr>
        <w:pStyle w:val="7"/>
        <w:rPr>
          <w:rFonts w:hint="eastAsia" w:ascii="宋体" w:hAnsi="宋体" w:eastAsia="宋体" w:cs="宋体"/>
          <w:color w:val="auto"/>
          <w:sz w:val="24"/>
          <w:szCs w:val="24"/>
          <w:lang w:eastAsia="zh-CN"/>
        </w:rPr>
      </w:pPr>
      <w:bookmarkStart w:id="535" w:name="_Toc152042529"/>
      <w:bookmarkStart w:id="536" w:name="_Toc179632768"/>
      <w:bookmarkStart w:id="537" w:name="_Toc144974721"/>
      <w:bookmarkStart w:id="538" w:name="_Toc199152072"/>
      <w:bookmarkStart w:id="539" w:name="_Toc152045750"/>
      <w:r>
        <w:rPr>
          <w:rFonts w:hint="eastAsia" w:ascii="宋体" w:hAnsi="宋体" w:eastAsia="宋体" w:cs="宋体"/>
          <w:color w:val="auto"/>
          <w:sz w:val="24"/>
          <w:szCs w:val="24"/>
          <w:lang w:eastAsia="zh-CN"/>
        </w:rPr>
        <w:t>21.1 不可抗力的确认</w:t>
      </w:r>
      <w:bookmarkEnd w:id="535"/>
      <w:bookmarkEnd w:id="536"/>
      <w:bookmarkEnd w:id="537"/>
      <w:bookmarkEnd w:id="538"/>
      <w:bookmarkEnd w:id="539"/>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21.1.1通用合同条款第21.1.1项约定的不可抗力以外的其他情形：</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不可抗力的等级范围约定：</w:t>
      </w:r>
      <w:r>
        <w:rPr>
          <w:rFonts w:hint="eastAsia" w:ascii="宋体" w:hAnsi="宋体" w:eastAsia="宋体" w:cs="宋体"/>
          <w:color w:val="auto"/>
          <w:sz w:val="24"/>
          <w:szCs w:val="24"/>
          <w:u w:val="single"/>
          <w:lang w:eastAsia="zh-CN"/>
        </w:rPr>
        <w:t>　根据相关法规执行　　　</w:t>
      </w:r>
      <w:r>
        <w:rPr>
          <w:rFonts w:hint="eastAsia" w:ascii="宋体" w:hAnsi="宋体" w:eastAsia="宋体" w:cs="宋体"/>
          <w:color w:val="auto"/>
          <w:sz w:val="24"/>
          <w:szCs w:val="24"/>
          <w:lang w:eastAsia="zh-CN"/>
        </w:rPr>
        <w:t>。</w:t>
      </w:r>
    </w:p>
    <w:p>
      <w:pPr>
        <w:pStyle w:val="7"/>
        <w:rPr>
          <w:rFonts w:hint="eastAsia" w:ascii="宋体" w:hAnsi="宋体" w:eastAsia="宋体" w:cs="宋体"/>
          <w:color w:val="auto"/>
          <w:sz w:val="24"/>
          <w:szCs w:val="24"/>
          <w:lang w:eastAsia="zh-CN"/>
        </w:rPr>
      </w:pPr>
      <w:bookmarkStart w:id="540" w:name="_Toc144974723"/>
      <w:bookmarkStart w:id="541" w:name="_Toc152045752"/>
      <w:bookmarkStart w:id="542" w:name="_Toc199152073"/>
      <w:bookmarkStart w:id="543" w:name="_Toc179632770"/>
      <w:bookmarkStart w:id="544" w:name="_Toc152042531"/>
      <w:r>
        <w:rPr>
          <w:rFonts w:hint="eastAsia" w:ascii="宋体" w:hAnsi="宋体" w:eastAsia="宋体" w:cs="宋体"/>
          <w:color w:val="auto"/>
          <w:sz w:val="24"/>
          <w:szCs w:val="24"/>
          <w:lang w:eastAsia="zh-CN"/>
        </w:rPr>
        <w:t>21.3 不可抗力后果及其处理</w:t>
      </w:r>
      <w:bookmarkEnd w:id="540"/>
      <w:bookmarkEnd w:id="541"/>
      <w:bookmarkEnd w:id="542"/>
      <w:bookmarkEnd w:id="543"/>
      <w:bookmarkEnd w:id="544"/>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21.3.1不可抗力造成损害的责任</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不可抗力导致的人员伤亡、财产损失、费用增加和（或）工期延误等后果，由合同双方按通用合同条款第21.3.1款约定的原则承担。</w:t>
      </w:r>
    </w:p>
    <w:p>
      <w:pPr>
        <w:pStyle w:val="6"/>
        <w:rPr>
          <w:rFonts w:hint="eastAsia" w:ascii="宋体" w:hAnsi="宋体" w:eastAsia="宋体" w:cs="宋体"/>
          <w:color w:val="auto"/>
          <w:sz w:val="24"/>
          <w:szCs w:val="24"/>
          <w:lang w:eastAsia="zh-CN"/>
        </w:rPr>
      </w:pPr>
      <w:bookmarkStart w:id="545" w:name="_Toc437355495"/>
      <w:bookmarkStart w:id="546" w:name="_Toc179632780"/>
      <w:bookmarkStart w:id="547" w:name="_Toc199152074"/>
      <w:bookmarkStart w:id="548" w:name="_Toc152042541"/>
      <w:bookmarkStart w:id="549" w:name="_Toc144974732"/>
      <w:bookmarkStart w:id="550" w:name="_Toc152045762"/>
      <w:bookmarkStart w:id="551" w:name="_Toc13579"/>
      <w:r>
        <w:rPr>
          <w:rFonts w:hint="eastAsia" w:ascii="宋体" w:hAnsi="宋体" w:eastAsia="宋体" w:cs="宋体"/>
          <w:color w:val="auto"/>
          <w:sz w:val="24"/>
          <w:szCs w:val="24"/>
          <w:lang w:eastAsia="zh-CN"/>
        </w:rPr>
        <w:t>24. 争议的解决</w:t>
      </w:r>
      <w:bookmarkEnd w:id="545"/>
      <w:bookmarkEnd w:id="546"/>
      <w:bookmarkEnd w:id="547"/>
      <w:bookmarkEnd w:id="548"/>
      <w:bookmarkEnd w:id="549"/>
      <w:bookmarkEnd w:id="550"/>
      <w:bookmarkEnd w:id="551"/>
    </w:p>
    <w:p>
      <w:pPr>
        <w:pStyle w:val="7"/>
        <w:rPr>
          <w:rFonts w:hint="eastAsia" w:ascii="宋体" w:hAnsi="宋体" w:eastAsia="宋体" w:cs="宋体"/>
          <w:color w:val="auto"/>
          <w:sz w:val="24"/>
          <w:szCs w:val="24"/>
          <w:lang w:eastAsia="zh-CN"/>
        </w:rPr>
      </w:pPr>
      <w:bookmarkStart w:id="552" w:name="_Toc152045763"/>
      <w:bookmarkStart w:id="553" w:name="_Toc179632781"/>
      <w:bookmarkStart w:id="554" w:name="_Toc144974733"/>
      <w:bookmarkStart w:id="555" w:name="_Toc152042542"/>
      <w:bookmarkStart w:id="556" w:name="_Toc199152075"/>
      <w:r>
        <w:rPr>
          <w:rFonts w:hint="eastAsia" w:ascii="宋体" w:hAnsi="宋体" w:eastAsia="宋体" w:cs="宋体"/>
          <w:color w:val="auto"/>
          <w:sz w:val="24"/>
          <w:szCs w:val="24"/>
          <w:lang w:eastAsia="zh-CN"/>
        </w:rPr>
        <w:t>24.1 争议的解决方式</w:t>
      </w:r>
      <w:bookmarkEnd w:id="552"/>
      <w:bookmarkEnd w:id="553"/>
      <w:bookmarkEnd w:id="554"/>
      <w:bookmarkEnd w:id="555"/>
      <w:bookmarkEnd w:id="556"/>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因本合同引起的或与本合同有关的任何争议，合同双方友好协商不成、不愿提请争议组评审或者不愿接受争议评审组意见的，选择下列第</w:t>
      </w:r>
      <w:r>
        <w:rPr>
          <w:rFonts w:hint="eastAsia" w:ascii="宋体" w:hAnsi="宋体" w:eastAsia="宋体" w:cs="宋体"/>
          <w:color w:val="auto"/>
          <w:sz w:val="24"/>
          <w:szCs w:val="24"/>
          <w:u w:val="single"/>
          <w:lang w:eastAsia="zh-CN"/>
        </w:rPr>
        <w:t xml:space="preserve">   2   </w:t>
      </w:r>
      <w:r>
        <w:rPr>
          <w:rFonts w:hint="eastAsia" w:ascii="宋体" w:hAnsi="宋体" w:eastAsia="宋体" w:cs="宋体"/>
          <w:color w:val="auto"/>
          <w:sz w:val="24"/>
          <w:szCs w:val="24"/>
          <w:lang w:eastAsia="zh-CN"/>
        </w:rPr>
        <w:t>种方式解决：</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（1）提请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仲裁委员会按照该会仲裁规则进行仲裁，仲裁裁决是终局的，对合同双方均有约束力。</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（2）向有管辖权的人民法院提起诉讼。</w:t>
      </w:r>
    </w:p>
    <w:p>
      <w:pPr>
        <w:pStyle w:val="7"/>
        <w:rPr>
          <w:rFonts w:hint="eastAsia" w:ascii="宋体" w:hAnsi="宋体" w:eastAsia="宋体" w:cs="宋体"/>
          <w:color w:val="auto"/>
          <w:sz w:val="24"/>
          <w:szCs w:val="24"/>
          <w:lang w:eastAsia="zh-CN"/>
        </w:rPr>
      </w:pPr>
      <w:bookmarkStart w:id="557" w:name="_Toc144974735"/>
      <w:bookmarkStart w:id="558" w:name="_Toc179632783"/>
      <w:bookmarkStart w:id="559" w:name="_Toc199152076"/>
      <w:bookmarkStart w:id="560" w:name="_Toc152045765"/>
      <w:bookmarkStart w:id="561" w:name="_Toc152042544"/>
      <w:r>
        <w:rPr>
          <w:rFonts w:hint="eastAsia" w:ascii="宋体" w:hAnsi="宋体" w:eastAsia="宋体" w:cs="宋体"/>
          <w:color w:val="auto"/>
          <w:sz w:val="24"/>
          <w:szCs w:val="24"/>
          <w:lang w:eastAsia="zh-CN"/>
        </w:rPr>
        <w:t>24.3 争议评审</w:t>
      </w:r>
      <w:bookmarkEnd w:id="557"/>
      <w:bookmarkEnd w:id="558"/>
      <w:bookmarkEnd w:id="559"/>
      <w:bookmarkEnd w:id="560"/>
      <w:bookmarkEnd w:id="561"/>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24.3.4争议评审组邀请合同双方代表人和有关人员举行调查会的期限</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24.3.5争议评审组在调查会后作出争议评审意见的期限：</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p>
    <w:bookmarkEnd w:id="88"/>
    <w:bookmarkEnd w:id="89"/>
    <w:bookmarkEnd w:id="90"/>
    <w:bookmarkEnd w:id="91"/>
    <w:p>
      <w:pPr>
        <w:autoSpaceDE w:val="0"/>
        <w:autoSpaceDN w:val="0"/>
        <w:adjustRightInd w:val="0"/>
        <w:rPr>
          <w:rFonts w:hint="eastAsia" w:ascii="宋体" w:hAnsi="宋体" w:eastAsia="宋体" w:cs="宋体"/>
          <w:color w:val="auto"/>
          <w:sz w:val="24"/>
          <w:szCs w:val="24"/>
          <w:lang w:eastAsia="zh-CN"/>
        </w:rPr>
      </w:pPr>
    </w:p>
    <w:p>
      <w:pPr>
        <w:pStyle w:val="5"/>
        <w:spacing w:before="120" w:after="120"/>
        <w:jc w:val="center"/>
        <w:rPr>
          <w:rFonts w:hint="eastAsia" w:ascii="宋体" w:hAnsi="宋体" w:eastAsia="宋体" w:cs="宋体"/>
          <w:i w:val="0"/>
          <w:color w:val="auto"/>
          <w:sz w:val="24"/>
          <w:szCs w:val="24"/>
          <w:lang w:eastAsia="zh-CN"/>
        </w:rPr>
      </w:pPr>
      <w:bookmarkStart w:id="562" w:name="_Toc201287611"/>
      <w:r>
        <w:rPr>
          <w:rFonts w:hint="eastAsia" w:ascii="宋体" w:hAnsi="宋体" w:eastAsia="宋体" w:cs="宋体"/>
          <w:i w:val="0"/>
          <w:color w:val="auto"/>
          <w:sz w:val="24"/>
          <w:szCs w:val="24"/>
          <w:lang w:eastAsia="zh-CN"/>
        </w:rPr>
        <w:br w:type="page"/>
      </w:r>
      <w:bookmarkStart w:id="563" w:name="_Toc437355496"/>
      <w:bookmarkStart w:id="564" w:name="_Toc2085"/>
      <w:bookmarkStart w:id="565" w:name="_Toc12996"/>
      <w:r>
        <w:rPr>
          <w:rFonts w:hint="eastAsia" w:ascii="宋体" w:hAnsi="宋体" w:eastAsia="宋体" w:cs="宋体"/>
          <w:i w:val="0"/>
          <w:color w:val="auto"/>
          <w:sz w:val="24"/>
          <w:szCs w:val="24"/>
          <w:lang w:eastAsia="zh-CN"/>
        </w:rPr>
        <w:t>合同附件格式</w:t>
      </w:r>
      <w:bookmarkEnd w:id="562"/>
      <w:bookmarkEnd w:id="563"/>
      <w:bookmarkEnd w:id="564"/>
      <w:bookmarkEnd w:id="565"/>
    </w:p>
    <w:p>
      <w:pPr>
        <w:pStyle w:val="6"/>
        <w:spacing w:before="120" w:after="120"/>
        <w:rPr>
          <w:rFonts w:hint="eastAsia" w:ascii="宋体" w:hAnsi="宋体" w:eastAsia="宋体" w:cs="宋体"/>
          <w:color w:val="auto"/>
          <w:sz w:val="24"/>
          <w:szCs w:val="24"/>
          <w:lang w:eastAsia="zh-CN"/>
        </w:rPr>
      </w:pPr>
      <w:bookmarkStart w:id="566" w:name="_Toc437355497"/>
      <w:bookmarkStart w:id="567" w:name="_Toc201287612"/>
      <w:bookmarkStart w:id="568" w:name="_Toc3035"/>
      <w:r>
        <w:rPr>
          <w:rFonts w:hint="eastAsia" w:ascii="宋体" w:hAnsi="宋体" w:eastAsia="宋体" w:cs="宋体"/>
          <w:color w:val="auto"/>
          <w:sz w:val="24"/>
          <w:szCs w:val="24"/>
          <w:lang w:eastAsia="zh-CN"/>
        </w:rPr>
        <w:t>附件一：合同协议书</w:t>
      </w:r>
      <w:bookmarkEnd w:id="566"/>
      <w:bookmarkEnd w:id="567"/>
      <w:bookmarkEnd w:id="568"/>
    </w:p>
    <w:p>
      <w:pPr>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合同协议书</w:t>
      </w:r>
    </w:p>
    <w:p>
      <w:pPr>
        <w:pStyle w:val="48"/>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编号：</w:t>
      </w:r>
      <w:r>
        <w:rPr>
          <w:rFonts w:hint="eastAsia" w:ascii="宋体" w:hAnsi="宋体" w:eastAsia="宋体" w:cs="宋体"/>
          <w:color w:val="auto"/>
          <w:sz w:val="24"/>
          <w:szCs w:val="24"/>
          <w:u w:val="single"/>
          <w:lang w:eastAsia="zh-CN"/>
        </w:rPr>
        <w:t xml:space="preserve">                </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发包人（全称）：</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p>
    <w:p>
      <w:pPr>
        <w:rPr>
          <w:rFonts w:hint="eastAsia" w:ascii="宋体" w:hAnsi="宋体" w:eastAsia="宋体" w:cs="宋体"/>
          <w:color w:val="auto"/>
          <w:sz w:val="24"/>
          <w:szCs w:val="24"/>
        </w:rPr>
      </w:pPr>
      <w:r>
        <w:rPr>
          <w:rFonts w:hint="eastAsia" w:ascii="宋体" w:hAnsi="宋体" w:eastAsia="宋体" w:cs="宋体"/>
          <w:color w:val="auto"/>
          <w:sz w:val="24"/>
          <w:szCs w:val="24"/>
        </w:rPr>
        <w:t>法 定 代 表 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法定注册地址：</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承包人（全称）：</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 定 代 表 人</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法定注册地址：</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发包人为建设</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以下简称“本工程”），已接受承包人提出的承担本工程的施工、竣工、交付并维修其任何缺陷的投标。依照《中华人民共和国招标投标法》、《中华人民共和国合同法》、《中华人民共和国建筑法》、及其他有关法律、行政法规，遵循平等、自愿、公平和诚实信用的原则，双方共同达成并订立如下协议。</w:t>
      </w:r>
    </w:p>
    <w:p>
      <w:pPr>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一、工程概况</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工程名称：</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工程地点：</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工程内容：</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群体工程应附承包人承揽工程项目一览表（附件1）</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工程立项批准文号：</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资金来源：</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p>
    <w:p>
      <w:pPr>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二、工程承包范围</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承包范围：</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详细承包范围见第七章“技术标准和要求”。</w:t>
      </w:r>
    </w:p>
    <w:p>
      <w:pPr>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三、合同工期</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计划开工日期：________年________月________日</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计划竣工日期：________年________月________日</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合同工期总日历天数</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天。</w:t>
      </w:r>
    </w:p>
    <w:p>
      <w:pPr>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四、质量标准</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工程质量标准：</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p>
    <w:p>
      <w:pPr>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五、合同形式</w:t>
      </w:r>
    </w:p>
    <w:p>
      <w:pPr>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本合同采用_______合同形式。</w:t>
      </w:r>
    </w:p>
    <w:p>
      <w:pPr>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六、签约合同价</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金额（大写）：</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元（人民币）</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（小写）￥：</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元</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其中：暂列金额：</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元（其中计日工金额</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元）</w:t>
      </w:r>
    </w:p>
    <w:p>
      <w:pPr>
        <w:ind w:firstLine="1200" w:firstLineChars="5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材料设备暂估价：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元</w:t>
      </w:r>
    </w:p>
    <w:p>
      <w:pPr>
        <w:ind w:firstLine="1200" w:firstLineChars="5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专业工程暂估价：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元</w:t>
      </w:r>
    </w:p>
    <w:p>
      <w:pPr>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七、承包人项目经理：</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姓名：</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；职称：</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身份证号：</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；资格证书号：</w:t>
      </w:r>
      <w:r>
        <w:rPr>
          <w:rFonts w:hint="eastAsia" w:ascii="宋体" w:hAnsi="宋体" w:eastAsia="宋体" w:cs="宋体"/>
          <w:color w:val="auto"/>
          <w:sz w:val="24"/>
          <w:szCs w:val="24"/>
          <w:u w:val="single"/>
          <w:lang w:eastAsia="zh-CN"/>
        </w:rPr>
        <w:t>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注册建造师注册证书号: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注册建造师执业印章号: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w:t>
      </w:r>
    </w:p>
    <w:p>
      <w:pPr>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八、合同文件的组成</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下列文件共同构成合同文件：</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1、本协议书；</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2、中标通知书；</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3、投标函及投标函附录；</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4、专用合同条款；</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5、通用合同条款；</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6、技术标准和要求；</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7、图纸；</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8、已标价工程量清单；</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9、其他合同文件。</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上述文件互相补充和解释，如有不明确或不一致之处，以合同约定次序在先者为准。</w:t>
      </w:r>
    </w:p>
    <w:p>
      <w:pPr>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八、本协议书中有关词语定义与通用合同条款中的定义相同。</w:t>
      </w:r>
    </w:p>
    <w:p>
      <w:pPr>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九、承包人承诺按照合同约定进行施工、竣工并在缺陷责任期内对工程缺陷承担维修责任。</w:t>
      </w:r>
    </w:p>
    <w:p>
      <w:pPr>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十、发包人承诺按照合同约定的条件、期限和方式向承包人支付合同价款。</w:t>
      </w:r>
    </w:p>
    <w:p>
      <w:pPr>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十一、本协议书连同其他合同文件正本一式两份，合同双方各执一份；副本一式</w:t>
      </w:r>
    </w:p>
    <w:p>
      <w:pP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u w:val="single"/>
          <w:lang w:eastAsia="zh-CN"/>
        </w:rPr>
        <w:t xml:space="preserve">     </w:t>
      </w:r>
      <w:r>
        <w:rPr>
          <w:rFonts w:hint="eastAsia" w:ascii="宋体" w:hAnsi="宋体" w:eastAsia="宋体" w:cs="宋体"/>
          <w:b/>
          <w:color w:val="auto"/>
          <w:sz w:val="24"/>
          <w:szCs w:val="24"/>
          <w:lang w:eastAsia="zh-CN"/>
        </w:rPr>
        <w:t>份，其中一份在合同文件报送建设行政主管部门备案时留存。</w:t>
      </w:r>
    </w:p>
    <w:p>
      <w:pPr>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十二、合同未尽事宜，双方另行签订补充协议。补充协议是合同文件的组成部分。</w:t>
      </w:r>
    </w:p>
    <w:p>
      <w:pPr>
        <w:rPr>
          <w:rFonts w:hint="eastAsia" w:ascii="宋体" w:hAnsi="宋体" w:eastAsia="宋体" w:cs="宋体"/>
          <w:color w:val="auto"/>
          <w:sz w:val="24"/>
          <w:szCs w:val="24"/>
          <w:lang w:eastAsia="zh-CN"/>
        </w:rPr>
      </w:pP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（盖单位章）     承包人：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（盖单位章）</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法定代表人或其                           法定代表人或其</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委托代理人：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（签字） 　　委托代理人：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（签字）</w:t>
      </w:r>
    </w:p>
    <w:p>
      <w:pPr>
        <w:rPr>
          <w:rFonts w:hint="eastAsia" w:ascii="宋体" w:hAnsi="宋体" w:eastAsia="宋体" w:cs="宋体"/>
          <w:color w:val="auto"/>
          <w:sz w:val="24"/>
          <w:szCs w:val="24"/>
          <w:lang w:eastAsia="zh-CN"/>
        </w:rPr>
      </w:pPr>
    </w:p>
    <w:p>
      <w:pP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bookmarkStart w:id="569" w:name="_Toc144974831"/>
    </w:p>
    <w:p>
      <w:pPr>
        <w:pStyle w:val="6"/>
        <w:spacing w:before="120" w:after="12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bookmarkStart w:id="570" w:name="_Toc437355498"/>
      <w:bookmarkStart w:id="571" w:name="_Toc201287613"/>
      <w:bookmarkStart w:id="572" w:name="_Toc18622"/>
      <w:r>
        <w:rPr>
          <w:rFonts w:hint="eastAsia" w:ascii="宋体" w:hAnsi="宋体" w:eastAsia="宋体" w:cs="宋体"/>
          <w:color w:val="auto"/>
          <w:sz w:val="24"/>
          <w:szCs w:val="24"/>
          <w:lang w:eastAsia="zh-CN"/>
        </w:rPr>
        <w:t>附件二：承包人提供的材料和工程设备一览表</w:t>
      </w:r>
      <w:bookmarkEnd w:id="570"/>
      <w:bookmarkEnd w:id="571"/>
      <w:bookmarkEnd w:id="572"/>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1155"/>
        <w:gridCol w:w="1050"/>
        <w:gridCol w:w="630"/>
        <w:gridCol w:w="525"/>
        <w:gridCol w:w="735"/>
        <w:gridCol w:w="840"/>
        <w:gridCol w:w="840"/>
        <w:gridCol w:w="735"/>
        <w:gridCol w:w="17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trPr>
        <w:tc>
          <w:tcPr>
            <w:tcW w:w="1047"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号</w:t>
            </w:r>
          </w:p>
        </w:tc>
        <w:tc>
          <w:tcPr>
            <w:tcW w:w="1155"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材料设备</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名    称</w:t>
            </w:r>
          </w:p>
        </w:tc>
        <w:tc>
          <w:tcPr>
            <w:tcW w:w="1050"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规格</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型号</w:t>
            </w:r>
          </w:p>
        </w:tc>
        <w:tc>
          <w:tcPr>
            <w:tcW w:w="630"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单</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位</w:t>
            </w:r>
          </w:p>
        </w:tc>
        <w:tc>
          <w:tcPr>
            <w:tcW w:w="525"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量</w:t>
            </w:r>
          </w:p>
        </w:tc>
        <w:tc>
          <w:tcPr>
            <w:tcW w:w="735"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单</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价</w:t>
            </w:r>
          </w:p>
        </w:tc>
        <w:tc>
          <w:tcPr>
            <w:tcW w:w="840"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交货</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方式</w:t>
            </w:r>
          </w:p>
        </w:tc>
        <w:tc>
          <w:tcPr>
            <w:tcW w:w="840"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交货</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地点</w:t>
            </w:r>
          </w:p>
        </w:tc>
        <w:tc>
          <w:tcPr>
            <w:tcW w:w="735"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计划交货</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时间</w:t>
            </w:r>
          </w:p>
        </w:tc>
        <w:tc>
          <w:tcPr>
            <w:tcW w:w="1731"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bl>
    <w:p>
      <w:pPr>
        <w:pStyle w:val="6"/>
        <w:spacing w:before="120" w:after="12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bookmarkStart w:id="573" w:name="_Toc437355499"/>
      <w:bookmarkStart w:id="574" w:name="_Toc111445452"/>
      <w:bookmarkStart w:id="575" w:name="_Toc201287614"/>
      <w:bookmarkStart w:id="576" w:name="_Toc15569"/>
      <w:r>
        <w:rPr>
          <w:rFonts w:hint="eastAsia" w:ascii="宋体" w:hAnsi="宋体" w:eastAsia="宋体" w:cs="宋体"/>
          <w:color w:val="auto"/>
          <w:sz w:val="24"/>
          <w:szCs w:val="24"/>
          <w:lang w:eastAsia="zh-CN"/>
        </w:rPr>
        <w:t>附件三：发包人提供的材料和工程设备一览表</w:t>
      </w:r>
      <w:bookmarkEnd w:id="573"/>
      <w:bookmarkEnd w:id="574"/>
      <w:bookmarkEnd w:id="575"/>
      <w:bookmarkEnd w:id="576"/>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146"/>
        <w:gridCol w:w="889"/>
        <w:gridCol w:w="890"/>
        <w:gridCol w:w="890"/>
        <w:gridCol w:w="889"/>
        <w:gridCol w:w="890"/>
        <w:gridCol w:w="889"/>
        <w:gridCol w:w="1077"/>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01"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号</w:t>
            </w:r>
          </w:p>
        </w:tc>
        <w:tc>
          <w:tcPr>
            <w:tcW w:w="1146"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材料设备</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名    称</w:t>
            </w:r>
          </w:p>
        </w:tc>
        <w:tc>
          <w:tcPr>
            <w:tcW w:w="889"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规格</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型号</w:t>
            </w:r>
          </w:p>
        </w:tc>
        <w:tc>
          <w:tcPr>
            <w:tcW w:w="890"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单</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位</w:t>
            </w:r>
          </w:p>
        </w:tc>
        <w:tc>
          <w:tcPr>
            <w:tcW w:w="890"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量</w:t>
            </w:r>
          </w:p>
        </w:tc>
        <w:tc>
          <w:tcPr>
            <w:tcW w:w="889"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单</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价</w:t>
            </w:r>
          </w:p>
        </w:tc>
        <w:tc>
          <w:tcPr>
            <w:tcW w:w="890"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交货</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方式</w:t>
            </w:r>
          </w:p>
        </w:tc>
        <w:tc>
          <w:tcPr>
            <w:tcW w:w="889"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交货</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地点</w:t>
            </w:r>
          </w:p>
        </w:tc>
        <w:tc>
          <w:tcPr>
            <w:tcW w:w="1077"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计划交货</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时间</w:t>
            </w:r>
          </w:p>
        </w:tc>
        <w:tc>
          <w:tcPr>
            <w:tcW w:w="900"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bl>
    <w:p>
      <w:pPr>
        <w:pStyle w:val="6"/>
        <w:spacing w:before="120" w:after="120"/>
        <w:rPr>
          <w:rStyle w:val="115"/>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br w:type="page"/>
      </w:r>
      <w:bookmarkEnd w:id="569"/>
      <w:bookmarkStart w:id="577" w:name="_Toc5845"/>
      <w:bookmarkStart w:id="578" w:name="_Toc437355500"/>
      <w:bookmarkStart w:id="579" w:name="_Toc201287618"/>
      <w:bookmarkStart w:id="580" w:name="_Toc111445497"/>
      <w:r>
        <w:rPr>
          <w:rFonts w:hint="eastAsia" w:ascii="宋体" w:hAnsi="宋体" w:eastAsia="宋体" w:cs="宋体"/>
          <w:color w:val="auto"/>
          <w:sz w:val="24"/>
          <w:szCs w:val="24"/>
          <w:lang w:eastAsia="zh-CN"/>
        </w:rPr>
        <w:t>附件四：质量保修书格式</w:t>
      </w:r>
      <w:bookmarkEnd w:id="577"/>
      <w:bookmarkEnd w:id="578"/>
      <w:bookmarkEnd w:id="579"/>
    </w:p>
    <w:p>
      <w:pPr>
        <w:snapToGrid w:val="0"/>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工程质量保修书</w:t>
      </w:r>
    </w:p>
    <w:p>
      <w:pPr>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 发包人（全称）：</w:t>
      </w:r>
      <w:r>
        <w:rPr>
          <w:rFonts w:hint="eastAsia" w:ascii="宋体" w:hAnsi="宋体" w:eastAsia="宋体" w:cs="宋体"/>
          <w:color w:val="auto"/>
          <w:sz w:val="24"/>
          <w:szCs w:val="24"/>
          <w:u w:val="single"/>
          <w:lang w:eastAsia="zh-CN"/>
        </w:rPr>
        <w:t xml:space="preserve">                                        </w:t>
      </w:r>
    </w:p>
    <w:p>
      <w:pPr>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 承包人（全称）：</w:t>
      </w:r>
      <w:r>
        <w:rPr>
          <w:rFonts w:hint="eastAsia" w:ascii="宋体" w:hAnsi="宋体" w:eastAsia="宋体" w:cs="宋体"/>
          <w:color w:val="auto"/>
          <w:sz w:val="24"/>
          <w:szCs w:val="24"/>
          <w:u w:val="single"/>
          <w:lang w:eastAsia="zh-CN"/>
        </w:rPr>
        <w:t xml:space="preserve">                                        </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为保证（工程名称）在合理使用年限内正常使用，经发包人承包人协商一致后签订本工程质量保修书。承包人在质量保修期内按照有关管理规定及双方约定承担工程质量保修责任。</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一、工程质量保修范围和内容</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具体质量保修内容双方约定如下：本合同承包范围内的全部工程内容。</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二、质量保修期</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质量保修期从工程实际竣工之日算起。分单位竣工验收的工程，按单位工程分别计算质量保修期。</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双方根据国家有关规定，结合具体工程预定质量保修期如下：</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r>
        <w:rPr>
          <w:rFonts w:hint="eastAsia" w:ascii="宋体" w:hAnsi="宋体" w:cs="宋体"/>
          <w:color w:val="auto"/>
          <w:sz w:val="24"/>
          <w:szCs w:val="24"/>
          <w:lang w:eastAsia="zh-CN"/>
        </w:rPr>
        <w:t>工程为</w:t>
      </w:r>
      <w:r>
        <w:rPr>
          <w:rFonts w:hint="eastAsia" w:ascii="宋体" w:hAnsi="宋体" w:cs="宋体"/>
          <w:color w:val="0000FF"/>
          <w:sz w:val="24"/>
          <w:szCs w:val="24"/>
          <w:lang w:val="en-US" w:eastAsia="zh-CN"/>
        </w:rPr>
        <w:t>100日历</w:t>
      </w:r>
      <w:r>
        <w:rPr>
          <w:rFonts w:hint="eastAsia" w:ascii="宋体" w:hAnsi="宋体" w:cs="宋体"/>
          <w:color w:val="auto"/>
          <w:sz w:val="24"/>
          <w:szCs w:val="24"/>
          <w:lang w:val="en-US" w:eastAsia="zh-CN"/>
        </w:rPr>
        <w:t>天</w:t>
      </w:r>
      <w:r>
        <w:rPr>
          <w:rFonts w:hint="eastAsia" w:ascii="宋体" w:hAnsi="宋体" w:eastAsia="宋体" w:cs="宋体"/>
          <w:color w:val="auto"/>
          <w:sz w:val="24"/>
          <w:szCs w:val="24"/>
          <w:lang w:eastAsia="zh-CN"/>
        </w:rPr>
        <w:t>；</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2、其他约定：本合同承包范围内的全部工程内容均在保修范围内。</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三、质量保修责任</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1、属于保修范围和内容的项目，承包人应在接到修理通知之后24小时内派人修理，7天内完成。承包人不在约定期限内派人修理，发包人可委托其他人员修理，保修费用从质量保修金内扣除。</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2、发生须紧急抢修事故，承包人接到事故通知后，应立即到达事故现场抢修，当超过2小时未到达事故现场，发包人可以委托他人修理，抢修费用由承包人承担。</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3、在国家规定的工程合理使用年限内，承包人确保本合同承包范围内的全部工程内容的质量。因承包人原因致使工程在合理使用期限内造成人身和财产损害的，承包人应承担损害赔偿责任。</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四、保修费用</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保修费用由造成质量缺陷的责任方承担。</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五、质量保修金的返还</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质量保修金为工程结算价的5%，发包人在质量保修期满后14天内将质量保修金全部返还。</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六、其他双方约定的其他工程质量保修事项               </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本工程质量保修书作为施工合同附件，由施工合同发包人、承包人双方在竣工验收前共同签署。</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发包人（公章）：                                承包人（公章）：</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法定代表人（签字）：                            法定代表人（签字）：</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日期：                                          日期：</w:t>
      </w:r>
      <w:r>
        <w:rPr>
          <w:rFonts w:hint="eastAsia" w:ascii="宋体" w:hAnsi="宋体" w:eastAsia="宋体" w:cs="宋体"/>
          <w:color w:val="auto"/>
          <w:sz w:val="24"/>
          <w:szCs w:val="24"/>
          <w:lang w:eastAsia="zh-CN"/>
        </w:rPr>
        <w:br w:type="page"/>
      </w:r>
      <w:bookmarkEnd w:id="580"/>
      <w:bookmarkStart w:id="581" w:name="_Toc201287619"/>
      <w:bookmarkStart w:id="582" w:name="_Toc437355501"/>
      <w:bookmarkStart w:id="583" w:name="_Toc111445503"/>
      <w:r>
        <w:rPr>
          <w:rFonts w:hint="eastAsia" w:ascii="宋体" w:hAnsi="宋体" w:eastAsia="宋体" w:cs="宋体"/>
          <w:b/>
          <w:color w:val="auto"/>
          <w:sz w:val="24"/>
          <w:szCs w:val="24"/>
          <w:lang w:eastAsia="zh-CN"/>
        </w:rPr>
        <w:t>附件五：廉政责任书格式</w:t>
      </w:r>
      <w:bookmarkEnd w:id="581"/>
      <w:bookmarkEnd w:id="582"/>
    </w:p>
    <w:p>
      <w:pPr>
        <w:ind w:firstLine="488"/>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建设工程廉政责任书</w:t>
      </w:r>
      <w:bookmarkEnd w:id="583"/>
    </w:p>
    <w:p>
      <w:pPr>
        <w:ind w:firstLine="480" w:firstLineChars="200"/>
        <w:rPr>
          <w:rFonts w:hint="eastAsia" w:ascii="宋体" w:hAnsi="宋体" w:eastAsia="宋体" w:cs="宋体"/>
          <w:color w:val="auto"/>
          <w:sz w:val="24"/>
          <w:szCs w:val="24"/>
          <w:lang w:eastAsia="zh-CN"/>
        </w:rPr>
      </w:pPr>
    </w:p>
    <w:p>
      <w:pPr>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发包人：____________________________________</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承包人：____________________________________</w:t>
      </w:r>
    </w:p>
    <w:p>
      <w:pPr>
        <w:ind w:firstLine="480" w:firstLineChars="200"/>
        <w:rPr>
          <w:rFonts w:hint="eastAsia" w:ascii="宋体" w:hAnsi="宋体" w:eastAsia="宋体" w:cs="宋体"/>
          <w:color w:val="auto"/>
          <w:sz w:val="24"/>
          <w:szCs w:val="24"/>
          <w:lang w:eastAsia="zh-CN"/>
        </w:rPr>
      </w:pP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pPr>
        <w:rPr>
          <w:rFonts w:hint="eastAsia" w:ascii="宋体" w:hAnsi="宋体" w:eastAsia="宋体" w:cs="宋体"/>
          <w:b/>
          <w:color w:val="auto"/>
          <w:sz w:val="24"/>
          <w:szCs w:val="24"/>
          <w:lang w:eastAsia="zh-CN"/>
        </w:rPr>
      </w:pPr>
      <w:bookmarkStart w:id="584" w:name="_Toc111445504"/>
      <w:r>
        <w:rPr>
          <w:rFonts w:hint="eastAsia" w:ascii="宋体" w:hAnsi="宋体" w:eastAsia="宋体" w:cs="宋体"/>
          <w:b/>
          <w:color w:val="auto"/>
          <w:sz w:val="24"/>
          <w:szCs w:val="24"/>
          <w:lang w:eastAsia="zh-CN"/>
        </w:rPr>
        <w:t>一、双方的责任</w:t>
      </w:r>
      <w:bookmarkEnd w:id="584"/>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 应严格遵守国家关于建设工程的有关法律、法规，相关政策，以及廉政建设的各项规定。</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 严格执行建设工程合同文件，自觉按合同办事。</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 各项活动必须坚持公开、公平、公正、诚信、透明的原则（除法律法规另有规定者外），不得为获取不正当的利益，损害国家、集体和对方利益，不得违反建设工程管理的规章制度。</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 发现对方在业务活动中有违规、违纪、违法行为的，应及时提醒对方，情节严重的，应向其上级主管部门或纪检监察、司法等有关机关举报。</w:t>
      </w:r>
    </w:p>
    <w:p>
      <w:pPr>
        <w:rPr>
          <w:rFonts w:hint="eastAsia" w:ascii="宋体" w:hAnsi="宋体" w:eastAsia="宋体" w:cs="宋体"/>
          <w:b/>
          <w:color w:val="auto"/>
          <w:sz w:val="24"/>
          <w:szCs w:val="24"/>
          <w:lang w:eastAsia="zh-CN"/>
        </w:rPr>
      </w:pPr>
      <w:bookmarkStart w:id="585" w:name="_Toc111445505"/>
      <w:r>
        <w:rPr>
          <w:rFonts w:hint="eastAsia" w:ascii="宋体" w:hAnsi="宋体" w:eastAsia="宋体" w:cs="宋体"/>
          <w:b/>
          <w:color w:val="auto"/>
          <w:sz w:val="24"/>
          <w:szCs w:val="24"/>
          <w:lang w:eastAsia="zh-CN"/>
        </w:rPr>
        <w:t>二、发包人责任</w:t>
      </w:r>
      <w:bookmarkEnd w:id="585"/>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发包人的领导和从事该建设工程项目的工作人员，在工程建设的事前、事中、事后应遵守以下规定：</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2.1不得向承包人和相关单位索要或接受回扣、礼金、有价证券、贵重物品和好处费、感谢费等。</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 不得在承包人和相关单位报销任何应由发包人或个人支付的费用。</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 不得要求、暗示或接受承包人和相关单位为个人装修住房、婚丧嫁娶、配偶子女的工作安排以及出国（境）、旅游等提供方便。</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 不得参加有可能影响公正执行公务的承包人和相关单位的宴请、健身、娱乐等活动。</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 不得向承包人和相关单位介绍或为配偶、子女、亲属参与同发包人工程建设管理合同有关的业务活动；不得以任何理由要求承包人和相关单位使用某种产品、材料和设备。</w:t>
      </w:r>
    </w:p>
    <w:p>
      <w:pPr>
        <w:rPr>
          <w:rFonts w:hint="eastAsia" w:ascii="宋体" w:hAnsi="宋体" w:eastAsia="宋体" w:cs="宋体"/>
          <w:b/>
          <w:color w:val="auto"/>
          <w:sz w:val="24"/>
          <w:szCs w:val="24"/>
          <w:lang w:eastAsia="zh-CN"/>
        </w:rPr>
      </w:pPr>
      <w:bookmarkStart w:id="586" w:name="_Toc111445506"/>
      <w:r>
        <w:rPr>
          <w:rFonts w:hint="eastAsia" w:ascii="宋体" w:hAnsi="宋体" w:eastAsia="宋体" w:cs="宋体"/>
          <w:b/>
          <w:color w:val="auto"/>
          <w:sz w:val="24"/>
          <w:szCs w:val="24"/>
          <w:lang w:eastAsia="zh-CN"/>
        </w:rPr>
        <w:t>三、承包人责任</w:t>
      </w:r>
      <w:bookmarkEnd w:id="586"/>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应与发包人保持正常的业务交往，按照有关法律法规和程序开展业务工作，严格执行工程建设的有关方针、政策，执行工程建设强制性标准，并遵守以下规定：</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3.1 不得以任何理由向发包人及其工作人员索要、接受或赠送礼金、有价证券、贵重物品及回扣、好处费、感谢费等。</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3.2不得以任何理由为发包人和相关单位报销应由对方或个人支付的费用。</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3.3不得接受或暗示为发包人、相关单位或个人装修住房、婚丧嫁娶、配偶子女的工作安排以及出国（境）、旅游等提供方便。</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3.4不得以任何理由为发包人、相关单位或个人组织有可能影响公正执行公务的宴请、健身、娱乐等活动。</w:t>
      </w:r>
    </w:p>
    <w:p>
      <w:pPr>
        <w:rPr>
          <w:rFonts w:hint="eastAsia" w:ascii="宋体" w:hAnsi="宋体" w:eastAsia="宋体" w:cs="宋体"/>
          <w:b/>
          <w:color w:val="auto"/>
          <w:sz w:val="24"/>
          <w:szCs w:val="24"/>
          <w:lang w:eastAsia="zh-CN"/>
        </w:rPr>
      </w:pPr>
      <w:bookmarkStart w:id="587" w:name="_Toc111445507"/>
      <w:r>
        <w:rPr>
          <w:rFonts w:hint="eastAsia" w:ascii="宋体" w:hAnsi="宋体" w:eastAsia="宋体" w:cs="宋体"/>
          <w:b/>
          <w:color w:val="auto"/>
          <w:sz w:val="24"/>
          <w:szCs w:val="24"/>
          <w:lang w:eastAsia="zh-CN"/>
        </w:rPr>
        <w:t>四、违约责任</w:t>
      </w:r>
      <w:bookmarkEnd w:id="587"/>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4.1发包人工作人员有违反本责任书第一、二条责任行为的，依据有关法律、法规给予处理；涉嫌犯罪的，移交司法机关追究刑事责任；给承包人单位造成经济损失的，应予以赔偿。</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4.2 承包人工作人员有违反本责任书第一、三条责任行为的，依据有关法律法规处理；涉嫌犯罪的，移交司法机关追究刑事责任；给发包人单位造成经济损失的，应予以赔偿。</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 本责任书作为建设工程合同的组成部分，与建设工程合同具有同等法律效力。经双方签署后立即生效。</w:t>
      </w:r>
    </w:p>
    <w:p>
      <w:pPr>
        <w:rPr>
          <w:rFonts w:hint="eastAsia" w:ascii="宋体" w:hAnsi="宋体" w:eastAsia="宋体" w:cs="宋体"/>
          <w:b/>
          <w:color w:val="auto"/>
          <w:sz w:val="24"/>
          <w:szCs w:val="24"/>
          <w:lang w:eastAsia="zh-CN"/>
        </w:rPr>
      </w:pPr>
      <w:bookmarkStart w:id="588" w:name="_Toc111445508"/>
      <w:r>
        <w:rPr>
          <w:rFonts w:hint="eastAsia" w:ascii="宋体" w:hAnsi="宋体" w:eastAsia="宋体" w:cs="宋体"/>
          <w:b/>
          <w:color w:val="auto"/>
          <w:sz w:val="24"/>
          <w:szCs w:val="24"/>
          <w:lang w:eastAsia="zh-CN"/>
        </w:rPr>
        <w:t>五、责任书有效期</w:t>
      </w:r>
      <w:bookmarkEnd w:id="588"/>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本责任书的有效期为双方签署之日起至该工程项目竣工验收合格时止。</w:t>
      </w:r>
    </w:p>
    <w:p>
      <w:pPr>
        <w:rPr>
          <w:rFonts w:hint="eastAsia" w:ascii="宋体" w:hAnsi="宋体" w:eastAsia="宋体" w:cs="宋体"/>
          <w:b/>
          <w:color w:val="auto"/>
          <w:sz w:val="24"/>
          <w:szCs w:val="24"/>
          <w:lang w:eastAsia="zh-CN"/>
        </w:rPr>
      </w:pPr>
      <w:bookmarkStart w:id="589" w:name="_Toc111445509"/>
      <w:r>
        <w:rPr>
          <w:rFonts w:hint="eastAsia" w:ascii="宋体" w:hAnsi="宋体" w:eastAsia="宋体" w:cs="宋体"/>
          <w:b/>
          <w:color w:val="auto"/>
          <w:sz w:val="24"/>
          <w:szCs w:val="24"/>
          <w:lang w:eastAsia="zh-CN"/>
        </w:rPr>
        <w:t>六、责任书份数</w:t>
      </w:r>
      <w:bookmarkEnd w:id="589"/>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本责任书一式二份，发包人承包人各执一份，具有同等效力。</w:t>
      </w:r>
    </w:p>
    <w:p>
      <w:pPr>
        <w:ind w:firstLine="570"/>
        <w:rPr>
          <w:rFonts w:hint="eastAsia" w:ascii="宋体" w:hAnsi="宋体" w:eastAsia="宋体" w:cs="宋体"/>
          <w:color w:val="auto"/>
          <w:sz w:val="24"/>
          <w:szCs w:val="24"/>
          <w:lang w:eastAsia="zh-CN"/>
        </w:rPr>
      </w:pPr>
    </w:p>
    <w:p>
      <w:pPr>
        <w:ind w:firstLine="570"/>
        <w:rPr>
          <w:rFonts w:hint="eastAsia" w:ascii="宋体" w:hAnsi="宋体" w:eastAsia="宋体" w:cs="宋体"/>
          <w:color w:val="auto"/>
          <w:sz w:val="24"/>
          <w:szCs w:val="24"/>
          <w:lang w:eastAsia="zh-CN"/>
        </w:rPr>
      </w:pPr>
    </w:p>
    <w:p>
      <w:pPr>
        <w:keepNext w:val="0"/>
        <w:keepLines w:val="0"/>
        <w:pageBreakBefore w:val="0"/>
        <w:widowControl/>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lang w:eastAsia="zh-CN"/>
        </w:rPr>
        <w:t>发包人：</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（公章）</w:t>
      </w:r>
      <w:r>
        <w:rPr>
          <w:rFonts w:hint="eastAsia" w:ascii="宋体" w:hAnsi="宋体" w:eastAsia="宋体" w:cs="宋体"/>
          <w:i w:val="0"/>
          <w:iCs w:val="0"/>
          <w:color w:val="auto"/>
          <w:sz w:val="24"/>
          <w:szCs w:val="24"/>
          <w:lang w:eastAsia="zh-CN"/>
        </w:rPr>
        <w:tab/>
      </w:r>
      <w:r>
        <w:rPr>
          <w:rFonts w:hint="eastAsia" w:ascii="宋体" w:hAnsi="宋体" w:eastAsia="宋体" w:cs="宋体"/>
          <w:i w:val="0"/>
          <w:iCs w:val="0"/>
          <w:color w:val="auto"/>
          <w:sz w:val="24"/>
          <w:szCs w:val="24"/>
          <w:lang w:eastAsia="zh-CN"/>
        </w:rPr>
        <w:t xml:space="preserve"> </w:t>
      </w:r>
      <w:r>
        <w:rPr>
          <w:rFonts w:hint="eastAsia" w:ascii="宋体" w:hAnsi="宋体" w:eastAsia="宋体" w:cs="宋体"/>
          <w:i w:val="0"/>
          <w:iCs w:val="0"/>
          <w:color w:val="auto"/>
          <w:sz w:val="24"/>
          <w:szCs w:val="24"/>
          <w:lang w:val="en-US" w:eastAsia="zh-CN"/>
        </w:rPr>
        <w:t xml:space="preserve">    </w:t>
      </w:r>
      <w:r>
        <w:rPr>
          <w:rFonts w:hint="eastAsia" w:ascii="宋体" w:hAnsi="宋体" w:eastAsia="宋体" w:cs="宋体"/>
          <w:i w:val="0"/>
          <w:iCs w:val="0"/>
          <w:color w:val="auto"/>
          <w:sz w:val="24"/>
          <w:szCs w:val="24"/>
          <w:lang w:eastAsia="zh-CN"/>
        </w:rPr>
        <w:t>承包人：</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 xml:space="preserve">（公章） </w:t>
      </w:r>
    </w:p>
    <w:p>
      <w:pPr>
        <w:keepNext w:val="0"/>
        <w:keepLines w:val="0"/>
        <w:pageBreakBefore w:val="0"/>
        <w:widowControl/>
        <w:tabs>
          <w:tab w:val="left" w:pos="4755"/>
        </w:tabs>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法定地址：</w:t>
      </w:r>
      <w:r>
        <w:rPr>
          <w:rFonts w:hint="eastAsia" w:ascii="宋体" w:hAnsi="宋体" w:eastAsia="宋体" w:cs="宋体"/>
          <w:i w:val="0"/>
          <w:iCs w:val="0"/>
          <w:color w:val="auto"/>
          <w:sz w:val="24"/>
          <w:szCs w:val="24"/>
          <w:u w:val="single"/>
        </w:rPr>
        <w:t xml:space="preserve">                </w:t>
      </w:r>
      <w:r>
        <w:rPr>
          <w:rFonts w:hint="eastAsia" w:ascii="宋体" w:hAnsi="宋体" w:eastAsia="宋体" w:cs="宋体"/>
          <w:i w:val="0"/>
          <w:iCs w:val="0"/>
          <w:color w:val="auto"/>
          <w:sz w:val="24"/>
          <w:szCs w:val="24"/>
          <w:lang w:val="en-US" w:eastAsia="zh-CN"/>
        </w:rPr>
        <w:t xml:space="preserve">              </w:t>
      </w:r>
      <w:r>
        <w:rPr>
          <w:rFonts w:hint="eastAsia" w:ascii="宋体" w:hAnsi="宋体" w:eastAsia="宋体" w:cs="宋体"/>
          <w:i w:val="0"/>
          <w:iCs w:val="0"/>
          <w:color w:val="auto"/>
          <w:sz w:val="24"/>
          <w:szCs w:val="24"/>
        </w:rPr>
        <w:t>法定地址：</w:t>
      </w:r>
      <w:r>
        <w:rPr>
          <w:rFonts w:hint="eastAsia" w:ascii="宋体" w:hAnsi="宋体" w:eastAsia="宋体" w:cs="宋体"/>
          <w:i w:val="0"/>
          <w:iCs w:val="0"/>
          <w:color w:val="auto"/>
          <w:sz w:val="24"/>
          <w:szCs w:val="24"/>
          <w:u w:val="single"/>
        </w:rPr>
        <w:t xml:space="preserve">                </w:t>
      </w:r>
    </w:p>
    <w:p>
      <w:pPr>
        <w:keepNext w:val="0"/>
        <w:keepLines w:val="0"/>
        <w:pageBreakBefore w:val="0"/>
        <w:widowControl/>
        <w:tabs>
          <w:tab w:val="left" w:pos="4275"/>
        </w:tabs>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 xml:space="preserve">法定代表人或其                      </w:t>
      </w:r>
      <w:r>
        <w:rPr>
          <w:rFonts w:hint="eastAsia" w:ascii="宋体" w:hAnsi="宋体" w:eastAsia="宋体" w:cs="宋体"/>
          <w:i w:val="0"/>
          <w:iCs w:val="0"/>
          <w:color w:val="auto"/>
          <w:sz w:val="24"/>
          <w:szCs w:val="24"/>
          <w:lang w:val="en-US" w:eastAsia="zh-CN"/>
        </w:rPr>
        <w:t xml:space="preserve">    </w:t>
      </w:r>
      <w:r>
        <w:rPr>
          <w:rFonts w:hint="eastAsia" w:ascii="宋体" w:hAnsi="宋体" w:eastAsia="宋体" w:cs="宋体"/>
          <w:i w:val="0"/>
          <w:iCs w:val="0"/>
          <w:color w:val="auto"/>
          <w:sz w:val="24"/>
          <w:szCs w:val="24"/>
        </w:rPr>
        <w:t>法定代表人或其</w:t>
      </w:r>
    </w:p>
    <w:p>
      <w:pPr>
        <w:keepNext w:val="0"/>
        <w:keepLines w:val="0"/>
        <w:pageBreakBefore w:val="0"/>
        <w:widowControl/>
        <w:tabs>
          <w:tab w:val="left" w:pos="4275"/>
        </w:tabs>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lang w:eastAsia="zh-CN"/>
        </w:rPr>
        <w:t>委托代理人：：</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 xml:space="preserve">（签字） </w:t>
      </w:r>
      <w:r>
        <w:rPr>
          <w:rFonts w:hint="eastAsia" w:ascii="宋体" w:hAnsi="宋体" w:eastAsia="宋体" w:cs="宋体"/>
          <w:i w:val="0"/>
          <w:iCs w:val="0"/>
          <w:color w:val="auto"/>
          <w:sz w:val="24"/>
          <w:szCs w:val="24"/>
          <w:lang w:val="en-US" w:eastAsia="zh-CN"/>
        </w:rPr>
        <w:t xml:space="preserve">   </w:t>
      </w:r>
      <w:r>
        <w:rPr>
          <w:rFonts w:hint="eastAsia" w:ascii="宋体" w:hAnsi="宋体" w:eastAsia="宋体" w:cs="宋体"/>
          <w:i w:val="0"/>
          <w:iCs w:val="0"/>
          <w:color w:val="auto"/>
          <w:sz w:val="24"/>
          <w:szCs w:val="24"/>
          <w:lang w:eastAsia="zh-CN"/>
        </w:rPr>
        <w:t>委托代理人：</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（签字）</w:t>
      </w:r>
    </w:p>
    <w:p>
      <w:pPr>
        <w:keepNext w:val="0"/>
        <w:keepLines w:val="0"/>
        <w:pageBreakBefore w:val="0"/>
        <w:widowControl/>
        <w:tabs>
          <w:tab w:val="left" w:pos="4755"/>
        </w:tabs>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lang w:eastAsia="zh-CN"/>
        </w:rPr>
        <w:t>电话：</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ab/>
      </w:r>
      <w:r>
        <w:rPr>
          <w:rFonts w:hint="eastAsia" w:ascii="宋体" w:hAnsi="宋体" w:eastAsia="宋体" w:cs="宋体"/>
          <w:i w:val="0"/>
          <w:iCs w:val="0"/>
          <w:color w:val="auto"/>
          <w:sz w:val="24"/>
          <w:szCs w:val="24"/>
          <w:lang w:eastAsia="zh-CN"/>
        </w:rPr>
        <w:t>电话：</w:t>
      </w:r>
      <w:r>
        <w:rPr>
          <w:rFonts w:hint="eastAsia" w:ascii="宋体" w:hAnsi="宋体" w:eastAsia="宋体" w:cs="宋体"/>
          <w:i w:val="0"/>
          <w:iCs w:val="0"/>
          <w:color w:val="auto"/>
          <w:sz w:val="24"/>
          <w:szCs w:val="24"/>
          <w:u w:val="single"/>
          <w:lang w:eastAsia="zh-CN"/>
        </w:rPr>
        <w:t xml:space="preserve">                    </w:t>
      </w:r>
    </w:p>
    <w:p>
      <w:pPr>
        <w:keepNext w:val="0"/>
        <w:keepLines w:val="0"/>
        <w:pageBreakBefore w:val="0"/>
        <w:widowControl/>
        <w:tabs>
          <w:tab w:val="left" w:pos="4755"/>
        </w:tabs>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lang w:eastAsia="zh-CN"/>
        </w:rPr>
        <w:t>传真：</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ab/>
      </w:r>
      <w:r>
        <w:rPr>
          <w:rFonts w:hint="eastAsia" w:ascii="宋体" w:hAnsi="宋体" w:eastAsia="宋体" w:cs="宋体"/>
          <w:i w:val="0"/>
          <w:iCs w:val="0"/>
          <w:color w:val="auto"/>
          <w:sz w:val="24"/>
          <w:szCs w:val="24"/>
          <w:lang w:eastAsia="zh-CN"/>
        </w:rPr>
        <w:t>传真：</w:t>
      </w:r>
      <w:r>
        <w:rPr>
          <w:rFonts w:hint="eastAsia" w:ascii="宋体" w:hAnsi="宋体" w:eastAsia="宋体" w:cs="宋体"/>
          <w:i w:val="0"/>
          <w:iCs w:val="0"/>
          <w:color w:val="auto"/>
          <w:sz w:val="24"/>
          <w:szCs w:val="24"/>
          <w:u w:val="single"/>
          <w:lang w:eastAsia="zh-CN"/>
        </w:rPr>
        <w:t xml:space="preserve">                    </w:t>
      </w:r>
    </w:p>
    <w:p>
      <w:pPr>
        <w:keepNext w:val="0"/>
        <w:keepLines w:val="0"/>
        <w:pageBreakBefore w:val="0"/>
        <w:widowControl/>
        <w:tabs>
          <w:tab w:val="left" w:pos="4700"/>
        </w:tabs>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lang w:eastAsia="zh-CN"/>
        </w:rPr>
        <w:t>电子邮箱：</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 xml:space="preserve">        </w:t>
      </w:r>
      <w:r>
        <w:rPr>
          <w:rFonts w:hint="eastAsia" w:ascii="宋体" w:hAnsi="宋体" w:eastAsia="宋体" w:cs="宋体"/>
          <w:i w:val="0"/>
          <w:iCs w:val="0"/>
          <w:color w:val="auto"/>
          <w:sz w:val="24"/>
          <w:szCs w:val="24"/>
          <w:lang w:val="en-US" w:eastAsia="zh-CN"/>
        </w:rPr>
        <w:t xml:space="preserve">    </w:t>
      </w:r>
      <w:r>
        <w:rPr>
          <w:rFonts w:hint="eastAsia" w:ascii="宋体" w:hAnsi="宋体" w:eastAsia="宋体" w:cs="宋体"/>
          <w:i w:val="0"/>
          <w:iCs w:val="0"/>
          <w:color w:val="auto"/>
          <w:sz w:val="24"/>
          <w:szCs w:val="24"/>
          <w:lang w:eastAsia="zh-CN"/>
        </w:rPr>
        <w:t xml:space="preserve"> 电子邮箱：</w:t>
      </w:r>
      <w:r>
        <w:rPr>
          <w:rFonts w:hint="eastAsia" w:ascii="宋体" w:hAnsi="宋体" w:eastAsia="宋体" w:cs="宋体"/>
          <w:i w:val="0"/>
          <w:iCs w:val="0"/>
          <w:color w:val="auto"/>
          <w:sz w:val="24"/>
          <w:szCs w:val="24"/>
          <w:u w:val="single"/>
          <w:lang w:eastAsia="zh-CN"/>
        </w:rPr>
        <w:t xml:space="preserve">                </w:t>
      </w:r>
    </w:p>
    <w:p>
      <w:pPr>
        <w:keepNext w:val="0"/>
        <w:keepLines w:val="0"/>
        <w:pageBreakBefore w:val="0"/>
        <w:widowControl/>
        <w:tabs>
          <w:tab w:val="left" w:pos="4755"/>
        </w:tabs>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lang w:eastAsia="zh-CN"/>
        </w:rPr>
        <w:t>开户银行：</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ab/>
      </w:r>
      <w:r>
        <w:rPr>
          <w:rFonts w:hint="eastAsia" w:ascii="宋体" w:hAnsi="宋体" w:eastAsia="宋体" w:cs="宋体"/>
          <w:i w:val="0"/>
          <w:iCs w:val="0"/>
          <w:color w:val="auto"/>
          <w:sz w:val="24"/>
          <w:szCs w:val="24"/>
          <w:lang w:eastAsia="zh-CN"/>
        </w:rPr>
        <w:t>开户银行：</w:t>
      </w:r>
      <w:r>
        <w:rPr>
          <w:rFonts w:hint="eastAsia" w:ascii="宋体" w:hAnsi="宋体" w:eastAsia="宋体" w:cs="宋体"/>
          <w:i w:val="0"/>
          <w:iCs w:val="0"/>
          <w:color w:val="auto"/>
          <w:sz w:val="24"/>
          <w:szCs w:val="24"/>
          <w:u w:val="single"/>
          <w:lang w:eastAsia="zh-CN"/>
        </w:rPr>
        <w:t xml:space="preserve">                </w:t>
      </w:r>
    </w:p>
    <w:p>
      <w:pPr>
        <w:keepNext w:val="0"/>
        <w:keepLines w:val="0"/>
        <w:pageBreakBefore w:val="0"/>
        <w:widowControl/>
        <w:tabs>
          <w:tab w:val="left" w:pos="4755"/>
        </w:tabs>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lang w:eastAsia="zh-CN"/>
        </w:rPr>
        <w:t>帐号：</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ab/>
      </w:r>
      <w:r>
        <w:rPr>
          <w:rFonts w:hint="eastAsia" w:ascii="宋体" w:hAnsi="宋体" w:eastAsia="宋体" w:cs="宋体"/>
          <w:i w:val="0"/>
          <w:iCs w:val="0"/>
          <w:color w:val="auto"/>
          <w:sz w:val="24"/>
          <w:szCs w:val="24"/>
          <w:lang w:eastAsia="zh-CN"/>
        </w:rPr>
        <w:t>帐号：</w:t>
      </w:r>
      <w:r>
        <w:rPr>
          <w:rFonts w:hint="eastAsia" w:ascii="宋体" w:hAnsi="宋体" w:eastAsia="宋体" w:cs="宋体"/>
          <w:i w:val="0"/>
          <w:iCs w:val="0"/>
          <w:color w:val="auto"/>
          <w:sz w:val="24"/>
          <w:szCs w:val="24"/>
          <w:u w:val="single"/>
          <w:lang w:eastAsia="zh-CN"/>
        </w:rPr>
        <w:t xml:space="preserve">                    </w:t>
      </w:r>
    </w:p>
    <w:p>
      <w:pPr>
        <w:pStyle w:val="3"/>
        <w:keepNext w:val="0"/>
        <w:keepLines w:val="0"/>
        <w:pageBreakBefore w:val="0"/>
        <w:widowControl/>
        <w:kinsoku/>
        <w:wordWrap/>
        <w:overflowPunct/>
        <w:topLinePunct w:val="0"/>
        <w:autoSpaceDE/>
        <w:autoSpaceDN/>
        <w:bidi w:val="0"/>
        <w:adjustRightInd/>
        <w:snapToGrid/>
        <w:ind w:firstLine="0" w:firstLineChars="0"/>
        <w:textAlignment w:val="auto"/>
        <w:rPr>
          <w:rFonts w:hint="eastAsia" w:ascii="宋体" w:hAnsi="宋体" w:eastAsia="宋体" w:cs="宋体"/>
          <w:i/>
          <w:color w:val="auto"/>
          <w:sz w:val="24"/>
          <w:szCs w:val="24"/>
          <w:lang w:eastAsia="zh-CN"/>
        </w:rPr>
      </w:pPr>
      <w:r>
        <w:rPr>
          <w:rFonts w:hint="eastAsia" w:ascii="宋体" w:hAnsi="宋体" w:eastAsia="宋体" w:cs="宋体"/>
          <w:i w:val="0"/>
          <w:iCs w:val="0"/>
          <w:color w:val="auto"/>
          <w:sz w:val="24"/>
          <w:szCs w:val="24"/>
          <w:lang w:eastAsia="zh-CN"/>
        </w:rPr>
        <w:t>邮政编码：</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 xml:space="preserve">      </w:t>
      </w:r>
      <w:r>
        <w:rPr>
          <w:rFonts w:hint="eastAsia" w:ascii="宋体" w:hAnsi="宋体" w:eastAsia="宋体" w:cs="宋体"/>
          <w:i w:val="0"/>
          <w:iCs w:val="0"/>
          <w:color w:val="auto"/>
          <w:sz w:val="24"/>
          <w:szCs w:val="24"/>
          <w:lang w:val="en-US" w:eastAsia="zh-CN"/>
        </w:rPr>
        <w:t xml:space="preserve">     </w:t>
      </w:r>
      <w:r>
        <w:rPr>
          <w:rFonts w:hint="eastAsia" w:ascii="宋体" w:hAnsi="宋体" w:eastAsia="宋体" w:cs="宋体"/>
          <w:i w:val="0"/>
          <w:iCs w:val="0"/>
          <w:color w:val="auto"/>
          <w:sz w:val="24"/>
          <w:szCs w:val="24"/>
          <w:lang w:eastAsia="zh-CN"/>
        </w:rPr>
        <w:t xml:space="preserve"> 邮政编码：</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 xml:space="preserve"> </w:t>
      </w:r>
    </w:p>
    <w:p/>
    <w:p>
      <w:pPr>
        <w:spacing w:line="360" w:lineRule="auto"/>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br w:type="page"/>
      </w:r>
    </w:p>
    <w:p>
      <w:pPr>
        <w:pStyle w:val="22"/>
        <w:rPr>
          <w:rFonts w:ascii="仿宋" w:hAnsi="仿宋" w:eastAsia="仿宋" w:cs="Times New Roman"/>
          <w:color w:val="000000" w:themeColor="text1"/>
          <w:highlight w:val="none"/>
          <w:lang w:val="zh-CN"/>
          <w14:textFill>
            <w14:solidFill>
              <w14:schemeClr w14:val="tx1"/>
            </w14:solidFill>
          </w14:textFill>
        </w:rPr>
      </w:pPr>
      <w:bookmarkStart w:id="590" w:name="_Toc298683390"/>
      <w:bookmarkStart w:id="591" w:name="_Toc699"/>
      <w:r>
        <w:rPr>
          <w:rFonts w:hint="eastAsia" w:ascii="仿宋" w:hAnsi="仿宋" w:eastAsia="仿宋" w:cs="Times New Roman"/>
          <w:color w:val="000000" w:themeColor="text1"/>
          <w:highlight w:val="none"/>
          <w:lang w:val="zh-CN"/>
          <w14:textFill>
            <w14:solidFill>
              <w14:schemeClr w14:val="tx1"/>
            </w14:solidFill>
          </w14:textFill>
        </w:rPr>
        <w:t>第五部分投标文件格式</w:t>
      </w:r>
      <w:bookmarkEnd w:id="590"/>
      <w:r>
        <w:rPr>
          <w:rFonts w:hint="eastAsia" w:ascii="仿宋" w:hAnsi="仿宋" w:eastAsia="仿宋" w:cs="Times New Roman"/>
          <w:color w:val="000000" w:themeColor="text1"/>
          <w:highlight w:val="none"/>
          <w:lang w:val="zh-CN"/>
          <w14:textFill>
            <w14:solidFill>
              <w14:schemeClr w14:val="tx1"/>
            </w14:solidFill>
          </w14:textFill>
        </w:rPr>
        <w:t>（部分）</w:t>
      </w:r>
      <w:bookmarkEnd w:id="591"/>
    </w:p>
    <w:p>
      <w:pPr>
        <w:rPr>
          <w:color w:val="000000" w:themeColor="text1"/>
          <w:highlight w:val="none"/>
          <w:lang w:val="zh-CN"/>
          <w14:textFill>
            <w14:solidFill>
              <w14:schemeClr w14:val="tx1"/>
            </w14:solidFill>
          </w14:textFill>
        </w:rPr>
      </w:pPr>
    </w:p>
    <w:p>
      <w:pPr>
        <w:autoSpaceDE w:val="0"/>
        <w:autoSpaceDN w:val="0"/>
        <w:adjustRightInd w:val="0"/>
        <w:spacing w:line="360" w:lineRule="auto"/>
        <w:jc w:val="center"/>
        <w:rPr>
          <w:rFonts w:ascii="仿宋" w:hAnsi="仿宋" w:eastAsia="仿宋"/>
          <w:b/>
          <w:bCs/>
          <w:color w:val="000000" w:themeColor="text1"/>
          <w:kern w:val="0"/>
          <w:sz w:val="24"/>
          <w:szCs w:val="24"/>
          <w:highlight w:val="none"/>
          <w14:textFill>
            <w14:solidFill>
              <w14:schemeClr w14:val="tx1"/>
            </w14:solidFill>
          </w14:textFill>
        </w:rPr>
      </w:pPr>
    </w:p>
    <w:p>
      <w:pPr>
        <w:autoSpaceDE w:val="0"/>
        <w:autoSpaceDN w:val="0"/>
        <w:adjustRightInd w:val="0"/>
        <w:spacing w:line="360" w:lineRule="auto"/>
        <w:jc w:val="left"/>
        <w:rPr>
          <w:rFonts w:ascii="仿宋" w:hAnsi="仿宋" w:eastAsia="仿宋"/>
          <w:color w:val="000000" w:themeColor="text1"/>
          <w:kern w:val="0"/>
          <w:sz w:val="24"/>
          <w:szCs w:val="24"/>
          <w:highlight w:val="none"/>
          <w14:textFill>
            <w14:solidFill>
              <w14:schemeClr w14:val="tx1"/>
            </w14:solidFill>
          </w14:textFill>
        </w:rPr>
      </w:pPr>
    </w:p>
    <w:p>
      <w:pPr>
        <w:autoSpaceDE w:val="0"/>
        <w:autoSpaceDN w:val="0"/>
        <w:adjustRightInd w:val="0"/>
        <w:spacing w:line="600" w:lineRule="auto"/>
        <w:jc w:val="center"/>
        <w:rPr>
          <w:rFonts w:hint="eastAsia" w:ascii="仿宋" w:hAnsi="仿宋" w:eastAsia="仿宋" w:cs="宋体"/>
          <w:b/>
          <w:bCs/>
          <w:color w:val="000000" w:themeColor="text1"/>
          <w:kern w:val="0"/>
          <w:sz w:val="48"/>
          <w:szCs w:val="48"/>
          <w:highlight w:val="none"/>
          <w:lang w:val="en-US" w:eastAsia="zh-CN"/>
          <w14:textFill>
            <w14:solidFill>
              <w14:schemeClr w14:val="tx1"/>
            </w14:solidFill>
          </w14:textFill>
        </w:rPr>
      </w:pPr>
      <w:r>
        <w:rPr>
          <w:rFonts w:hint="eastAsia" w:ascii="仿宋" w:hAnsi="仿宋" w:eastAsia="仿宋" w:cs="宋体"/>
          <w:b/>
          <w:bCs/>
          <w:color w:val="000000" w:themeColor="text1"/>
          <w:kern w:val="0"/>
          <w:sz w:val="48"/>
          <w:szCs w:val="48"/>
          <w:highlight w:val="none"/>
          <w:lang w:val="en-US" w:eastAsia="zh-CN"/>
          <w14:textFill>
            <w14:solidFill>
              <w14:schemeClr w14:val="tx1"/>
            </w14:solidFill>
          </w14:textFill>
        </w:rPr>
        <w:t>甘德县高原美丽乡村建设项目</w:t>
      </w:r>
    </w:p>
    <w:p>
      <w:pPr>
        <w:autoSpaceDE w:val="0"/>
        <w:autoSpaceDN w:val="0"/>
        <w:adjustRightInd w:val="0"/>
        <w:spacing w:line="600" w:lineRule="auto"/>
        <w:jc w:val="center"/>
        <w:rPr>
          <w:rFonts w:hint="eastAsia" w:ascii="仿宋" w:hAnsi="仿宋" w:eastAsia="仿宋" w:cs="宋体"/>
          <w:b/>
          <w:bCs/>
          <w:color w:val="000000" w:themeColor="text1"/>
          <w:kern w:val="0"/>
          <w:sz w:val="48"/>
          <w:szCs w:val="48"/>
          <w:highlight w:val="none"/>
          <w14:textFill>
            <w14:solidFill>
              <w14:schemeClr w14:val="tx1"/>
            </w14:solidFill>
          </w14:textFill>
        </w:rPr>
      </w:pPr>
      <w:r>
        <w:rPr>
          <w:rFonts w:hint="eastAsia" w:ascii="仿宋" w:hAnsi="仿宋" w:eastAsia="仿宋" w:cs="宋体"/>
          <w:b/>
          <w:bCs/>
          <w:color w:val="000000" w:themeColor="text1"/>
          <w:kern w:val="0"/>
          <w:sz w:val="48"/>
          <w:szCs w:val="48"/>
          <w:highlight w:val="none"/>
          <w14:textFill>
            <w14:solidFill>
              <w14:schemeClr w14:val="tx1"/>
            </w14:solidFill>
          </w14:textFill>
        </w:rPr>
        <w:t>响应文件</w:t>
      </w:r>
    </w:p>
    <w:p>
      <w:pPr>
        <w:autoSpaceDE w:val="0"/>
        <w:autoSpaceDN w:val="0"/>
        <w:adjustRightInd w:val="0"/>
        <w:spacing w:line="600" w:lineRule="auto"/>
        <w:jc w:val="center"/>
        <w:rPr>
          <w:rFonts w:hint="default" w:ascii="仿宋" w:hAnsi="仿宋" w:eastAsia="仿宋" w:cs="宋体"/>
          <w:b/>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宋体"/>
          <w:b/>
          <w:bCs/>
          <w:color w:val="000000" w:themeColor="text1"/>
          <w:kern w:val="0"/>
          <w:sz w:val="24"/>
          <w:szCs w:val="24"/>
          <w:highlight w:val="none"/>
          <w14:textFill>
            <w14:solidFill>
              <w14:schemeClr w14:val="tx1"/>
            </w14:solidFill>
          </w14:textFill>
        </w:rPr>
        <w:t>采购项目编号：</w:t>
      </w:r>
      <w:r>
        <w:rPr>
          <w:rFonts w:hint="eastAsia" w:ascii="仿宋" w:hAnsi="仿宋" w:eastAsia="仿宋" w:cs="宋体"/>
          <w:b/>
          <w:bCs/>
          <w:color w:val="000000" w:themeColor="text1"/>
          <w:kern w:val="0"/>
          <w:sz w:val="24"/>
          <w:szCs w:val="24"/>
          <w:highlight w:val="none"/>
          <w:lang w:val="en-US" w:eastAsia="zh-CN"/>
          <w14:textFill>
            <w14:solidFill>
              <w14:schemeClr w14:val="tx1"/>
            </w14:solidFill>
          </w14:textFill>
        </w:rPr>
        <w:t>QHHMZB-2021-046</w:t>
      </w:r>
    </w:p>
    <w:p>
      <w:pPr>
        <w:autoSpaceDE w:val="0"/>
        <w:autoSpaceDN w:val="0"/>
        <w:adjustRightInd w:val="0"/>
        <w:spacing w:line="600" w:lineRule="auto"/>
        <w:jc w:val="left"/>
        <w:rPr>
          <w:rFonts w:hint="eastAsia" w:ascii="仿宋" w:hAnsi="仿宋" w:eastAsia="仿宋"/>
          <w:b/>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b/>
          <w:bCs/>
          <w:color w:val="000000" w:themeColor="text1"/>
          <w:kern w:val="0"/>
          <w:sz w:val="24"/>
          <w:szCs w:val="24"/>
          <w:highlight w:val="none"/>
          <w:lang w:val="en-US" w:eastAsia="zh-CN"/>
          <w14:textFill>
            <w14:solidFill>
              <w14:schemeClr w14:val="tx1"/>
            </w14:solidFill>
          </w14:textFill>
        </w:rPr>
        <w:t xml:space="preserve"> </w:t>
      </w:r>
    </w:p>
    <w:p>
      <w:pPr>
        <w:autoSpaceDE w:val="0"/>
        <w:autoSpaceDN w:val="0"/>
        <w:adjustRightInd w:val="0"/>
        <w:spacing w:line="600" w:lineRule="auto"/>
        <w:jc w:val="left"/>
        <w:rPr>
          <w:rFonts w:ascii="仿宋" w:hAnsi="仿宋" w:eastAsia="仿宋"/>
          <w:b/>
          <w:bCs/>
          <w:color w:val="000000" w:themeColor="text1"/>
          <w:kern w:val="0"/>
          <w:sz w:val="24"/>
          <w:szCs w:val="24"/>
          <w:highlight w:val="none"/>
          <w14:textFill>
            <w14:solidFill>
              <w14:schemeClr w14:val="tx1"/>
            </w14:solidFill>
          </w14:textFill>
        </w:rPr>
      </w:pPr>
    </w:p>
    <w:p>
      <w:pPr>
        <w:autoSpaceDE w:val="0"/>
        <w:autoSpaceDN w:val="0"/>
        <w:adjustRightInd w:val="0"/>
        <w:spacing w:line="600" w:lineRule="auto"/>
        <w:jc w:val="left"/>
        <w:rPr>
          <w:rFonts w:ascii="仿宋" w:hAnsi="仿宋" w:eastAsia="仿宋"/>
          <w:b/>
          <w:bCs/>
          <w:color w:val="000000" w:themeColor="text1"/>
          <w:kern w:val="0"/>
          <w:sz w:val="24"/>
          <w:szCs w:val="24"/>
          <w:highlight w:val="none"/>
          <w14:textFill>
            <w14:solidFill>
              <w14:schemeClr w14:val="tx1"/>
            </w14:solidFill>
          </w14:textFill>
        </w:rPr>
      </w:pPr>
    </w:p>
    <w:p>
      <w:pPr>
        <w:autoSpaceDE w:val="0"/>
        <w:autoSpaceDN w:val="0"/>
        <w:adjustRightInd w:val="0"/>
        <w:spacing w:line="600" w:lineRule="auto"/>
        <w:ind w:firstLine="590" w:firstLineChars="245"/>
        <w:jc w:val="left"/>
        <w:rPr>
          <w:rFonts w:ascii="仿宋" w:hAnsi="仿宋" w:eastAsia="仿宋"/>
          <w:b/>
          <w:bCs/>
          <w:color w:val="000000" w:themeColor="text1"/>
          <w:kern w:val="0"/>
          <w:sz w:val="24"/>
          <w:szCs w:val="24"/>
          <w:highlight w:val="none"/>
          <w14:textFill>
            <w14:solidFill>
              <w14:schemeClr w14:val="tx1"/>
            </w14:solidFill>
          </w14:textFill>
        </w:rPr>
      </w:pPr>
      <w:r>
        <w:rPr>
          <w:rFonts w:hint="eastAsia" w:ascii="仿宋" w:hAnsi="仿宋" w:eastAsia="仿宋"/>
          <w:b/>
          <w:bCs/>
          <w:color w:val="000000" w:themeColor="text1"/>
          <w:kern w:val="0"/>
          <w:sz w:val="24"/>
          <w:szCs w:val="24"/>
          <w:highlight w:val="none"/>
          <w:lang w:eastAsia="zh-CN"/>
          <w14:textFill>
            <w14:solidFill>
              <w14:schemeClr w14:val="tx1"/>
            </w14:solidFill>
          </w14:textFill>
        </w:rPr>
        <w:t>招标人</w:t>
      </w:r>
      <w:r>
        <w:rPr>
          <w:rFonts w:hint="eastAsia" w:ascii="仿宋" w:hAnsi="仿宋" w:eastAsia="仿宋"/>
          <w:b/>
          <w:bCs/>
          <w:color w:val="000000" w:themeColor="text1"/>
          <w:kern w:val="0"/>
          <w:sz w:val="24"/>
          <w:szCs w:val="24"/>
          <w:highlight w:val="none"/>
          <w14:textFill>
            <w14:solidFill>
              <w14:schemeClr w14:val="tx1"/>
            </w14:solidFill>
          </w14:textFill>
        </w:rPr>
        <w:t>：</w:t>
      </w:r>
    </w:p>
    <w:p>
      <w:pPr>
        <w:autoSpaceDE w:val="0"/>
        <w:autoSpaceDN w:val="0"/>
        <w:adjustRightInd w:val="0"/>
        <w:spacing w:line="600" w:lineRule="auto"/>
        <w:ind w:firstLine="590" w:firstLineChars="245"/>
        <w:jc w:val="left"/>
        <w:rPr>
          <w:rFonts w:ascii="仿宋" w:hAnsi="仿宋" w:eastAsia="仿宋"/>
          <w:b/>
          <w:bCs/>
          <w:color w:val="000000" w:themeColor="text1"/>
          <w:kern w:val="0"/>
          <w:sz w:val="24"/>
          <w:szCs w:val="24"/>
          <w:highlight w:val="none"/>
          <w14:textFill>
            <w14:solidFill>
              <w14:schemeClr w14:val="tx1"/>
            </w14:solidFill>
          </w14:textFill>
        </w:rPr>
      </w:pPr>
      <w:r>
        <w:rPr>
          <w:rFonts w:hint="eastAsia" w:ascii="仿宋" w:hAnsi="仿宋" w:eastAsia="仿宋"/>
          <w:b/>
          <w:bCs/>
          <w:color w:val="000000" w:themeColor="text1"/>
          <w:kern w:val="0"/>
          <w:sz w:val="24"/>
          <w:szCs w:val="24"/>
          <w:highlight w:val="none"/>
          <w14:textFill>
            <w14:solidFill>
              <w14:schemeClr w14:val="tx1"/>
            </w14:solidFill>
          </w14:textFill>
        </w:rPr>
        <w:t>招标代理机构：</w:t>
      </w:r>
    </w:p>
    <w:p>
      <w:pPr>
        <w:autoSpaceDE w:val="0"/>
        <w:autoSpaceDN w:val="0"/>
        <w:adjustRightInd w:val="0"/>
        <w:spacing w:line="600" w:lineRule="auto"/>
        <w:ind w:firstLine="585" w:firstLineChars="243"/>
        <w:jc w:val="left"/>
        <w:rPr>
          <w:rFonts w:ascii="仿宋" w:hAnsi="仿宋" w:eastAsia="仿宋"/>
          <w:b/>
          <w:bCs/>
          <w:color w:val="000000" w:themeColor="text1"/>
          <w:kern w:val="0"/>
          <w:sz w:val="24"/>
          <w:szCs w:val="24"/>
          <w:highlight w:val="none"/>
          <w:u w:val="single"/>
          <w14:textFill>
            <w14:solidFill>
              <w14:schemeClr w14:val="tx1"/>
            </w14:solidFill>
          </w14:textFill>
        </w:rPr>
      </w:pPr>
      <w:r>
        <w:rPr>
          <w:rFonts w:hint="eastAsia" w:ascii="仿宋" w:hAnsi="仿宋" w:eastAsia="仿宋"/>
          <w:b/>
          <w:bCs/>
          <w:color w:val="000000" w:themeColor="text1"/>
          <w:kern w:val="0"/>
          <w:sz w:val="24"/>
          <w:szCs w:val="24"/>
          <w:highlight w:val="none"/>
          <w:lang w:eastAsia="zh-CN"/>
          <w14:textFill>
            <w14:solidFill>
              <w14:schemeClr w14:val="tx1"/>
            </w14:solidFill>
          </w14:textFill>
        </w:rPr>
        <w:t>投标人</w:t>
      </w:r>
      <w:r>
        <w:rPr>
          <w:rFonts w:hint="eastAsia" w:ascii="仿宋" w:hAnsi="仿宋" w:eastAsia="仿宋"/>
          <w:b/>
          <w:bCs/>
          <w:color w:val="000000" w:themeColor="text1"/>
          <w:kern w:val="0"/>
          <w:sz w:val="24"/>
          <w:szCs w:val="24"/>
          <w:highlight w:val="none"/>
          <w14:textFill>
            <w14:solidFill>
              <w14:schemeClr w14:val="tx1"/>
            </w14:solidFill>
          </w14:textFill>
        </w:rPr>
        <w:t>：</w:t>
      </w:r>
    </w:p>
    <w:p>
      <w:pPr>
        <w:autoSpaceDE w:val="0"/>
        <w:autoSpaceDN w:val="0"/>
        <w:adjustRightInd w:val="0"/>
        <w:spacing w:line="600" w:lineRule="auto"/>
        <w:ind w:firstLine="585" w:firstLineChars="243"/>
        <w:jc w:val="left"/>
        <w:rPr>
          <w:rFonts w:ascii="仿宋" w:hAnsi="仿宋" w:eastAsia="仿宋"/>
          <w:b/>
          <w:bCs/>
          <w:color w:val="000000" w:themeColor="text1"/>
          <w:kern w:val="0"/>
          <w:sz w:val="24"/>
          <w:szCs w:val="24"/>
          <w:highlight w:val="none"/>
          <w14:textFill>
            <w14:solidFill>
              <w14:schemeClr w14:val="tx1"/>
            </w14:solidFill>
          </w14:textFill>
        </w:rPr>
      </w:pPr>
      <w:r>
        <w:rPr>
          <w:rFonts w:hint="eastAsia" w:ascii="仿宋" w:hAnsi="仿宋" w:eastAsia="仿宋"/>
          <w:b/>
          <w:bCs/>
          <w:color w:val="000000" w:themeColor="text1"/>
          <w:kern w:val="0"/>
          <w:sz w:val="24"/>
          <w:szCs w:val="24"/>
          <w:highlight w:val="none"/>
          <w14:textFill>
            <w14:solidFill>
              <w14:schemeClr w14:val="tx1"/>
            </w14:solidFill>
          </w14:textFill>
        </w:rPr>
        <w:t>法定代表人或其委托代理人：（签字或盖章）</w:t>
      </w:r>
    </w:p>
    <w:p>
      <w:pPr>
        <w:autoSpaceDE w:val="0"/>
        <w:autoSpaceDN w:val="0"/>
        <w:adjustRightInd w:val="0"/>
        <w:spacing w:line="600" w:lineRule="auto"/>
        <w:ind w:firstLine="590" w:firstLineChars="245"/>
        <w:jc w:val="left"/>
        <w:rPr>
          <w:rFonts w:ascii="仿宋" w:hAnsi="仿宋" w:eastAsia="仿宋"/>
          <w:b/>
          <w:bCs/>
          <w:color w:val="000000" w:themeColor="text1"/>
          <w:kern w:val="0"/>
          <w:sz w:val="24"/>
          <w:szCs w:val="24"/>
          <w:highlight w:val="none"/>
          <w14:textFill>
            <w14:solidFill>
              <w14:schemeClr w14:val="tx1"/>
            </w14:solidFill>
          </w14:textFill>
        </w:rPr>
      </w:pPr>
      <w:r>
        <w:rPr>
          <w:rFonts w:hint="eastAsia" w:ascii="仿宋" w:hAnsi="仿宋" w:eastAsia="仿宋"/>
          <w:b/>
          <w:bCs/>
          <w:color w:val="000000" w:themeColor="text1"/>
          <w:kern w:val="0"/>
          <w:sz w:val="24"/>
          <w:szCs w:val="24"/>
          <w:highlight w:val="none"/>
          <w14:textFill>
            <w14:solidFill>
              <w14:schemeClr w14:val="tx1"/>
            </w14:solidFill>
          </w14:textFill>
        </w:rPr>
        <w:t>日期：</w:t>
      </w:r>
      <w:r>
        <w:rPr>
          <w:rFonts w:hint="eastAsia" w:ascii="仿宋" w:hAnsi="仿宋" w:eastAsia="仿宋"/>
          <w:b/>
          <w:bCs/>
          <w:color w:val="000000" w:themeColor="text1"/>
          <w:kern w:val="0"/>
          <w:sz w:val="24"/>
          <w:szCs w:val="24"/>
          <w:highlight w:val="none"/>
          <w:lang w:val="en-US" w:eastAsia="zh-CN"/>
          <w14:textFill>
            <w14:solidFill>
              <w14:schemeClr w14:val="tx1"/>
            </w14:solidFill>
          </w14:textFill>
        </w:rPr>
        <w:t xml:space="preserve"> </w:t>
      </w:r>
      <w:r>
        <w:rPr>
          <w:rFonts w:hint="eastAsia" w:ascii="仿宋" w:hAnsi="仿宋" w:eastAsia="仿宋"/>
          <w:b/>
          <w:bCs/>
          <w:color w:val="000000" w:themeColor="text1"/>
          <w:kern w:val="0"/>
          <w:sz w:val="24"/>
          <w:szCs w:val="24"/>
          <w:highlight w:val="none"/>
          <w14:textFill>
            <w14:solidFill>
              <w14:schemeClr w14:val="tx1"/>
            </w14:solidFill>
          </w14:textFill>
        </w:rPr>
        <w:t>年</w:t>
      </w:r>
      <w:r>
        <w:rPr>
          <w:rFonts w:hint="eastAsia" w:ascii="仿宋" w:hAnsi="仿宋" w:eastAsia="仿宋"/>
          <w:b/>
          <w:bCs/>
          <w:color w:val="000000" w:themeColor="text1"/>
          <w:kern w:val="0"/>
          <w:sz w:val="24"/>
          <w:szCs w:val="24"/>
          <w:highlight w:val="none"/>
          <w:lang w:val="en-US" w:eastAsia="zh-CN"/>
          <w14:textFill>
            <w14:solidFill>
              <w14:schemeClr w14:val="tx1"/>
            </w14:solidFill>
          </w14:textFill>
        </w:rPr>
        <w:t xml:space="preserve">  </w:t>
      </w:r>
      <w:r>
        <w:rPr>
          <w:rFonts w:hint="eastAsia" w:ascii="仿宋" w:hAnsi="仿宋" w:eastAsia="仿宋"/>
          <w:b/>
          <w:bCs/>
          <w:color w:val="000000" w:themeColor="text1"/>
          <w:kern w:val="0"/>
          <w:sz w:val="24"/>
          <w:szCs w:val="24"/>
          <w:highlight w:val="none"/>
          <w14:textFill>
            <w14:solidFill>
              <w14:schemeClr w14:val="tx1"/>
            </w14:solidFill>
          </w14:textFill>
        </w:rPr>
        <w:t>月</w:t>
      </w:r>
      <w:r>
        <w:rPr>
          <w:rFonts w:hint="eastAsia" w:ascii="仿宋" w:hAnsi="仿宋" w:eastAsia="仿宋"/>
          <w:b/>
          <w:bCs/>
          <w:color w:val="000000" w:themeColor="text1"/>
          <w:kern w:val="0"/>
          <w:sz w:val="24"/>
          <w:szCs w:val="24"/>
          <w:highlight w:val="none"/>
          <w:lang w:val="en-US" w:eastAsia="zh-CN"/>
          <w14:textFill>
            <w14:solidFill>
              <w14:schemeClr w14:val="tx1"/>
            </w14:solidFill>
          </w14:textFill>
        </w:rPr>
        <w:t xml:space="preserve">  </w:t>
      </w:r>
      <w:r>
        <w:rPr>
          <w:rFonts w:hint="eastAsia" w:ascii="仿宋" w:hAnsi="仿宋" w:eastAsia="仿宋"/>
          <w:b/>
          <w:bCs/>
          <w:color w:val="000000" w:themeColor="text1"/>
          <w:kern w:val="0"/>
          <w:sz w:val="24"/>
          <w:szCs w:val="24"/>
          <w:highlight w:val="none"/>
          <w14:textFill>
            <w14:solidFill>
              <w14:schemeClr w14:val="tx1"/>
            </w14:solidFill>
          </w14:textFill>
        </w:rPr>
        <w:t>日</w:t>
      </w:r>
    </w:p>
    <w:p>
      <w:pPr>
        <w:rPr>
          <w:color w:val="000000" w:themeColor="text1"/>
          <w:highlight w:val="none"/>
          <w14:textFill>
            <w14:solidFill>
              <w14:schemeClr w14:val="tx1"/>
            </w14:solidFill>
          </w14:textFill>
        </w:rPr>
        <w:sectPr>
          <w:pgSz w:w="11907" w:h="16840"/>
          <w:pgMar w:top="1417" w:right="1417" w:bottom="1417" w:left="1417" w:header="709" w:footer="964" w:gutter="0"/>
          <w:paperSrc w:first="22266" w:other="22266"/>
          <w:cols w:space="720" w:num="1"/>
          <w:docGrid w:type="lines" w:linePitch="312" w:charSpace="0"/>
        </w:sectPr>
      </w:pPr>
      <w:bookmarkStart w:id="592" w:name="_Toc201287635"/>
      <w:bookmarkStart w:id="593" w:name="_Toc323717399"/>
    </w:p>
    <w:p>
      <w:pPr>
        <w:spacing w:line="360" w:lineRule="auto"/>
        <w:jc w:val="center"/>
        <w:rPr>
          <w:rFonts w:ascii="仿宋" w:hAnsi="仿宋" w:eastAsia="仿宋"/>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sz w:val="32"/>
          <w:szCs w:val="32"/>
          <w:highlight w:val="none"/>
          <w14:textFill>
            <w14:solidFill>
              <w14:schemeClr w14:val="tx1"/>
            </w14:solidFill>
          </w14:textFill>
        </w:rPr>
        <w:t>目录</w:t>
      </w:r>
      <w:bookmarkEnd w:id="592"/>
      <w:bookmarkEnd w:id="593"/>
    </w:p>
    <w:p>
      <w:pPr>
        <w:autoSpaceDE w:val="0"/>
        <w:autoSpaceDN w:val="0"/>
        <w:adjustRightInd w:val="0"/>
        <w:spacing w:line="400" w:lineRule="exact"/>
        <w:ind w:firstLine="480" w:firstLineChars="200"/>
        <w:jc w:val="left"/>
        <w:rPr>
          <w:rFonts w:ascii="仿宋" w:hAnsi="仿宋" w:eastAsia="仿宋" w:cs="宋体"/>
          <w:color w:val="000000" w:themeColor="text1"/>
          <w:kern w:val="0"/>
          <w:sz w:val="24"/>
          <w:highlight w:val="none"/>
          <w:lang w:val="zh-CN"/>
          <w14:textFill>
            <w14:solidFill>
              <w14:schemeClr w14:val="tx1"/>
            </w14:solidFill>
          </w14:textFill>
        </w:rPr>
      </w:pP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（1）响应函</w:t>
      </w:r>
    </w:p>
    <w:p>
      <w:pPr>
        <w:widowControl/>
        <w:spacing w:line="360" w:lineRule="auto"/>
        <w:ind w:firstLine="627" w:firstLineChars="224"/>
        <w:rPr>
          <w:rFonts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（2）投标报价</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3</w:t>
      </w:r>
      <w:r>
        <w:rPr>
          <w:rFonts w:hint="eastAsia" w:ascii="仿宋" w:hAnsi="仿宋" w:eastAsia="仿宋" w:cs="宋体"/>
          <w:bCs/>
          <w:color w:val="000000" w:themeColor="text1"/>
          <w:kern w:val="0"/>
          <w:sz w:val="28"/>
          <w:szCs w:val="28"/>
          <w:highlight w:val="none"/>
          <w:lang w:val="zh-CN"/>
          <w14:textFill>
            <w14:solidFill>
              <w14:schemeClr w14:val="tx1"/>
            </w14:solidFill>
          </w14:textFill>
        </w:rPr>
        <w:t>）法定代表人证明书</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bookmarkStart w:id="594" w:name="_Toc480459518"/>
      <w:bookmarkStart w:id="595" w:name="_Toc480459732"/>
      <w:bookmarkStart w:id="596" w:name="_Toc496125253"/>
      <w:bookmarkStart w:id="597" w:name="_Toc496125600"/>
      <w:bookmarkStart w:id="598" w:name="_Toc480459320"/>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4）法定代表人授权书格式</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5</w:t>
      </w:r>
      <w:r>
        <w:rPr>
          <w:rFonts w:hint="eastAsia" w:ascii="仿宋" w:hAnsi="仿宋" w:eastAsia="仿宋" w:cs="宋体"/>
          <w:bCs/>
          <w:color w:val="000000" w:themeColor="text1"/>
          <w:kern w:val="0"/>
          <w:sz w:val="28"/>
          <w:szCs w:val="28"/>
          <w:highlight w:val="none"/>
          <w:lang w:val="zh-CN"/>
          <w14:textFill>
            <w14:solidFill>
              <w14:schemeClr w14:val="tx1"/>
            </w14:solidFill>
          </w14:textFill>
        </w:rPr>
        <w:t>）投标人诚信承诺函</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6</w:t>
      </w:r>
      <w:r>
        <w:rPr>
          <w:rFonts w:hint="eastAsia" w:ascii="仿宋" w:hAnsi="仿宋" w:eastAsia="仿宋" w:cs="宋体"/>
          <w:bCs/>
          <w:color w:val="000000" w:themeColor="text1"/>
          <w:kern w:val="0"/>
          <w:sz w:val="28"/>
          <w:szCs w:val="28"/>
          <w:highlight w:val="none"/>
          <w:lang w:val="zh-CN"/>
          <w14:textFill>
            <w14:solidFill>
              <w14:schemeClr w14:val="tx1"/>
            </w14:solidFill>
          </w14:textFill>
        </w:rPr>
        <w:t>）施工组织方案</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7</w:t>
      </w:r>
      <w:r>
        <w:rPr>
          <w:rFonts w:hint="eastAsia" w:ascii="仿宋" w:hAnsi="仿宋" w:eastAsia="仿宋" w:cs="宋体"/>
          <w:bCs/>
          <w:color w:val="000000" w:themeColor="text1"/>
          <w:kern w:val="0"/>
          <w:sz w:val="28"/>
          <w:szCs w:val="28"/>
          <w:highlight w:val="none"/>
          <w:lang w:val="zh-CN"/>
          <w14:textFill>
            <w14:solidFill>
              <w14:schemeClr w14:val="tx1"/>
            </w14:solidFill>
          </w14:textFill>
        </w:rPr>
        <w:t>）项目管理机构</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8</w:t>
      </w:r>
      <w:r>
        <w:rPr>
          <w:rFonts w:hint="eastAsia" w:ascii="仿宋" w:hAnsi="仿宋" w:eastAsia="仿宋" w:cs="宋体"/>
          <w:bCs/>
          <w:color w:val="000000" w:themeColor="text1"/>
          <w:kern w:val="0"/>
          <w:sz w:val="28"/>
          <w:szCs w:val="28"/>
          <w:highlight w:val="none"/>
          <w:lang w:val="zh-CN"/>
          <w14:textFill>
            <w14:solidFill>
              <w14:schemeClr w14:val="tx1"/>
            </w14:solidFill>
          </w14:textFill>
        </w:rPr>
        <w:t>）资格证明材料</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9</w:t>
      </w:r>
      <w:r>
        <w:rPr>
          <w:rFonts w:hint="eastAsia" w:ascii="仿宋" w:hAnsi="仿宋" w:eastAsia="仿宋" w:cs="宋体"/>
          <w:bCs/>
          <w:color w:val="000000" w:themeColor="text1"/>
          <w:kern w:val="0"/>
          <w:sz w:val="28"/>
          <w:szCs w:val="28"/>
          <w:highlight w:val="none"/>
          <w:lang w:val="zh-CN"/>
          <w14:textFill>
            <w14:solidFill>
              <w14:schemeClr w14:val="tx1"/>
            </w14:solidFill>
          </w14:textFill>
        </w:rPr>
        <w:t>）近年财务状况表、依法缴纳税收和社会保障金的相关材料</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10</w:t>
      </w:r>
      <w:r>
        <w:rPr>
          <w:rFonts w:hint="eastAsia" w:ascii="仿宋" w:hAnsi="仿宋" w:eastAsia="仿宋" w:cs="宋体"/>
          <w:bCs/>
          <w:color w:val="000000" w:themeColor="text1"/>
          <w:kern w:val="0"/>
          <w:sz w:val="28"/>
          <w:szCs w:val="28"/>
          <w:highlight w:val="none"/>
          <w:lang w:val="zh-CN"/>
          <w14:textFill>
            <w14:solidFill>
              <w14:schemeClr w14:val="tx1"/>
            </w14:solidFill>
          </w14:textFill>
        </w:rPr>
        <w:t>）近年完成的类似项目情况表</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11</w:t>
      </w:r>
      <w:r>
        <w:rPr>
          <w:rFonts w:hint="eastAsia" w:ascii="仿宋" w:hAnsi="仿宋" w:eastAsia="仿宋" w:cs="宋体"/>
          <w:bCs/>
          <w:color w:val="000000" w:themeColor="text1"/>
          <w:kern w:val="0"/>
          <w:sz w:val="28"/>
          <w:szCs w:val="28"/>
          <w:highlight w:val="none"/>
          <w:lang w:val="zh-CN"/>
          <w14:textFill>
            <w14:solidFill>
              <w14:schemeClr w14:val="tx1"/>
            </w14:solidFill>
          </w14:textFill>
        </w:rPr>
        <w:t>）近年发生的诉讼及仲裁情况</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12</w:t>
      </w:r>
      <w:r>
        <w:rPr>
          <w:rFonts w:hint="eastAsia" w:ascii="仿宋" w:hAnsi="仿宋" w:eastAsia="仿宋" w:cs="宋体"/>
          <w:bCs/>
          <w:color w:val="000000" w:themeColor="text1"/>
          <w:kern w:val="0"/>
          <w:sz w:val="28"/>
          <w:szCs w:val="28"/>
          <w:highlight w:val="none"/>
          <w:lang w:val="zh-CN"/>
          <w14:textFill>
            <w14:solidFill>
              <w14:schemeClr w14:val="tx1"/>
            </w14:solidFill>
          </w14:textFill>
        </w:rPr>
        <w:t>）近三年内在经营活动中没有重大违法记录声明</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13</w:t>
      </w:r>
      <w:r>
        <w:rPr>
          <w:rFonts w:hint="eastAsia" w:ascii="仿宋" w:hAnsi="仿宋" w:eastAsia="仿宋" w:cs="宋体"/>
          <w:bCs/>
          <w:color w:val="000000" w:themeColor="text1"/>
          <w:kern w:val="0"/>
          <w:sz w:val="28"/>
          <w:szCs w:val="28"/>
          <w:highlight w:val="none"/>
          <w:lang w:val="zh-CN"/>
          <w14:textFill>
            <w14:solidFill>
              <w14:schemeClr w14:val="tx1"/>
            </w14:solidFill>
          </w14:textFill>
        </w:rPr>
        <w:t>）投标保证金证明</w:t>
      </w:r>
    </w:p>
    <w:p>
      <w:pPr>
        <w:pStyle w:val="2"/>
        <w:rPr>
          <w:rFonts w:hint="default" w:eastAsia="仿宋"/>
          <w:lang w:val="en-US" w:eastAsia="zh-CN"/>
        </w:rPr>
      </w:pP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 xml:space="preserve">     （14）投标人认为在其他方面有必要说明事项</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pP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 xml:space="preserve"> </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p>
    <w:bookmarkEnd w:id="594"/>
    <w:bookmarkEnd w:id="595"/>
    <w:bookmarkEnd w:id="596"/>
    <w:bookmarkEnd w:id="597"/>
    <w:bookmarkEnd w:id="598"/>
    <w:p>
      <w:pPr>
        <w:pStyle w:val="6"/>
        <w:spacing w:before="0" w:after="0"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r>
      <w:bookmarkStart w:id="599" w:name="_Toc15140"/>
      <w:r>
        <w:rPr>
          <w:rFonts w:hint="eastAsia" w:ascii="仿宋" w:hAnsi="仿宋" w:eastAsia="仿宋" w:cs="宋体"/>
          <w:color w:val="000000" w:themeColor="text1"/>
          <w:sz w:val="24"/>
          <w:szCs w:val="24"/>
          <w:highlight w:val="none"/>
          <w:lang w:eastAsia="zh-CN"/>
          <w14:textFill>
            <w14:solidFill>
              <w14:schemeClr w14:val="tx1"/>
            </w14:solidFill>
          </w14:textFill>
        </w:rPr>
        <w:t>一、</w:t>
      </w:r>
      <w:r>
        <w:rPr>
          <w:rFonts w:hint="eastAsia" w:ascii="仿宋" w:hAnsi="仿宋" w:eastAsia="仿宋" w:cs="宋体"/>
          <w:color w:val="000000" w:themeColor="text1"/>
          <w:sz w:val="24"/>
          <w:szCs w:val="24"/>
          <w:highlight w:val="none"/>
          <w14:textFill>
            <w14:solidFill>
              <w14:schemeClr w14:val="tx1"/>
            </w14:solidFill>
          </w14:textFill>
        </w:rPr>
        <w:t>响应函格式</w:t>
      </w:r>
      <w:bookmarkEnd w:id="599"/>
    </w:p>
    <w:p>
      <w:pPr>
        <w:spacing w:line="360" w:lineRule="auto"/>
        <w:jc w:val="center"/>
        <w:rPr>
          <w:rFonts w:ascii="仿宋" w:hAnsi="仿宋" w:eastAsia="仿宋" w:cs="宋体"/>
          <w:b/>
          <w:bCs/>
          <w:color w:val="000000" w:themeColor="text1"/>
          <w:kern w:val="0"/>
          <w:sz w:val="24"/>
          <w:szCs w:val="24"/>
          <w:highlight w:val="none"/>
          <w14:textFill>
            <w14:solidFill>
              <w14:schemeClr w14:val="tx1"/>
            </w14:solidFill>
          </w14:textFill>
        </w:rPr>
      </w:pPr>
      <w:r>
        <w:rPr>
          <w:rFonts w:hint="eastAsia" w:ascii="仿宋" w:hAnsi="仿宋" w:eastAsia="仿宋" w:cs="宋体"/>
          <w:b/>
          <w:bCs/>
          <w:color w:val="000000" w:themeColor="text1"/>
          <w:kern w:val="0"/>
          <w:sz w:val="24"/>
          <w:szCs w:val="24"/>
          <w:highlight w:val="none"/>
          <w14:textFill>
            <w14:solidFill>
              <w14:schemeClr w14:val="tx1"/>
            </w14:solidFill>
          </w14:textFill>
        </w:rPr>
        <w:t>响应函</w:t>
      </w:r>
    </w:p>
    <w:p>
      <w:pPr>
        <w:widowControl/>
        <w:jc w:val="left"/>
        <w:rPr>
          <w:rFonts w:hint="eastAsia" w:ascii="仿宋" w:hAnsi="仿宋" w:eastAsia="仿宋" w:cs="宋体"/>
          <w:color w:val="000000" w:themeColor="text1"/>
          <w:sz w:val="24"/>
          <w:szCs w:val="24"/>
          <w:highlight w:val="none"/>
          <w:lang w:eastAsia="zh-CN"/>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致：</w:t>
      </w:r>
      <w:r>
        <w:rPr>
          <w:rFonts w:hint="eastAsia" w:ascii="仿宋" w:hAnsi="仿宋" w:eastAsia="仿宋" w:cs="宋体"/>
          <w:color w:val="000000" w:themeColor="text1"/>
          <w:sz w:val="24"/>
          <w:szCs w:val="24"/>
          <w:highlight w:val="none"/>
          <w:lang w:eastAsia="zh-CN"/>
          <w14:textFill>
            <w14:solidFill>
              <w14:schemeClr w14:val="tx1"/>
            </w14:solidFill>
          </w14:textFill>
        </w:rPr>
        <w:t>青海华茂工程项目管理有限公司</w:t>
      </w:r>
    </w:p>
    <w:p>
      <w:pPr>
        <w:spacing w:line="360" w:lineRule="auto"/>
        <w:ind w:firstLine="720" w:firstLineChars="300"/>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我单位收到贵公司采购编号：</w:t>
      </w:r>
      <w:r>
        <w:rPr>
          <w:rFonts w:hint="eastAsia" w:ascii="仿宋" w:hAnsi="仿宋" w:eastAsia="仿宋" w:cs="宋体"/>
          <w:color w:val="000000" w:themeColor="text1"/>
          <w:sz w:val="24"/>
          <w:szCs w:val="24"/>
          <w:highlight w:val="none"/>
          <w:u w:val="single"/>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询比采购文件，经详细研究，决定参加本次询比活动。为此，我方郑重声明以下几点，并愿负法律责任。</w:t>
      </w:r>
    </w:p>
    <w:p>
      <w:pPr>
        <w:spacing w:line="360" w:lineRule="auto"/>
        <w:ind w:firstLine="480" w:firstLineChars="200"/>
        <w:rPr>
          <w:rFonts w:ascii="仿宋" w:hAnsi="仿宋" w:eastAsia="仿宋"/>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1</w:t>
      </w:r>
      <w:r>
        <w:rPr>
          <w:rFonts w:hint="eastAsia" w:ascii="仿宋" w:hAnsi="仿宋" w:eastAsia="仿宋" w:cs="宋体"/>
          <w:color w:val="000000" w:themeColor="text1"/>
          <w:sz w:val="24"/>
          <w:szCs w:val="24"/>
          <w:highlight w:val="none"/>
          <w14:textFill>
            <w14:solidFill>
              <w14:schemeClr w14:val="tx1"/>
            </w14:solidFill>
          </w14:textFill>
        </w:rPr>
        <w:t>、按照询比采购文件中的一切要求，提供完全满足采购需求的服务和全面技术、售后服务保障。</w:t>
      </w:r>
    </w:p>
    <w:p>
      <w:pPr>
        <w:spacing w:line="360" w:lineRule="auto"/>
        <w:ind w:firstLine="480" w:firstLineChars="200"/>
        <w:rPr>
          <w:rFonts w:ascii="仿宋" w:hAnsi="仿宋" w:eastAsia="仿宋"/>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2</w:t>
      </w:r>
      <w:r>
        <w:rPr>
          <w:rFonts w:hint="eastAsia" w:ascii="仿宋" w:hAnsi="仿宋" w:eastAsia="仿宋" w:cs="宋体"/>
          <w:color w:val="000000" w:themeColor="text1"/>
          <w:sz w:val="24"/>
          <w:szCs w:val="24"/>
          <w:highlight w:val="none"/>
          <w14:textFill>
            <w14:solidFill>
              <w14:schemeClr w14:val="tx1"/>
            </w14:solidFill>
          </w14:textFill>
        </w:rPr>
        <w:t>、如若成交，将根据询比采购文件的要求、响应文件及承诺条件，全面签约并履行合同规定的责任和义务。</w:t>
      </w:r>
    </w:p>
    <w:p>
      <w:pPr>
        <w:spacing w:line="360" w:lineRule="auto"/>
        <w:ind w:firstLine="480" w:firstLineChars="200"/>
        <w:rPr>
          <w:rFonts w:ascii="仿宋" w:hAnsi="仿宋" w:eastAsia="仿宋"/>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、我方提交的响应文件共份，其中正本</w:t>
      </w:r>
      <w:r>
        <w:rPr>
          <w:rFonts w:hint="eastAsia" w:ascii="仿宋" w:hAnsi="仿宋" w:eastAsia="仿宋" w:cs="宋体"/>
          <w:color w:val="000000" w:themeColor="text1"/>
          <w:sz w:val="24"/>
          <w:szCs w:val="24"/>
          <w:highlight w:val="none"/>
          <w:u w:val="single"/>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份，副本</w:t>
      </w:r>
      <w:r>
        <w:rPr>
          <w:rFonts w:hint="eastAsia" w:ascii="仿宋" w:hAnsi="仿宋" w:eastAsia="仿宋" w:cs="宋体"/>
          <w:color w:val="000000" w:themeColor="text1"/>
          <w:sz w:val="24"/>
          <w:szCs w:val="24"/>
          <w:highlight w:val="none"/>
          <w:u w:val="single"/>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份。</w:t>
      </w:r>
    </w:p>
    <w:p>
      <w:pPr>
        <w:spacing w:line="360" w:lineRule="auto"/>
        <w:ind w:firstLine="480" w:firstLineChars="200"/>
        <w:rPr>
          <w:rFonts w:ascii="仿宋" w:hAnsi="仿宋" w:eastAsia="仿宋"/>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4</w:t>
      </w:r>
      <w:r>
        <w:rPr>
          <w:rFonts w:hint="eastAsia" w:ascii="仿宋" w:hAnsi="仿宋" w:eastAsia="仿宋" w:cs="宋体"/>
          <w:color w:val="000000" w:themeColor="text1"/>
          <w:sz w:val="24"/>
          <w:szCs w:val="24"/>
          <w:highlight w:val="none"/>
          <w14:textFill>
            <w14:solidFill>
              <w14:schemeClr w14:val="tx1"/>
            </w14:solidFill>
          </w14:textFill>
        </w:rPr>
        <w:t>、我方按询比采购文件要求提交保证金为人民币：</w:t>
      </w:r>
      <w:r>
        <w:rPr>
          <w:rFonts w:hint="eastAsia" w:ascii="仿宋" w:hAnsi="仿宋" w:eastAsia="仿宋" w:cs="宋体"/>
          <w:color w:val="000000" w:themeColor="text1"/>
          <w:sz w:val="24"/>
          <w:szCs w:val="24"/>
          <w:highlight w:val="none"/>
          <w:u w:val="single"/>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元。</w:t>
      </w:r>
    </w:p>
    <w:p>
      <w:pPr>
        <w:spacing w:line="360" w:lineRule="auto"/>
        <w:ind w:firstLine="480" w:firstLineChars="200"/>
        <w:rPr>
          <w:rFonts w:ascii="仿宋" w:hAnsi="仿宋" w:eastAsia="仿宋"/>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5</w:t>
      </w:r>
      <w:r>
        <w:rPr>
          <w:rFonts w:hint="eastAsia" w:ascii="仿宋" w:hAnsi="仿宋" w:eastAsia="仿宋" w:cs="宋体"/>
          <w:color w:val="000000" w:themeColor="text1"/>
          <w:sz w:val="24"/>
          <w:szCs w:val="24"/>
          <w:highlight w:val="none"/>
          <w14:textFill>
            <w14:solidFill>
              <w14:schemeClr w14:val="tx1"/>
            </w14:solidFill>
          </w14:textFill>
        </w:rPr>
        <w:t>、我方已详细阅读和核实询比采购文件全部内容，完全理解并同意放弃提出含糊不清和误解问题的权力。</w:t>
      </w:r>
    </w:p>
    <w:p>
      <w:pPr>
        <w:spacing w:line="360" w:lineRule="auto"/>
        <w:ind w:firstLine="480" w:firstLineChars="200"/>
        <w:rPr>
          <w:rFonts w:ascii="仿宋" w:hAnsi="仿宋" w:eastAsia="仿宋"/>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6</w:t>
      </w:r>
      <w:r>
        <w:rPr>
          <w:rFonts w:hint="eastAsia" w:ascii="仿宋" w:hAnsi="仿宋" w:eastAsia="仿宋" w:cs="宋体"/>
          <w:color w:val="000000" w:themeColor="text1"/>
          <w:sz w:val="24"/>
          <w:szCs w:val="24"/>
          <w:highlight w:val="none"/>
          <w14:textFill>
            <w14:solidFill>
              <w14:schemeClr w14:val="tx1"/>
            </w14:solidFill>
          </w14:textFill>
        </w:rPr>
        <w:t>、同意提供贵方要求的与本次询比有关的任何证明资料。</w:t>
      </w:r>
    </w:p>
    <w:p>
      <w:pPr>
        <w:spacing w:line="360" w:lineRule="auto"/>
        <w:ind w:firstLine="480" w:firstLineChars="200"/>
        <w:rPr>
          <w:rFonts w:ascii="仿宋" w:hAnsi="仿宋" w:eastAsia="仿宋"/>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7</w:t>
      </w:r>
      <w:r>
        <w:rPr>
          <w:rFonts w:hint="eastAsia" w:ascii="仿宋" w:hAnsi="仿宋" w:eastAsia="仿宋" w:cs="宋体"/>
          <w:color w:val="000000" w:themeColor="text1"/>
          <w:sz w:val="24"/>
          <w:szCs w:val="24"/>
          <w:highlight w:val="none"/>
          <w14:textFill>
            <w14:solidFill>
              <w14:schemeClr w14:val="tx1"/>
            </w14:solidFill>
          </w14:textFill>
        </w:rPr>
        <w:t>、我方的响应文件自递交截止时间起有效期为</w:t>
      </w:r>
      <w:r>
        <w:rPr>
          <w:rFonts w:hint="eastAsia" w:ascii="仿宋" w:hAnsi="仿宋" w:eastAsia="仿宋" w:cs="宋体"/>
          <w:color w:val="000000" w:themeColor="text1"/>
          <w:sz w:val="24"/>
          <w:szCs w:val="24"/>
          <w:highlight w:val="none"/>
          <w:u w:val="single"/>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天。</w:t>
      </w:r>
    </w:p>
    <w:p>
      <w:pPr>
        <w:spacing w:line="360" w:lineRule="auto"/>
        <w:ind w:firstLine="480" w:firstLineChars="200"/>
        <w:rPr>
          <w:rFonts w:ascii="仿宋" w:hAnsi="仿宋" w:eastAsia="仿宋"/>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8</w:t>
      </w:r>
      <w:r>
        <w:rPr>
          <w:rFonts w:hint="eastAsia" w:ascii="仿宋" w:hAnsi="仿宋" w:eastAsia="仿宋" w:cs="宋体"/>
          <w:color w:val="000000" w:themeColor="text1"/>
          <w:sz w:val="24"/>
          <w:szCs w:val="24"/>
          <w:highlight w:val="none"/>
          <w14:textFill>
            <w14:solidFill>
              <w14:schemeClr w14:val="tx1"/>
            </w14:solidFill>
          </w14:textFill>
        </w:rPr>
        <w:t>、所有关于本次询比的函电，请按下列地址、方式联系：</w:t>
      </w:r>
    </w:p>
    <w:p>
      <w:pPr>
        <w:adjustRightInd w:val="0"/>
        <w:spacing w:line="360" w:lineRule="auto"/>
        <w:ind w:firstLine="480" w:firstLineChars="200"/>
        <w:jc w:val="left"/>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地址：</w:t>
      </w:r>
      <w:r>
        <w:rPr>
          <w:rFonts w:ascii="仿宋" w:hAnsi="仿宋" w:eastAsia="仿宋" w:cs="宋体"/>
          <w:color w:val="000000" w:themeColor="text1"/>
          <w:sz w:val="24"/>
          <w:szCs w:val="24"/>
          <w:highlight w:val="none"/>
          <w14:textFill>
            <w14:solidFill>
              <w14:schemeClr w14:val="tx1"/>
            </w14:solidFill>
          </w14:textFill>
        </w:rPr>
        <w:t xml:space="preserve">_____________________   </w:t>
      </w:r>
      <w:r>
        <w:rPr>
          <w:rFonts w:hint="eastAsia" w:ascii="仿宋" w:hAnsi="仿宋" w:eastAsia="仿宋" w:cs="宋体"/>
          <w:color w:val="000000" w:themeColor="text1"/>
          <w:sz w:val="24"/>
          <w:szCs w:val="24"/>
          <w:highlight w:val="none"/>
          <w14:textFill>
            <w14:solidFill>
              <w14:schemeClr w14:val="tx1"/>
            </w14:solidFill>
          </w14:textFill>
        </w:rPr>
        <w:t>邮编：</w:t>
      </w:r>
      <w:r>
        <w:rPr>
          <w:rFonts w:ascii="仿宋" w:hAnsi="仿宋" w:eastAsia="仿宋" w:cs="宋体"/>
          <w:color w:val="000000" w:themeColor="text1"/>
          <w:sz w:val="24"/>
          <w:szCs w:val="24"/>
          <w:highlight w:val="none"/>
          <w14:textFill>
            <w14:solidFill>
              <w14:schemeClr w14:val="tx1"/>
            </w14:solidFill>
          </w14:textFill>
        </w:rPr>
        <w:t>______________</w:t>
      </w:r>
    </w:p>
    <w:p>
      <w:pPr>
        <w:adjustRightInd w:val="0"/>
        <w:spacing w:line="360" w:lineRule="auto"/>
        <w:ind w:firstLine="480" w:firstLineChars="200"/>
        <w:jc w:val="left"/>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电话：</w:t>
      </w:r>
      <w:r>
        <w:rPr>
          <w:rFonts w:ascii="仿宋" w:hAnsi="仿宋" w:eastAsia="仿宋" w:cs="宋体"/>
          <w:color w:val="000000" w:themeColor="text1"/>
          <w:sz w:val="24"/>
          <w:szCs w:val="24"/>
          <w:highlight w:val="none"/>
          <w14:textFill>
            <w14:solidFill>
              <w14:schemeClr w14:val="tx1"/>
            </w14:solidFill>
          </w14:textFill>
        </w:rPr>
        <w:t xml:space="preserve">_____________________   </w:t>
      </w:r>
      <w:r>
        <w:rPr>
          <w:rFonts w:hint="eastAsia" w:ascii="仿宋" w:hAnsi="仿宋" w:eastAsia="仿宋" w:cs="宋体"/>
          <w:color w:val="000000" w:themeColor="text1"/>
          <w:sz w:val="24"/>
          <w:szCs w:val="24"/>
          <w:highlight w:val="none"/>
          <w14:textFill>
            <w14:solidFill>
              <w14:schemeClr w14:val="tx1"/>
            </w14:solidFill>
          </w14:textFill>
        </w:rPr>
        <w:t>传真：</w:t>
      </w:r>
      <w:r>
        <w:rPr>
          <w:rFonts w:ascii="仿宋" w:hAnsi="仿宋" w:eastAsia="仿宋" w:cs="宋体"/>
          <w:color w:val="000000" w:themeColor="text1"/>
          <w:sz w:val="24"/>
          <w:szCs w:val="24"/>
          <w:highlight w:val="none"/>
          <w14:textFill>
            <w14:solidFill>
              <w14:schemeClr w14:val="tx1"/>
            </w14:solidFill>
          </w14:textFill>
        </w:rPr>
        <w:t>______________</w:t>
      </w:r>
    </w:p>
    <w:p>
      <w:pPr>
        <w:adjustRightInd w:val="0"/>
        <w:spacing w:line="360" w:lineRule="auto"/>
        <w:ind w:firstLine="480" w:firstLineChars="200"/>
        <w:jc w:val="left"/>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法人代表姓名：职务：</w:t>
      </w:r>
      <w:r>
        <w:rPr>
          <w:rFonts w:ascii="仿宋" w:hAnsi="仿宋" w:eastAsia="仿宋" w:cs="宋体"/>
          <w:color w:val="000000" w:themeColor="text1"/>
          <w:sz w:val="24"/>
          <w:szCs w:val="24"/>
          <w:highlight w:val="none"/>
          <w14:textFill>
            <w14:solidFill>
              <w14:schemeClr w14:val="tx1"/>
            </w14:solidFill>
          </w14:textFill>
        </w:rPr>
        <w:t>______________</w:t>
      </w:r>
    </w:p>
    <w:p>
      <w:pPr>
        <w:kinsoku w:val="0"/>
        <w:spacing w:line="360" w:lineRule="auto"/>
        <w:rPr>
          <w:rFonts w:ascii="仿宋" w:hAnsi="仿宋" w:eastAsia="仿宋"/>
          <w:color w:val="000000" w:themeColor="text1"/>
          <w:sz w:val="24"/>
          <w:szCs w:val="24"/>
          <w:highlight w:val="none"/>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lang w:eastAsia="zh-CN"/>
          <w14:textFill>
            <w14:solidFill>
              <w14:schemeClr w14:val="tx1"/>
            </w14:solidFill>
          </w14:textFill>
        </w:rPr>
        <w:t>投标人</w:t>
      </w:r>
      <w:r>
        <w:rPr>
          <w:rFonts w:hint="eastAsia" w:ascii="仿宋" w:hAnsi="仿宋" w:eastAsia="仿宋" w:cs="宋体"/>
          <w:b/>
          <w:bCs/>
          <w:color w:val="000000" w:themeColor="text1"/>
          <w:sz w:val="24"/>
          <w:szCs w:val="24"/>
          <w:highlight w:val="none"/>
          <w14:textFill>
            <w14:solidFill>
              <w14:schemeClr w14:val="tx1"/>
            </w14:solidFill>
          </w14:textFill>
        </w:rPr>
        <w:t>名称：（公章）</w:t>
      </w:r>
    </w:p>
    <w:p>
      <w:pPr>
        <w:adjustRightInd w:val="0"/>
        <w:spacing w:line="360" w:lineRule="auto"/>
        <w:jc w:val="center"/>
        <w:textAlignment w:val="baseline"/>
        <w:rPr>
          <w:rFonts w:ascii="仿宋" w:hAnsi="仿宋" w:eastAsia="仿宋"/>
          <w:b/>
          <w:bCs/>
          <w:color w:val="000000" w:themeColor="text1"/>
          <w:sz w:val="24"/>
          <w:szCs w:val="24"/>
          <w:highlight w:val="none"/>
          <w:u w:val="single"/>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法人代表或授权代表：（签字或盖章）</w:t>
      </w: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年月日</w:t>
      </w: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pStyle w:val="2"/>
        <w:rPr>
          <w:rFonts w:ascii="仿宋" w:hAnsi="仿宋" w:eastAsia="仿宋" w:cs="宋体"/>
          <w:b/>
          <w:bCs/>
          <w:color w:val="000000" w:themeColor="text1"/>
          <w:sz w:val="24"/>
          <w:szCs w:val="24"/>
          <w:highlight w:val="none"/>
          <w14:textFill>
            <w14:solidFill>
              <w14:schemeClr w14:val="tx1"/>
            </w14:solidFill>
          </w14:textFill>
        </w:rPr>
      </w:pPr>
    </w:p>
    <w:p>
      <w:pPr>
        <w:pStyle w:val="48"/>
        <w:rPr>
          <w:rFonts w:ascii="仿宋" w:hAnsi="仿宋" w:eastAsia="仿宋" w:cs="宋体"/>
          <w:b/>
          <w:bCs/>
          <w:color w:val="000000" w:themeColor="text1"/>
          <w:sz w:val="24"/>
          <w:szCs w:val="24"/>
          <w:highlight w:val="none"/>
          <w14:textFill>
            <w14:solidFill>
              <w14:schemeClr w14:val="tx1"/>
            </w14:solidFill>
          </w14:textFill>
        </w:rPr>
      </w:pPr>
    </w:p>
    <w:p>
      <w:pPr>
        <w:pStyle w:val="3"/>
      </w:pP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pStyle w:val="6"/>
        <w:spacing w:before="0" w:after="0" w:line="360" w:lineRule="auto"/>
        <w:rPr>
          <w:rFonts w:hint="eastAsia" w:ascii="仿宋" w:hAnsi="仿宋" w:eastAsia="仿宋" w:cs="宋体"/>
          <w:color w:val="000000" w:themeColor="text1"/>
          <w:sz w:val="24"/>
          <w:szCs w:val="24"/>
          <w:highlight w:val="none"/>
          <w:lang w:eastAsia="zh-CN"/>
          <w14:textFill>
            <w14:solidFill>
              <w14:schemeClr w14:val="tx1"/>
            </w14:solidFill>
          </w14:textFill>
        </w:rPr>
      </w:pPr>
      <w:bookmarkStart w:id="600" w:name="_Toc8136"/>
      <w:r>
        <w:rPr>
          <w:rFonts w:hint="eastAsia" w:ascii="仿宋" w:hAnsi="仿宋" w:eastAsia="仿宋" w:cs="宋体"/>
          <w:color w:val="000000" w:themeColor="text1"/>
          <w:sz w:val="24"/>
          <w:szCs w:val="24"/>
          <w:highlight w:val="none"/>
          <w:lang w:eastAsia="zh-CN"/>
          <w14:textFill>
            <w14:solidFill>
              <w14:schemeClr w14:val="tx1"/>
            </w14:solidFill>
          </w14:textFill>
        </w:rPr>
        <w:t>二、投标报价</w:t>
      </w:r>
      <w:bookmarkEnd w:id="600"/>
    </w:p>
    <w:p>
      <w:pPr>
        <w:pStyle w:val="2"/>
        <w:tabs>
          <w:tab w:val="left" w:pos="6579"/>
          <w:tab w:val="left" w:pos="8739"/>
          <w:tab w:val="left" w:pos="9219"/>
        </w:tabs>
        <w:spacing w:after="36"/>
        <w:ind w:left="219"/>
      </w:pPr>
      <w:r>
        <w:t>供应商名称（盖章）</w:t>
      </w:r>
      <w:r>
        <w:rPr>
          <w:rFonts w:hint="eastAsia"/>
          <w:lang w:val="en-US" w:eastAsia="zh-CN"/>
        </w:rPr>
        <w:t xml:space="preserve">                                        </w:t>
      </w:r>
      <w:r>
        <w:t>投标日期：202</w:t>
      </w:r>
      <w:r>
        <w:rPr>
          <w:rFonts w:hint="eastAsia"/>
          <w:lang w:val="en-US" w:eastAsia="zh-CN"/>
        </w:rPr>
        <w:t>1</w:t>
      </w:r>
      <w:r>
        <w:t>年</w:t>
      </w:r>
      <w:r>
        <w:rPr>
          <w:rFonts w:hint="eastAsia"/>
          <w:lang w:val="en-US" w:eastAsia="zh-CN"/>
        </w:rPr>
        <w:t xml:space="preserve">    </w:t>
      </w:r>
      <w:r>
        <w:t>月</w:t>
      </w:r>
      <w:r>
        <w:rPr>
          <w:rFonts w:hint="eastAsia"/>
          <w:lang w:val="en-US" w:eastAsia="zh-CN"/>
        </w:rPr>
        <w:t xml:space="preserve">    </w:t>
      </w:r>
      <w:r>
        <w:t>日</w:t>
      </w:r>
    </w:p>
    <w:tbl>
      <w:tblPr>
        <w:tblStyle w:val="25"/>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30"/>
        <w:gridCol w:w="3031"/>
        <w:gridCol w:w="1322"/>
        <w:gridCol w:w="1898"/>
        <w:gridCol w:w="1440"/>
        <w:gridCol w:w="17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exact"/>
        </w:trPr>
        <w:tc>
          <w:tcPr>
            <w:tcW w:w="1030" w:type="dxa"/>
          </w:tcPr>
          <w:p>
            <w:pPr>
              <w:pStyle w:val="116"/>
              <w:spacing w:before="178"/>
              <w:ind w:left="278" w:right="276"/>
              <w:jc w:val="center"/>
              <w:rPr>
                <w:b/>
                <w:sz w:val="24"/>
              </w:rPr>
            </w:pPr>
            <w:r>
              <w:rPr>
                <w:b/>
                <w:sz w:val="24"/>
              </w:rPr>
              <w:t>序号</w:t>
            </w:r>
          </w:p>
        </w:tc>
        <w:tc>
          <w:tcPr>
            <w:tcW w:w="3031" w:type="dxa"/>
          </w:tcPr>
          <w:p>
            <w:pPr>
              <w:pStyle w:val="116"/>
              <w:spacing w:before="178"/>
              <w:ind w:left="980" w:right="980"/>
              <w:jc w:val="center"/>
              <w:rPr>
                <w:b/>
                <w:sz w:val="24"/>
              </w:rPr>
            </w:pPr>
            <w:r>
              <w:rPr>
                <w:b/>
                <w:sz w:val="24"/>
              </w:rPr>
              <w:t>项目名称</w:t>
            </w:r>
          </w:p>
        </w:tc>
        <w:tc>
          <w:tcPr>
            <w:tcW w:w="1322" w:type="dxa"/>
          </w:tcPr>
          <w:p>
            <w:pPr>
              <w:pStyle w:val="116"/>
              <w:spacing w:before="22" w:line="312" w:lineRule="exact"/>
              <w:ind w:left="155" w:right="152"/>
              <w:jc w:val="center"/>
              <w:rPr>
                <w:b/>
                <w:sz w:val="24"/>
              </w:rPr>
            </w:pPr>
            <w:r>
              <w:rPr>
                <w:b/>
                <w:sz w:val="24"/>
              </w:rPr>
              <w:t>建筑面积</w:t>
            </w:r>
          </w:p>
          <w:p>
            <w:pPr>
              <w:pStyle w:val="116"/>
              <w:spacing w:line="312" w:lineRule="exact"/>
              <w:ind w:left="155" w:right="152"/>
              <w:jc w:val="center"/>
              <w:rPr>
                <w:b/>
                <w:sz w:val="24"/>
              </w:rPr>
            </w:pPr>
            <w:r>
              <w:rPr>
                <w:b/>
                <w:sz w:val="24"/>
              </w:rPr>
              <w:t>（㎡）</w:t>
            </w:r>
          </w:p>
        </w:tc>
        <w:tc>
          <w:tcPr>
            <w:tcW w:w="1898" w:type="dxa"/>
          </w:tcPr>
          <w:p>
            <w:pPr>
              <w:pStyle w:val="116"/>
              <w:spacing w:before="22" w:line="312" w:lineRule="exact"/>
              <w:ind w:left="443" w:right="440"/>
              <w:jc w:val="center"/>
              <w:rPr>
                <w:b/>
                <w:sz w:val="24"/>
              </w:rPr>
            </w:pPr>
            <w:r>
              <w:rPr>
                <w:b/>
                <w:sz w:val="24"/>
              </w:rPr>
              <w:t>投标总价</w:t>
            </w:r>
          </w:p>
          <w:p>
            <w:pPr>
              <w:pStyle w:val="116"/>
              <w:spacing w:line="312" w:lineRule="exact"/>
              <w:ind w:left="443" w:right="440"/>
              <w:jc w:val="center"/>
              <w:rPr>
                <w:b/>
                <w:sz w:val="24"/>
              </w:rPr>
            </w:pPr>
            <w:r>
              <w:rPr>
                <w:b/>
                <w:sz w:val="24"/>
              </w:rPr>
              <w:t>（元）</w:t>
            </w:r>
          </w:p>
        </w:tc>
        <w:tc>
          <w:tcPr>
            <w:tcW w:w="1440" w:type="dxa"/>
          </w:tcPr>
          <w:p>
            <w:pPr>
              <w:pStyle w:val="116"/>
              <w:spacing w:before="54" w:line="310" w:lineRule="exact"/>
              <w:ind w:left="475" w:right="473"/>
              <w:rPr>
                <w:b/>
                <w:sz w:val="24"/>
              </w:rPr>
            </w:pPr>
            <w:r>
              <w:rPr>
                <w:b/>
                <w:w w:val="99"/>
                <w:sz w:val="24"/>
              </w:rPr>
              <w:t>开工日期</w:t>
            </w:r>
          </w:p>
        </w:tc>
        <w:tc>
          <w:tcPr>
            <w:tcW w:w="1725" w:type="dxa"/>
          </w:tcPr>
          <w:p>
            <w:pPr>
              <w:pStyle w:val="116"/>
              <w:spacing w:before="54" w:line="310" w:lineRule="exact"/>
              <w:ind w:left="377" w:right="377"/>
              <w:jc w:val="center"/>
              <w:rPr>
                <w:b/>
                <w:sz w:val="24"/>
              </w:rPr>
            </w:pPr>
            <w:r>
              <w:rPr>
                <w:b/>
                <w:w w:val="99"/>
                <w:sz w:val="24"/>
              </w:rPr>
              <w:t>竣工日期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exact"/>
        </w:trPr>
        <w:tc>
          <w:tcPr>
            <w:tcW w:w="1030" w:type="dxa"/>
          </w:tcPr>
          <w:p>
            <w:pPr>
              <w:pStyle w:val="116"/>
              <w:spacing w:before="92"/>
              <w:ind w:left="2"/>
              <w:jc w:val="center"/>
              <w:rPr>
                <w:sz w:val="24"/>
              </w:rPr>
            </w:pPr>
            <w:r>
              <w:rPr>
                <w:sz w:val="24"/>
              </w:rPr>
              <w:t>1</w:t>
            </w:r>
          </w:p>
        </w:tc>
        <w:tc>
          <w:tcPr>
            <w:tcW w:w="3031" w:type="dxa"/>
          </w:tcPr>
          <w:p/>
        </w:tc>
        <w:tc>
          <w:tcPr>
            <w:tcW w:w="1322" w:type="dxa"/>
          </w:tcPr>
          <w:p/>
        </w:tc>
        <w:tc>
          <w:tcPr>
            <w:tcW w:w="1898" w:type="dxa"/>
          </w:tcPr>
          <w:p/>
        </w:tc>
        <w:tc>
          <w:tcPr>
            <w:tcW w:w="1440" w:type="dxa"/>
            <w:vMerge w:val="restart"/>
          </w:tcPr>
          <w:p/>
        </w:tc>
        <w:tc>
          <w:tcPr>
            <w:tcW w:w="1725" w:type="dxa"/>
            <w:vMerge w:val="restart"/>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exact"/>
        </w:trPr>
        <w:tc>
          <w:tcPr>
            <w:tcW w:w="1030" w:type="dxa"/>
          </w:tcPr>
          <w:p>
            <w:pPr>
              <w:pStyle w:val="116"/>
              <w:spacing w:before="92"/>
              <w:ind w:left="2"/>
              <w:jc w:val="center"/>
              <w:rPr>
                <w:sz w:val="24"/>
              </w:rPr>
            </w:pPr>
            <w:r>
              <w:rPr>
                <w:sz w:val="24"/>
              </w:rPr>
              <w:t>2</w:t>
            </w:r>
          </w:p>
        </w:tc>
        <w:tc>
          <w:tcPr>
            <w:tcW w:w="3031" w:type="dxa"/>
          </w:tcPr>
          <w:p/>
        </w:tc>
        <w:tc>
          <w:tcPr>
            <w:tcW w:w="1322" w:type="dxa"/>
          </w:tcPr>
          <w:p/>
        </w:tc>
        <w:tc>
          <w:tcPr>
            <w:tcW w:w="1898" w:type="dxa"/>
          </w:tcPr>
          <w:p/>
        </w:tc>
        <w:tc>
          <w:tcPr>
            <w:tcW w:w="1440" w:type="dxa"/>
            <w:vMerge w:val="continue"/>
          </w:tcPr>
          <w:p/>
        </w:tc>
        <w:tc>
          <w:tcPr>
            <w:tcW w:w="1725" w:type="dxa"/>
            <w:vMerge w:val="continue"/>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exact"/>
        </w:trPr>
        <w:tc>
          <w:tcPr>
            <w:tcW w:w="1030" w:type="dxa"/>
          </w:tcPr>
          <w:p>
            <w:pPr>
              <w:pStyle w:val="116"/>
              <w:spacing w:before="90"/>
              <w:ind w:left="2"/>
              <w:jc w:val="center"/>
              <w:rPr>
                <w:sz w:val="24"/>
              </w:rPr>
            </w:pPr>
            <w:r>
              <w:rPr>
                <w:sz w:val="24"/>
              </w:rPr>
              <w:t>3</w:t>
            </w:r>
          </w:p>
        </w:tc>
        <w:tc>
          <w:tcPr>
            <w:tcW w:w="3031" w:type="dxa"/>
          </w:tcPr>
          <w:p>
            <w:pPr>
              <w:pStyle w:val="116"/>
              <w:spacing w:before="90"/>
              <w:ind w:left="103"/>
              <w:rPr>
                <w:sz w:val="24"/>
              </w:rPr>
            </w:pPr>
            <w:r>
              <w:rPr>
                <w:sz w:val="24"/>
              </w:rPr>
              <w:t>……</w:t>
            </w:r>
          </w:p>
        </w:tc>
        <w:tc>
          <w:tcPr>
            <w:tcW w:w="1322" w:type="dxa"/>
          </w:tcPr>
          <w:p/>
        </w:tc>
        <w:tc>
          <w:tcPr>
            <w:tcW w:w="1898" w:type="dxa"/>
          </w:tcPr>
          <w:p/>
        </w:tc>
        <w:tc>
          <w:tcPr>
            <w:tcW w:w="1440" w:type="dxa"/>
            <w:vMerge w:val="continue"/>
          </w:tcPr>
          <w:p/>
        </w:tc>
        <w:tc>
          <w:tcPr>
            <w:tcW w:w="1725" w:type="dxa"/>
            <w:vMerge w:val="continue"/>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exact"/>
        </w:trPr>
        <w:tc>
          <w:tcPr>
            <w:tcW w:w="1030" w:type="dxa"/>
          </w:tcPr>
          <w:p>
            <w:pPr>
              <w:pStyle w:val="116"/>
              <w:spacing w:before="90"/>
              <w:ind w:left="2"/>
              <w:jc w:val="center"/>
              <w:rPr>
                <w:sz w:val="24"/>
              </w:rPr>
            </w:pPr>
            <w:r>
              <w:rPr>
                <w:sz w:val="24"/>
              </w:rPr>
              <w:t>4</w:t>
            </w:r>
          </w:p>
        </w:tc>
        <w:tc>
          <w:tcPr>
            <w:tcW w:w="3031" w:type="dxa"/>
          </w:tcPr>
          <w:p/>
        </w:tc>
        <w:tc>
          <w:tcPr>
            <w:tcW w:w="1322" w:type="dxa"/>
          </w:tcPr>
          <w:p/>
        </w:tc>
        <w:tc>
          <w:tcPr>
            <w:tcW w:w="1898" w:type="dxa"/>
          </w:tcPr>
          <w:p/>
        </w:tc>
        <w:tc>
          <w:tcPr>
            <w:tcW w:w="1440" w:type="dxa"/>
            <w:vMerge w:val="continue"/>
          </w:tcPr>
          <w:p/>
        </w:tc>
        <w:tc>
          <w:tcPr>
            <w:tcW w:w="1725" w:type="dxa"/>
            <w:vMerge w:val="continue"/>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exact"/>
        </w:trPr>
        <w:tc>
          <w:tcPr>
            <w:tcW w:w="4061" w:type="dxa"/>
            <w:gridSpan w:val="2"/>
          </w:tcPr>
          <w:p>
            <w:pPr>
              <w:pStyle w:val="116"/>
              <w:spacing w:before="90"/>
              <w:ind w:left="1765" w:right="1766"/>
              <w:jc w:val="center"/>
              <w:rPr>
                <w:sz w:val="24"/>
              </w:rPr>
            </w:pPr>
            <w:r>
              <w:rPr>
                <w:sz w:val="24"/>
              </w:rPr>
              <w:t>合计</w:t>
            </w:r>
          </w:p>
        </w:tc>
        <w:tc>
          <w:tcPr>
            <w:tcW w:w="1322" w:type="dxa"/>
          </w:tcPr>
          <w:p/>
        </w:tc>
        <w:tc>
          <w:tcPr>
            <w:tcW w:w="1898" w:type="dxa"/>
          </w:tcPr>
          <w:p/>
        </w:tc>
        <w:tc>
          <w:tcPr>
            <w:tcW w:w="1440" w:type="dxa"/>
            <w:vMerge w:val="continue"/>
          </w:tcPr>
          <w:p/>
        </w:tc>
        <w:tc>
          <w:tcPr>
            <w:tcW w:w="1725" w:type="dxa"/>
            <w:vMerge w:val="continue"/>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exact"/>
        </w:trPr>
        <w:tc>
          <w:tcPr>
            <w:tcW w:w="10446" w:type="dxa"/>
            <w:gridSpan w:val="6"/>
          </w:tcPr>
          <w:p>
            <w:pPr>
              <w:pStyle w:val="116"/>
              <w:spacing w:before="90"/>
              <w:ind w:left="102"/>
              <w:rPr>
                <w:sz w:val="24"/>
              </w:rPr>
            </w:pPr>
            <w:r>
              <w:rPr>
                <w:sz w:val="24"/>
              </w:rPr>
              <w:t>投标总价大写（人民币）：</w:t>
            </w:r>
          </w:p>
        </w:tc>
      </w:tr>
    </w:tbl>
    <w:p>
      <w:pPr>
        <w:pStyle w:val="2"/>
        <w:spacing w:line="275" w:lineRule="exact"/>
        <w:ind w:left="219"/>
      </w:pPr>
      <w:r>
        <w:t>注：一、投标总价应与已标价工程清单中“投标总报价”的金额一致。</w:t>
      </w:r>
    </w:p>
    <w:p>
      <w:pPr>
        <w:pStyle w:val="2"/>
        <w:tabs>
          <w:tab w:val="left" w:pos="7919"/>
        </w:tabs>
        <w:spacing w:before="154"/>
        <w:ind w:right="1008"/>
        <w:jc w:val="center"/>
      </w:pPr>
      <w:r>
        <w:t>二、投标报价中含：1、安全防护、文明施工措施费，合计人民币：</w:t>
      </w:r>
      <w:r>
        <w:rPr>
          <w:rFonts w:hint="eastAsia"/>
          <w:lang w:val="en-US" w:eastAsia="zh-CN"/>
        </w:rPr>
        <w:t xml:space="preserve">    </w:t>
      </w:r>
      <w:r>
        <w:t>元；</w:t>
      </w:r>
    </w:p>
    <w:p>
      <w:pPr>
        <w:pStyle w:val="2"/>
        <w:tabs>
          <w:tab w:val="left" w:pos="3719"/>
        </w:tabs>
        <w:spacing w:before="151"/>
        <w:ind w:right="999"/>
        <w:jc w:val="center"/>
      </w:pPr>
      <w:r>
        <w:t>2、人工费合计人民币：</w:t>
      </w:r>
      <w:r>
        <w:rPr>
          <w:rFonts w:hint="eastAsia"/>
          <w:lang w:val="en-US" w:eastAsia="zh-CN"/>
        </w:rPr>
        <w:t xml:space="preserve"> </w:t>
      </w:r>
      <w:r>
        <w:t>元</w:t>
      </w:r>
    </w:p>
    <w:p>
      <w:pPr>
        <w:pStyle w:val="48"/>
      </w:pPr>
    </w:p>
    <w:p>
      <w:pPr>
        <w:rPr>
          <w:rFonts w:hint="eastAsia"/>
          <w:lang w:eastAsia="zh-CN"/>
        </w:rPr>
      </w:pPr>
    </w:p>
    <w:p>
      <w:pPr>
        <w:adjustRightInd w:val="0"/>
        <w:spacing w:line="360" w:lineRule="auto"/>
        <w:jc w:val="left"/>
        <w:textAlignment w:val="baseline"/>
        <w:rPr>
          <w:rFonts w:ascii="仿宋" w:hAnsi="仿宋" w:eastAsia="仿宋"/>
          <w:color w:val="000000" w:themeColor="text1"/>
          <w:sz w:val="24"/>
          <w:szCs w:val="24"/>
          <w:highlight w:val="none"/>
          <w14:textFill>
            <w14:solidFill>
              <w14:schemeClr w14:val="tx1"/>
            </w14:solidFill>
          </w14:textFill>
        </w:rPr>
      </w:pPr>
    </w:p>
    <w:p>
      <w:pPr>
        <w:spacing w:line="360" w:lineRule="auto"/>
        <w:rPr>
          <w:rFonts w:ascii="宋体"/>
          <w:color w:val="000000" w:themeColor="text1"/>
          <w:sz w:val="24"/>
          <w:szCs w:val="24"/>
          <w:highlight w:val="none"/>
          <w14:textFill>
            <w14:solidFill>
              <w14:schemeClr w14:val="tx1"/>
            </w14:solidFill>
          </w14:textFill>
        </w:rPr>
      </w:pPr>
    </w:p>
    <w:p>
      <w:pPr>
        <w:spacing w:line="360" w:lineRule="auto"/>
        <w:rPr>
          <w:rFonts w:ascii="宋体"/>
          <w:color w:val="000000" w:themeColor="text1"/>
          <w:sz w:val="24"/>
          <w:szCs w:val="24"/>
          <w:highlight w:val="none"/>
          <w14:textFill>
            <w14:solidFill>
              <w14:schemeClr w14:val="tx1"/>
            </w14:solidFill>
          </w14:textFill>
        </w:rPr>
      </w:pPr>
    </w:p>
    <w:p>
      <w:pPr>
        <w:spacing w:line="360" w:lineRule="auto"/>
        <w:rPr>
          <w:rFonts w:ascii="宋体"/>
          <w:color w:val="000000" w:themeColor="text1"/>
          <w:sz w:val="24"/>
          <w:szCs w:val="24"/>
          <w:highlight w:val="none"/>
          <w14:textFill>
            <w14:solidFill>
              <w14:schemeClr w14:val="tx1"/>
            </w14:solidFill>
          </w14:textFill>
        </w:rPr>
      </w:pPr>
    </w:p>
    <w:p>
      <w:pPr>
        <w:spacing w:line="360" w:lineRule="auto"/>
        <w:rPr>
          <w:rFonts w:ascii="宋体"/>
          <w:color w:val="000000" w:themeColor="text1"/>
          <w:sz w:val="24"/>
          <w:szCs w:val="24"/>
          <w:highlight w:val="none"/>
          <w14:textFill>
            <w14:solidFill>
              <w14:schemeClr w14:val="tx1"/>
            </w14:solidFill>
          </w14:textFill>
        </w:rPr>
      </w:pPr>
    </w:p>
    <w:p>
      <w:pPr>
        <w:spacing w:line="360" w:lineRule="auto"/>
        <w:rPr>
          <w:rFonts w:ascii="宋体"/>
          <w:color w:val="000000" w:themeColor="text1"/>
          <w:sz w:val="24"/>
          <w:szCs w:val="24"/>
          <w:highlight w:val="none"/>
          <w14:textFill>
            <w14:solidFill>
              <w14:schemeClr w14:val="tx1"/>
            </w14:solidFill>
          </w14:textFill>
        </w:rPr>
      </w:pPr>
    </w:p>
    <w:p>
      <w:pPr>
        <w:spacing w:line="360" w:lineRule="auto"/>
        <w:rPr>
          <w:rFonts w:ascii="宋体"/>
          <w:color w:val="000000" w:themeColor="text1"/>
          <w:sz w:val="24"/>
          <w:szCs w:val="24"/>
          <w:highlight w:val="none"/>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lang w:eastAsia="zh-CN"/>
          <w14:textFill>
            <w14:solidFill>
              <w14:schemeClr w14:val="tx1"/>
            </w14:solidFill>
          </w14:textFill>
        </w:rPr>
        <w:t>投标人</w:t>
      </w:r>
      <w:r>
        <w:rPr>
          <w:rFonts w:hint="eastAsia" w:ascii="仿宋" w:hAnsi="仿宋" w:eastAsia="仿宋" w:cs="宋体"/>
          <w:b/>
          <w:bCs/>
          <w:color w:val="000000" w:themeColor="text1"/>
          <w:sz w:val="24"/>
          <w:szCs w:val="24"/>
          <w:highlight w:val="none"/>
          <w14:textFill>
            <w14:solidFill>
              <w14:schemeClr w14:val="tx1"/>
            </w14:solidFill>
          </w14:textFill>
        </w:rPr>
        <w:t>名称：（公章）</w:t>
      </w:r>
    </w:p>
    <w:p>
      <w:pPr>
        <w:adjustRightInd w:val="0"/>
        <w:spacing w:line="360" w:lineRule="auto"/>
        <w:jc w:val="center"/>
        <w:textAlignment w:val="baseline"/>
        <w:rPr>
          <w:rFonts w:ascii="仿宋" w:hAnsi="仿宋" w:eastAsia="仿宋"/>
          <w:b/>
          <w:bCs/>
          <w:color w:val="000000" w:themeColor="text1"/>
          <w:sz w:val="24"/>
          <w:szCs w:val="24"/>
          <w:highlight w:val="none"/>
          <w:u w:val="single"/>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法人代表或授权代表：（签字或盖章）</w:t>
      </w: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年</w:t>
      </w: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b/>
          <w:bCs/>
          <w:color w:val="000000" w:themeColor="text1"/>
          <w:sz w:val="24"/>
          <w:szCs w:val="24"/>
          <w:highlight w:val="none"/>
          <w14:textFill>
            <w14:solidFill>
              <w14:schemeClr w14:val="tx1"/>
            </w14:solidFill>
          </w14:textFill>
        </w:rPr>
        <w:t>月</w:t>
      </w: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b/>
          <w:bCs/>
          <w:color w:val="000000" w:themeColor="text1"/>
          <w:sz w:val="24"/>
          <w:szCs w:val="24"/>
          <w:highlight w:val="none"/>
          <w14:textFill>
            <w14:solidFill>
              <w14:schemeClr w14:val="tx1"/>
            </w14:solidFill>
          </w14:textFill>
        </w:rPr>
        <w:t>日</w:t>
      </w: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pStyle w:val="2"/>
        <w:rPr>
          <w:rFonts w:ascii="仿宋" w:hAnsi="仿宋" w:eastAsia="仿宋" w:cs="宋体"/>
          <w:b/>
          <w:bCs/>
          <w:color w:val="000000" w:themeColor="text1"/>
          <w:sz w:val="24"/>
          <w:szCs w:val="24"/>
          <w:highlight w:val="none"/>
          <w14:textFill>
            <w14:solidFill>
              <w14:schemeClr w14:val="tx1"/>
            </w14:solidFill>
          </w14:textFill>
        </w:rPr>
      </w:pPr>
    </w:p>
    <w:p>
      <w:pPr>
        <w:pStyle w:val="48"/>
        <w:rPr>
          <w:rFonts w:ascii="仿宋" w:hAnsi="仿宋" w:eastAsia="仿宋" w:cs="宋体"/>
          <w:b/>
          <w:bCs/>
          <w:color w:val="000000" w:themeColor="text1"/>
          <w:sz w:val="24"/>
          <w:szCs w:val="24"/>
          <w:highlight w:val="none"/>
          <w14:textFill>
            <w14:solidFill>
              <w14:schemeClr w14:val="tx1"/>
            </w14:solidFill>
          </w14:textFill>
        </w:rPr>
      </w:pPr>
    </w:p>
    <w:p>
      <w:pPr>
        <w:jc w:val="left"/>
        <w:outlineLvl w:val="2"/>
        <w:rPr>
          <w:rFonts w:hAnsi="宋体"/>
          <w:b/>
          <w:color w:val="000000" w:themeColor="text1"/>
          <w:sz w:val="24"/>
          <w:szCs w:val="24"/>
          <w:highlight w:val="none"/>
          <w14:textFill>
            <w14:solidFill>
              <w14:schemeClr w14:val="tx1"/>
            </w14:solidFill>
          </w14:textFill>
        </w:rPr>
      </w:pPr>
      <w:bookmarkStart w:id="601" w:name="_Toc431"/>
      <w:r>
        <w:rPr>
          <w:rFonts w:hint="eastAsia" w:ascii="仿宋" w:hAnsi="仿宋" w:eastAsia="仿宋" w:cs="宋体"/>
          <w:b/>
          <w:bCs/>
          <w:color w:val="000000" w:themeColor="text1"/>
          <w:kern w:val="0"/>
          <w:sz w:val="24"/>
          <w:szCs w:val="24"/>
          <w:highlight w:val="none"/>
          <w:lang w:eastAsia="zh-CN"/>
          <w14:textFill>
            <w14:solidFill>
              <w14:schemeClr w14:val="tx1"/>
            </w14:solidFill>
          </w14:textFill>
        </w:rPr>
        <w:t>三、</w:t>
      </w:r>
      <w:r>
        <w:rPr>
          <w:rFonts w:hint="eastAsia" w:ascii="仿宋" w:hAnsi="仿宋" w:eastAsia="仿宋" w:cs="宋体"/>
          <w:b/>
          <w:bCs/>
          <w:color w:val="000000" w:themeColor="text1"/>
          <w:kern w:val="0"/>
          <w:sz w:val="24"/>
          <w:szCs w:val="24"/>
          <w:highlight w:val="none"/>
          <w14:textFill>
            <w14:solidFill>
              <w14:schemeClr w14:val="tx1"/>
            </w14:solidFill>
          </w14:textFill>
        </w:rPr>
        <w:t>法定代表人证明书</w:t>
      </w:r>
      <w:bookmarkEnd w:id="601"/>
    </w:p>
    <w:p>
      <w:pPr>
        <w:spacing w:line="360" w:lineRule="auto"/>
        <w:jc w:val="center"/>
        <w:rPr>
          <w:rFonts w:ascii="宋体" w:hAnsi="宋体"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cs="宋体"/>
          <w:b/>
          <w:bCs/>
          <w:color w:val="000000" w:themeColor="text1"/>
          <w:kern w:val="0"/>
          <w:sz w:val="24"/>
          <w:szCs w:val="24"/>
          <w:highlight w:val="none"/>
          <w14:textFill>
            <w14:solidFill>
              <w14:schemeClr w14:val="tx1"/>
            </w14:solidFill>
          </w14:textFill>
        </w:rPr>
      </w:pPr>
      <w:r>
        <w:rPr>
          <w:rFonts w:hint="eastAsia" w:ascii="仿宋" w:hAnsi="仿宋" w:eastAsia="仿宋" w:cs="宋体"/>
          <w:b/>
          <w:bCs/>
          <w:color w:val="000000" w:themeColor="text1"/>
          <w:kern w:val="0"/>
          <w:sz w:val="24"/>
          <w:szCs w:val="24"/>
          <w:highlight w:val="none"/>
          <w14:textFill>
            <w14:solidFill>
              <w14:schemeClr w14:val="tx1"/>
            </w14:solidFill>
          </w14:textFill>
        </w:rPr>
        <w:t>法定代表人身份证明书</w:t>
      </w: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r>
        <w:rPr>
          <w:rFonts w:hint="eastAsia" w:ascii="仿宋" w:hAnsi="仿宋" w:eastAsia="仿宋"/>
          <w:color w:val="000000" w:themeColor="text1"/>
          <w:kern w:val="0"/>
          <w:sz w:val="24"/>
          <w:highlight w:val="none"/>
          <w:lang w:eastAsia="zh-CN"/>
          <w14:textFill>
            <w14:solidFill>
              <w14:schemeClr w14:val="tx1"/>
            </w14:solidFill>
          </w14:textFill>
        </w:rPr>
        <w:t>投标人</w:t>
      </w:r>
      <w:r>
        <w:rPr>
          <w:rFonts w:ascii="仿宋" w:hAnsi="仿宋" w:eastAsia="仿宋"/>
          <w:color w:val="000000" w:themeColor="text1"/>
          <w:kern w:val="0"/>
          <w:sz w:val="24"/>
          <w:highlight w:val="none"/>
          <w14:textFill>
            <w14:solidFill>
              <w14:schemeClr w14:val="tx1"/>
            </w14:solidFill>
          </w14:textFill>
        </w:rPr>
        <w:t>名称：</w:t>
      </w: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highlight w:val="none"/>
          <w:u w:val="single"/>
          <w14:textFill>
            <w14:solidFill>
              <w14:schemeClr w14:val="tx1"/>
            </w14:solidFill>
          </w14:textFill>
        </w:rPr>
      </w:pPr>
      <w:r>
        <w:rPr>
          <w:rFonts w:ascii="仿宋" w:hAnsi="仿宋" w:eastAsia="仿宋"/>
          <w:color w:val="000000" w:themeColor="text1"/>
          <w:kern w:val="0"/>
          <w:sz w:val="24"/>
          <w:highlight w:val="none"/>
          <w14:textFill>
            <w14:solidFill>
              <w14:schemeClr w14:val="tx1"/>
            </w14:solidFill>
          </w14:textFill>
        </w:rPr>
        <w:t>单位性质：</w:t>
      </w: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highlight w:val="none"/>
          <w:u w:val="single"/>
          <w14:textFill>
            <w14:solidFill>
              <w14:schemeClr w14:val="tx1"/>
            </w14:solidFill>
          </w14:textFill>
        </w:rPr>
      </w:pPr>
      <w:r>
        <w:rPr>
          <w:rFonts w:ascii="仿宋" w:hAnsi="仿宋" w:eastAsia="仿宋"/>
          <w:color w:val="000000" w:themeColor="text1"/>
          <w:kern w:val="0"/>
          <w:sz w:val="24"/>
          <w:highlight w:val="none"/>
          <w14:textFill>
            <w14:solidFill>
              <w14:schemeClr w14:val="tx1"/>
            </w14:solidFill>
          </w14:textFill>
        </w:rPr>
        <w:t>地址：</w:t>
      </w: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r>
        <w:rPr>
          <w:rFonts w:ascii="仿宋" w:hAnsi="仿宋" w:eastAsia="仿宋"/>
          <w:color w:val="000000" w:themeColor="text1"/>
          <w:kern w:val="0"/>
          <w:sz w:val="24"/>
          <w:highlight w:val="none"/>
          <w14:textFill>
            <w14:solidFill>
              <w14:schemeClr w14:val="tx1"/>
            </w14:solidFill>
          </w14:textFill>
        </w:rPr>
        <w:t>联系电话：</w:t>
      </w: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r>
        <w:rPr>
          <w:rFonts w:ascii="仿宋" w:hAnsi="仿宋" w:eastAsia="仿宋"/>
          <w:color w:val="000000" w:themeColor="text1"/>
          <w:kern w:val="0"/>
          <w:sz w:val="24"/>
          <w:highlight w:val="none"/>
          <w14:textFill>
            <w14:solidFill>
              <w14:schemeClr w14:val="tx1"/>
            </w14:solidFill>
          </w14:textFill>
        </w:rPr>
        <w:t>成立时间：</w:t>
      </w:r>
      <w:r>
        <w:rPr>
          <w:rFonts w:hint="eastAsia" w:ascii="仿宋" w:hAnsi="仿宋" w:eastAsia="仿宋"/>
          <w:color w:val="000000" w:themeColor="text1"/>
          <w:kern w:val="0"/>
          <w:sz w:val="24"/>
          <w:highlight w:val="none"/>
          <w:lang w:val="en-US" w:eastAsia="zh-CN"/>
          <w14:textFill>
            <w14:solidFill>
              <w14:schemeClr w14:val="tx1"/>
            </w14:solidFill>
          </w14:textFill>
        </w:rPr>
        <w:t xml:space="preserve">  </w:t>
      </w:r>
      <w:r>
        <w:rPr>
          <w:rFonts w:ascii="仿宋" w:hAnsi="仿宋" w:eastAsia="仿宋"/>
          <w:color w:val="000000" w:themeColor="text1"/>
          <w:kern w:val="0"/>
          <w:sz w:val="24"/>
          <w:highlight w:val="none"/>
          <w14:textFill>
            <w14:solidFill>
              <w14:schemeClr w14:val="tx1"/>
            </w14:solidFill>
          </w14:textFill>
        </w:rPr>
        <w:t>年</w:t>
      </w:r>
      <w:r>
        <w:rPr>
          <w:rFonts w:hint="eastAsia" w:ascii="仿宋" w:hAnsi="仿宋" w:eastAsia="仿宋"/>
          <w:color w:val="000000" w:themeColor="text1"/>
          <w:kern w:val="0"/>
          <w:sz w:val="24"/>
          <w:highlight w:val="none"/>
          <w:lang w:val="en-US" w:eastAsia="zh-CN"/>
          <w14:textFill>
            <w14:solidFill>
              <w14:schemeClr w14:val="tx1"/>
            </w14:solidFill>
          </w14:textFill>
        </w:rPr>
        <w:t xml:space="preserve">   </w:t>
      </w:r>
      <w:r>
        <w:rPr>
          <w:rFonts w:ascii="仿宋" w:hAnsi="仿宋" w:eastAsia="仿宋"/>
          <w:color w:val="000000" w:themeColor="text1"/>
          <w:kern w:val="0"/>
          <w:sz w:val="24"/>
          <w:highlight w:val="none"/>
          <w14:textFill>
            <w14:solidFill>
              <w14:schemeClr w14:val="tx1"/>
            </w14:solidFill>
          </w14:textFill>
        </w:rPr>
        <w:t>月</w:t>
      </w:r>
      <w:r>
        <w:rPr>
          <w:rFonts w:hint="eastAsia" w:ascii="仿宋" w:hAnsi="仿宋" w:eastAsia="仿宋"/>
          <w:color w:val="000000" w:themeColor="text1"/>
          <w:kern w:val="0"/>
          <w:sz w:val="24"/>
          <w:highlight w:val="none"/>
          <w:lang w:val="en-US" w:eastAsia="zh-CN"/>
          <w14:textFill>
            <w14:solidFill>
              <w14:schemeClr w14:val="tx1"/>
            </w14:solidFill>
          </w14:textFill>
        </w:rPr>
        <w:t xml:space="preserve">   </w:t>
      </w:r>
      <w:r>
        <w:rPr>
          <w:rFonts w:ascii="仿宋" w:hAnsi="仿宋" w:eastAsia="仿宋"/>
          <w:color w:val="000000" w:themeColor="text1"/>
          <w:kern w:val="0"/>
          <w:sz w:val="24"/>
          <w:highlight w:val="none"/>
          <w14:textFill>
            <w14:solidFill>
              <w14:schemeClr w14:val="tx1"/>
            </w14:solidFill>
          </w14:textFill>
        </w:rPr>
        <w:t>日</w:t>
      </w: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highlight w:val="none"/>
          <w:u w:val="single"/>
          <w14:textFill>
            <w14:solidFill>
              <w14:schemeClr w14:val="tx1"/>
            </w14:solidFill>
          </w14:textFill>
        </w:rPr>
      </w:pPr>
      <w:r>
        <w:rPr>
          <w:rFonts w:ascii="仿宋" w:hAnsi="仿宋" w:eastAsia="仿宋"/>
          <w:color w:val="000000" w:themeColor="text1"/>
          <w:kern w:val="0"/>
          <w:sz w:val="24"/>
          <w:highlight w:val="none"/>
          <w14:textFill>
            <w14:solidFill>
              <w14:schemeClr w14:val="tx1"/>
            </w14:solidFill>
          </w14:textFill>
        </w:rPr>
        <w:t>经营期限：</w:t>
      </w: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spacing w:line="480" w:lineRule="auto"/>
        <w:ind w:firstLine="480" w:firstLineChars="200"/>
        <w:jc w:val="left"/>
        <w:rPr>
          <w:rFonts w:ascii="仿宋" w:hAnsi="仿宋" w:eastAsia="仿宋"/>
          <w:color w:val="000000" w:themeColor="text1"/>
          <w:kern w:val="0"/>
          <w:sz w:val="24"/>
          <w:highlight w:val="none"/>
          <w:u w:val="single"/>
          <w14:textFill>
            <w14:solidFill>
              <w14:schemeClr w14:val="tx1"/>
            </w14:solidFill>
          </w14:textFill>
        </w:rPr>
      </w:pPr>
      <w:r>
        <w:rPr>
          <w:rFonts w:ascii="仿宋" w:hAnsi="仿宋" w:eastAsia="仿宋"/>
          <w:color w:val="000000" w:themeColor="text1"/>
          <w:kern w:val="0"/>
          <w:sz w:val="24"/>
          <w:highlight w:val="none"/>
          <w14:textFill>
            <w14:solidFill>
              <w14:schemeClr w14:val="tx1"/>
            </w14:solidFill>
          </w14:textFill>
        </w:rPr>
        <w:t>姓名：性别：年龄：职务：系</w:t>
      </w:r>
      <w:r>
        <w:rPr>
          <w:rFonts w:ascii="仿宋" w:hAnsi="仿宋" w:eastAsia="仿宋"/>
          <w:color w:val="000000" w:themeColor="text1"/>
          <w:kern w:val="0"/>
          <w:sz w:val="24"/>
          <w:highlight w:val="none"/>
          <w:u w:val="single"/>
          <w14:textFill>
            <w14:solidFill>
              <w14:schemeClr w14:val="tx1"/>
            </w14:solidFill>
          </w14:textFill>
        </w:rPr>
        <w:t>（</w:t>
      </w:r>
      <w:r>
        <w:rPr>
          <w:rFonts w:hint="eastAsia" w:ascii="仿宋" w:hAnsi="仿宋" w:eastAsia="仿宋"/>
          <w:color w:val="000000" w:themeColor="text1"/>
          <w:kern w:val="0"/>
          <w:sz w:val="24"/>
          <w:highlight w:val="none"/>
          <w:u w:val="single"/>
          <w:lang w:eastAsia="zh-CN"/>
          <w14:textFill>
            <w14:solidFill>
              <w14:schemeClr w14:val="tx1"/>
            </w14:solidFill>
          </w14:textFill>
        </w:rPr>
        <w:t>投标人</w:t>
      </w:r>
      <w:r>
        <w:rPr>
          <w:rFonts w:ascii="仿宋" w:hAnsi="仿宋" w:eastAsia="仿宋"/>
          <w:color w:val="000000" w:themeColor="text1"/>
          <w:kern w:val="0"/>
          <w:sz w:val="24"/>
          <w:highlight w:val="none"/>
          <w:u w:val="single"/>
          <w14:textFill>
            <w14:solidFill>
              <w14:schemeClr w14:val="tx1"/>
            </w14:solidFill>
          </w14:textFill>
        </w:rPr>
        <w:t>名称）</w:t>
      </w:r>
      <w:r>
        <w:rPr>
          <w:rFonts w:ascii="仿宋" w:hAnsi="仿宋" w:eastAsia="仿宋"/>
          <w:color w:val="000000" w:themeColor="text1"/>
          <w:kern w:val="0"/>
          <w:sz w:val="24"/>
          <w:highlight w:val="none"/>
          <w14:textFill>
            <w14:solidFill>
              <w14:schemeClr w14:val="tx1"/>
            </w14:solidFill>
          </w14:textFill>
        </w:rPr>
        <w:t>的法定代表人。</w:t>
      </w: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1560" w:firstLineChars="65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1560" w:firstLineChars="650"/>
        <w:jc w:val="left"/>
        <w:rPr>
          <w:rFonts w:ascii="仿宋" w:hAnsi="仿宋" w:eastAsia="仿宋"/>
          <w:color w:val="000000" w:themeColor="text1"/>
          <w:kern w:val="0"/>
          <w:sz w:val="24"/>
          <w:highlight w:val="none"/>
          <w14:textFill>
            <w14:solidFill>
              <w14:schemeClr w14:val="tx1"/>
            </w14:solidFill>
          </w14:textFill>
        </w:rPr>
      </w:pPr>
      <w:r>
        <w:rPr>
          <w:rFonts w:ascii="仿宋" w:hAnsi="仿宋" w:eastAsia="仿宋"/>
          <w:color w:val="000000" w:themeColor="text1"/>
          <w:kern w:val="0"/>
          <w:sz w:val="24"/>
          <w:highlight w:val="none"/>
          <w14:textFill>
            <w14:solidFill>
              <w14:schemeClr w14:val="tx1"/>
            </w14:solidFill>
          </w14:textFill>
        </w:rPr>
        <w:t>特此证明。</w:t>
      </w:r>
    </w:p>
    <w:p>
      <w:pPr>
        <w:spacing w:line="360" w:lineRule="auto"/>
        <w:rPr>
          <w:rFonts w:ascii="仿宋" w:hAnsi="仿宋" w:eastAsia="仿宋"/>
          <w:color w:val="000000" w:themeColor="text1"/>
          <w:sz w:val="24"/>
          <w:highlight w:val="none"/>
          <w14:textFill>
            <w14:solidFill>
              <w14:schemeClr w14:val="tx1"/>
            </w14:solidFill>
          </w14:textFill>
        </w:rPr>
      </w:pPr>
    </w:p>
    <w:p>
      <w:pPr>
        <w:spacing w:line="360" w:lineRule="auto"/>
        <w:rPr>
          <w:rFonts w:ascii="仿宋" w:hAnsi="仿宋" w:eastAsia="仿宋"/>
          <w:color w:val="000000" w:themeColor="text1"/>
          <w:sz w:val="24"/>
          <w:highlight w:val="none"/>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b/>
          <w:bCs/>
          <w:color w:val="000000" w:themeColor="text1"/>
          <w:sz w:val="24"/>
          <w:szCs w:val="24"/>
          <w:highlight w:val="none"/>
          <w:lang w:eastAsia="zh-CN"/>
          <w14:textFill>
            <w14:solidFill>
              <w14:schemeClr w14:val="tx1"/>
            </w14:solidFill>
          </w14:textFill>
        </w:rPr>
        <w:t>投标人</w:t>
      </w:r>
      <w:r>
        <w:rPr>
          <w:rFonts w:hint="eastAsia" w:ascii="仿宋" w:hAnsi="仿宋" w:eastAsia="仿宋" w:cs="宋体"/>
          <w:b/>
          <w:bCs/>
          <w:color w:val="000000" w:themeColor="text1"/>
          <w:sz w:val="24"/>
          <w:szCs w:val="24"/>
          <w:highlight w:val="none"/>
          <w14:textFill>
            <w14:solidFill>
              <w14:schemeClr w14:val="tx1"/>
            </w14:solidFill>
          </w14:textFill>
        </w:rPr>
        <w:t>名称：（公章）</w:t>
      </w:r>
    </w:p>
    <w:p>
      <w:pPr>
        <w:spacing w:line="360" w:lineRule="auto"/>
        <w:rPr>
          <w:rFonts w:ascii="仿宋" w:hAnsi="仿宋" w:eastAsia="仿宋"/>
          <w:b/>
          <w:bCs/>
          <w:color w:val="000000" w:themeColor="text1"/>
          <w:sz w:val="24"/>
          <w:highlight w:val="none"/>
          <w14:textFill>
            <w14:solidFill>
              <w14:schemeClr w14:val="tx1"/>
            </w14:solidFill>
          </w14:textFill>
        </w:rPr>
      </w:pPr>
    </w:p>
    <w:p>
      <w:pPr>
        <w:spacing w:line="360" w:lineRule="auto"/>
        <w:ind w:firstLine="6746" w:firstLineChars="2800"/>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日期：年月日</w:t>
      </w:r>
    </w:p>
    <w:p>
      <w:pPr>
        <w:spacing w:line="360" w:lineRule="auto"/>
        <w:rPr>
          <w:rFonts w:hAnsi="宋体"/>
          <w:b/>
          <w:color w:val="000000" w:themeColor="text1"/>
          <w:sz w:val="24"/>
          <w:highlight w:val="none"/>
          <w14:textFill>
            <w14:solidFill>
              <w14:schemeClr w14:val="tx1"/>
            </w14:solidFill>
          </w14:textFill>
        </w:rPr>
      </w:pPr>
    </w:p>
    <w:p>
      <w:pPr>
        <w:spacing w:line="360" w:lineRule="auto"/>
        <w:jc w:val="left"/>
        <w:rPr>
          <w:rFonts w:ascii="仿宋" w:hAnsi="仿宋" w:eastAsia="仿宋"/>
          <w:b/>
          <w:color w:val="000000" w:themeColor="text1"/>
          <w:sz w:val="24"/>
          <w:highlight w:val="none"/>
          <w14:textFill>
            <w14:solidFill>
              <w14:schemeClr w14:val="tx1"/>
            </w14:solidFill>
          </w14:textFill>
        </w:rPr>
      </w:pPr>
      <w:r>
        <w:rPr>
          <w:rFonts w:ascii="仿宋" w:hAnsi="仿宋" w:eastAsia="仿宋"/>
          <w:b/>
          <w:color w:val="000000" w:themeColor="text1"/>
          <w:sz w:val="24"/>
          <w:highlight w:val="none"/>
          <w14:textFill>
            <w14:solidFill>
              <w14:schemeClr w14:val="tx1"/>
            </w14:solidFill>
          </w14:textFill>
        </w:rPr>
        <w:t>【备注：附法定代表人居民身份证</w:t>
      </w:r>
      <w:r>
        <w:rPr>
          <w:rFonts w:hint="eastAsia" w:ascii="仿宋" w:hAnsi="仿宋" w:eastAsia="仿宋"/>
          <w:b/>
          <w:color w:val="000000" w:themeColor="text1"/>
          <w:sz w:val="24"/>
          <w:highlight w:val="none"/>
          <w14:textFill>
            <w14:solidFill>
              <w14:schemeClr w14:val="tx1"/>
            </w14:solidFill>
          </w14:textFill>
        </w:rPr>
        <w:t>复印件</w:t>
      </w:r>
      <w:r>
        <w:rPr>
          <w:rFonts w:ascii="仿宋" w:hAnsi="仿宋" w:eastAsia="仿宋"/>
          <w:b/>
          <w:color w:val="000000" w:themeColor="text1"/>
          <w:sz w:val="24"/>
          <w:highlight w:val="none"/>
          <w14:textFill>
            <w14:solidFill>
              <w14:schemeClr w14:val="tx1"/>
            </w14:solidFill>
          </w14:textFill>
        </w:rPr>
        <w:t>】</w:t>
      </w:r>
      <w:bookmarkStart w:id="602" w:name="_Toc298683397"/>
    </w:p>
    <w:p>
      <w:pPr>
        <w:spacing w:line="360" w:lineRule="auto"/>
        <w:jc w:val="center"/>
        <w:rPr>
          <w:rFonts w:ascii="仿宋" w:hAnsi="仿宋" w:eastAsia="仿宋"/>
          <w:b/>
          <w:color w:val="000000" w:themeColor="text1"/>
          <w:sz w:val="24"/>
          <w:highlight w:val="none"/>
          <w14:textFill>
            <w14:solidFill>
              <w14:schemeClr w14:val="tx1"/>
            </w14:solidFill>
          </w14:textFill>
        </w:rPr>
      </w:pPr>
    </w:p>
    <w:p>
      <w:pPr>
        <w:spacing w:line="360" w:lineRule="auto"/>
        <w:jc w:val="center"/>
        <w:rPr>
          <w:rFonts w:ascii="仿宋" w:hAnsi="仿宋" w:eastAsia="仿宋"/>
          <w:b/>
          <w:color w:val="000000" w:themeColor="text1"/>
          <w:sz w:val="24"/>
          <w:highlight w:val="none"/>
          <w14:textFill>
            <w14:solidFill>
              <w14:schemeClr w14:val="tx1"/>
            </w14:solidFill>
          </w14:textFill>
        </w:rPr>
      </w:pPr>
    </w:p>
    <w:p>
      <w:pPr>
        <w:spacing w:line="360" w:lineRule="auto"/>
        <w:jc w:val="center"/>
        <w:rPr>
          <w:rFonts w:ascii="仿宋" w:hAnsi="仿宋" w:eastAsia="仿宋"/>
          <w:b/>
          <w:color w:val="000000" w:themeColor="text1"/>
          <w:sz w:val="24"/>
          <w:highlight w:val="none"/>
          <w14:textFill>
            <w14:solidFill>
              <w14:schemeClr w14:val="tx1"/>
            </w14:solidFill>
          </w14:textFill>
        </w:rPr>
      </w:pPr>
    </w:p>
    <w:p>
      <w:pPr>
        <w:spacing w:line="360" w:lineRule="auto"/>
        <w:jc w:val="center"/>
        <w:rPr>
          <w:rFonts w:ascii="仿宋" w:hAnsi="仿宋" w:eastAsia="仿宋"/>
          <w:b/>
          <w:color w:val="000000" w:themeColor="text1"/>
          <w:sz w:val="24"/>
          <w:highlight w:val="none"/>
          <w14:textFill>
            <w14:solidFill>
              <w14:schemeClr w14:val="tx1"/>
            </w14:solidFill>
          </w14:textFill>
        </w:rPr>
      </w:pPr>
    </w:p>
    <w:p>
      <w:pPr>
        <w:spacing w:line="360" w:lineRule="auto"/>
        <w:jc w:val="center"/>
        <w:rPr>
          <w:rFonts w:ascii="仿宋" w:hAnsi="仿宋" w:eastAsia="仿宋"/>
          <w:b/>
          <w:color w:val="000000" w:themeColor="text1"/>
          <w:sz w:val="24"/>
          <w:highlight w:val="none"/>
          <w14:textFill>
            <w14:solidFill>
              <w14:schemeClr w14:val="tx1"/>
            </w14:solidFill>
          </w14:textFill>
        </w:rPr>
      </w:pPr>
    </w:p>
    <w:p>
      <w:pPr>
        <w:spacing w:line="360" w:lineRule="auto"/>
        <w:jc w:val="center"/>
        <w:rPr>
          <w:rFonts w:ascii="仿宋" w:hAnsi="仿宋" w:eastAsia="仿宋"/>
          <w:b/>
          <w:color w:val="000000" w:themeColor="text1"/>
          <w:sz w:val="24"/>
          <w:highlight w:val="none"/>
          <w14:textFill>
            <w14:solidFill>
              <w14:schemeClr w14:val="tx1"/>
            </w14:solidFill>
          </w14:textFill>
        </w:rPr>
      </w:pPr>
    </w:p>
    <w:p>
      <w:pPr>
        <w:spacing w:line="360" w:lineRule="auto"/>
        <w:jc w:val="center"/>
        <w:rPr>
          <w:rFonts w:ascii="仿宋" w:hAnsi="仿宋" w:eastAsia="仿宋"/>
          <w:b/>
          <w:color w:val="000000" w:themeColor="text1"/>
          <w:sz w:val="24"/>
          <w:highlight w:val="none"/>
          <w14:textFill>
            <w14:solidFill>
              <w14:schemeClr w14:val="tx1"/>
            </w14:solidFill>
          </w14:textFill>
        </w:rPr>
      </w:pPr>
    </w:p>
    <w:p>
      <w:pPr>
        <w:pStyle w:val="2"/>
        <w:rPr>
          <w:rFonts w:ascii="仿宋" w:hAnsi="仿宋" w:eastAsia="仿宋"/>
          <w:b/>
          <w:color w:val="000000" w:themeColor="text1"/>
          <w:sz w:val="24"/>
          <w:highlight w:val="none"/>
          <w14:textFill>
            <w14:solidFill>
              <w14:schemeClr w14:val="tx1"/>
            </w14:solidFill>
          </w14:textFill>
        </w:rPr>
      </w:pPr>
    </w:p>
    <w:bookmarkEnd w:id="602"/>
    <w:p>
      <w:pPr>
        <w:spacing w:line="360" w:lineRule="auto"/>
        <w:jc w:val="left"/>
        <w:outlineLvl w:val="2"/>
        <w:rPr>
          <w:rFonts w:ascii="仿宋" w:hAnsi="仿宋" w:eastAsia="仿宋" w:cs="宋体"/>
          <w:b/>
          <w:bCs/>
          <w:color w:val="000000" w:themeColor="text1"/>
          <w:kern w:val="0"/>
          <w:sz w:val="24"/>
          <w:szCs w:val="24"/>
          <w:highlight w:val="none"/>
          <w14:textFill>
            <w14:solidFill>
              <w14:schemeClr w14:val="tx1"/>
            </w14:solidFill>
          </w14:textFill>
        </w:rPr>
      </w:pPr>
      <w:bookmarkStart w:id="603" w:name="_Toc16439"/>
      <w:bookmarkStart w:id="604" w:name="_Toc201287640"/>
      <w:bookmarkStart w:id="605" w:name="_Toc323800509"/>
      <w:bookmarkStart w:id="606" w:name="_Toc323717404"/>
      <w:r>
        <w:rPr>
          <w:rFonts w:hint="eastAsia" w:ascii="仿宋" w:hAnsi="仿宋" w:eastAsia="仿宋"/>
          <w:b/>
          <w:color w:val="000000" w:themeColor="text1"/>
          <w:sz w:val="24"/>
          <w:highlight w:val="none"/>
          <w:lang w:eastAsia="zh-CN"/>
          <w14:textFill>
            <w14:solidFill>
              <w14:schemeClr w14:val="tx1"/>
            </w14:solidFill>
          </w14:textFill>
        </w:rPr>
        <w:t>四、</w:t>
      </w:r>
      <w:r>
        <w:rPr>
          <w:rFonts w:hint="eastAsia" w:ascii="仿宋" w:hAnsi="仿宋" w:eastAsia="仿宋" w:cs="宋体"/>
          <w:b/>
          <w:bCs/>
          <w:color w:val="000000" w:themeColor="text1"/>
          <w:kern w:val="0"/>
          <w:sz w:val="24"/>
          <w:szCs w:val="24"/>
          <w:highlight w:val="none"/>
          <w14:textFill>
            <w14:solidFill>
              <w14:schemeClr w14:val="tx1"/>
            </w14:solidFill>
          </w14:textFill>
        </w:rPr>
        <w:t>法定代表人授权书格式</w:t>
      </w:r>
      <w:bookmarkEnd w:id="603"/>
    </w:p>
    <w:p>
      <w:pPr>
        <w:spacing w:line="360" w:lineRule="auto"/>
        <w:jc w:val="center"/>
        <w:rPr>
          <w:rFonts w:ascii="宋体" w:hAnsi="宋体"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b/>
          <w:color w:val="000000" w:themeColor="text1"/>
          <w:sz w:val="28"/>
          <w:szCs w:val="28"/>
          <w:highlight w:val="none"/>
          <w14:textFill>
            <w14:solidFill>
              <w14:schemeClr w14:val="tx1"/>
            </w14:solidFill>
          </w14:textFill>
        </w:rPr>
      </w:pPr>
      <w:bookmarkStart w:id="607" w:name="_Toc468025339"/>
      <w:r>
        <w:rPr>
          <w:rFonts w:hint="eastAsia" w:ascii="仿宋" w:hAnsi="仿宋" w:eastAsia="仿宋"/>
          <w:b/>
          <w:color w:val="000000" w:themeColor="text1"/>
          <w:sz w:val="28"/>
          <w:szCs w:val="28"/>
          <w:highlight w:val="none"/>
          <w14:textFill>
            <w14:solidFill>
              <w14:schemeClr w14:val="tx1"/>
            </w14:solidFill>
          </w14:textFill>
        </w:rPr>
        <w:t>法定代表人授权委托书</w:t>
      </w:r>
      <w:bookmarkEnd w:id="607"/>
    </w:p>
    <w:p>
      <w:pPr>
        <w:autoSpaceDE w:val="0"/>
        <w:autoSpaceDN w:val="0"/>
        <w:adjustRightInd w:val="0"/>
        <w:spacing w:line="440" w:lineRule="exact"/>
        <w:jc w:val="left"/>
        <w:rPr>
          <w:rFonts w:ascii="宋体" w:hAnsi="宋体" w:cs="宋体"/>
          <w:color w:val="000000" w:themeColor="text1"/>
          <w:kern w:val="0"/>
          <w:sz w:val="24"/>
          <w:highlight w:val="none"/>
          <w14:textFill>
            <w14:solidFill>
              <w14:schemeClr w14:val="tx1"/>
            </w14:solidFill>
          </w14:textFill>
        </w:rPr>
      </w:pPr>
    </w:p>
    <w:p>
      <w:pPr>
        <w:widowControl/>
        <w:jc w:val="left"/>
        <w:rPr>
          <w:rFonts w:hint="eastAsia" w:ascii="仿宋" w:hAnsi="仿宋" w:eastAsia="仿宋" w:cs="Times New Roman"/>
          <w:color w:val="000000" w:themeColor="text1"/>
          <w:kern w:val="0"/>
          <w:sz w:val="24"/>
          <w:highlight w:val="none"/>
          <w:u w:val="single"/>
          <w:lang w:eastAsia="zh-CN"/>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t>致</w:t>
      </w:r>
      <w:r>
        <w:rPr>
          <w:rFonts w:ascii="仿宋" w:hAnsi="仿宋" w:eastAsia="仿宋" w:cs="Times New Roman"/>
          <w:color w:val="000000" w:themeColor="text1"/>
          <w:kern w:val="0"/>
          <w:sz w:val="24"/>
          <w:highlight w:val="none"/>
          <w:u w:val="single"/>
          <w14:textFill>
            <w14:solidFill>
              <w14:schemeClr w14:val="tx1"/>
            </w14:solidFill>
          </w14:textFill>
        </w:rPr>
        <w:t>：</w:t>
      </w:r>
      <w:r>
        <w:rPr>
          <w:rFonts w:hint="eastAsia" w:ascii="仿宋" w:hAnsi="仿宋" w:eastAsia="仿宋" w:cs="Times New Roman"/>
          <w:color w:val="000000" w:themeColor="text1"/>
          <w:kern w:val="0"/>
          <w:sz w:val="24"/>
          <w:highlight w:val="none"/>
          <w:u w:val="single"/>
          <w:lang w:eastAsia="zh-CN"/>
          <w14:textFill>
            <w14:solidFill>
              <w14:schemeClr w14:val="tx1"/>
            </w14:solidFill>
          </w14:textFill>
        </w:rPr>
        <w:t>青海华茂工程项目管理有限公司</w:t>
      </w:r>
    </w:p>
    <w:p>
      <w:pPr>
        <w:spacing w:line="360" w:lineRule="auto"/>
        <w:rPr>
          <w:rFonts w:ascii="仿宋" w:hAnsi="仿宋" w:eastAsia="仿宋"/>
          <w:color w:val="000000" w:themeColor="text1"/>
          <w:sz w:val="24"/>
          <w:highlight w:val="none"/>
          <w:u w:val="single"/>
          <w14:textFill>
            <w14:solidFill>
              <w14:schemeClr w14:val="tx1"/>
            </w14:solidFill>
          </w14:textFill>
        </w:rPr>
      </w:pPr>
    </w:p>
    <w:p>
      <w:pPr>
        <w:autoSpaceDE w:val="0"/>
        <w:autoSpaceDN w:val="0"/>
        <w:adjustRightInd w:val="0"/>
        <w:spacing w:line="480" w:lineRule="auto"/>
        <w:ind w:firstLine="480" w:firstLineChars="200"/>
        <w:jc w:val="left"/>
        <w:rPr>
          <w:rFonts w:ascii="仿宋" w:hAnsi="仿宋" w:eastAsia="仿宋"/>
          <w:color w:val="000000" w:themeColor="text1"/>
          <w:kern w:val="0"/>
          <w:sz w:val="24"/>
          <w:highlight w:val="none"/>
          <w:u w:val="single"/>
          <w14:textFill>
            <w14:solidFill>
              <w14:schemeClr w14:val="tx1"/>
            </w14:solidFill>
          </w14:textFill>
        </w:rPr>
      </w:pPr>
      <w:r>
        <w:rPr>
          <w:rFonts w:ascii="仿宋" w:hAnsi="仿宋" w:eastAsia="仿宋"/>
          <w:color w:val="000000" w:themeColor="text1"/>
          <w:kern w:val="0"/>
          <w:sz w:val="24"/>
          <w:highlight w:val="none"/>
          <w14:textFill>
            <w14:solidFill>
              <w14:schemeClr w14:val="tx1"/>
            </w14:solidFill>
          </w14:textFill>
        </w:rPr>
        <w:t>本人</w:t>
      </w:r>
      <w:r>
        <w:rPr>
          <w:rFonts w:ascii="仿宋" w:hAnsi="仿宋" w:eastAsia="仿宋"/>
          <w:color w:val="000000" w:themeColor="text1"/>
          <w:kern w:val="0"/>
          <w:sz w:val="24"/>
          <w:highlight w:val="none"/>
          <w:u w:val="single"/>
          <w14:textFill>
            <w14:solidFill>
              <w14:schemeClr w14:val="tx1"/>
            </w14:solidFill>
          </w14:textFill>
        </w:rPr>
        <w:t>（姓名）</w:t>
      </w:r>
      <w:r>
        <w:rPr>
          <w:rFonts w:ascii="仿宋" w:hAnsi="仿宋" w:eastAsia="仿宋"/>
          <w:color w:val="000000" w:themeColor="text1"/>
          <w:kern w:val="0"/>
          <w:sz w:val="24"/>
          <w:highlight w:val="none"/>
          <w14:textFill>
            <w14:solidFill>
              <w14:schemeClr w14:val="tx1"/>
            </w14:solidFill>
          </w14:textFill>
        </w:rPr>
        <w:t>系</w:t>
      </w:r>
      <w:r>
        <w:rPr>
          <w:rFonts w:ascii="仿宋" w:hAnsi="仿宋" w:eastAsia="仿宋"/>
          <w:color w:val="000000" w:themeColor="text1"/>
          <w:kern w:val="0"/>
          <w:sz w:val="24"/>
          <w:highlight w:val="none"/>
          <w:u w:val="single"/>
          <w14:textFill>
            <w14:solidFill>
              <w14:schemeClr w14:val="tx1"/>
            </w14:solidFill>
          </w14:textFill>
        </w:rPr>
        <w:t>（</w:t>
      </w:r>
      <w:r>
        <w:rPr>
          <w:rFonts w:hint="eastAsia" w:ascii="仿宋" w:hAnsi="仿宋" w:eastAsia="仿宋"/>
          <w:color w:val="000000" w:themeColor="text1"/>
          <w:kern w:val="0"/>
          <w:sz w:val="24"/>
          <w:highlight w:val="none"/>
          <w:u w:val="single"/>
          <w:lang w:eastAsia="zh-CN"/>
          <w14:textFill>
            <w14:solidFill>
              <w14:schemeClr w14:val="tx1"/>
            </w14:solidFill>
          </w14:textFill>
        </w:rPr>
        <w:t>投标人</w:t>
      </w:r>
      <w:r>
        <w:rPr>
          <w:rFonts w:ascii="仿宋" w:hAnsi="仿宋" w:eastAsia="仿宋"/>
          <w:color w:val="000000" w:themeColor="text1"/>
          <w:kern w:val="0"/>
          <w:sz w:val="24"/>
          <w:highlight w:val="none"/>
          <w:u w:val="single"/>
          <w14:textFill>
            <w14:solidFill>
              <w14:schemeClr w14:val="tx1"/>
            </w14:solidFill>
          </w14:textFill>
        </w:rPr>
        <w:t>名称）</w:t>
      </w:r>
      <w:r>
        <w:rPr>
          <w:rFonts w:ascii="仿宋" w:hAnsi="仿宋" w:eastAsia="仿宋"/>
          <w:color w:val="000000" w:themeColor="text1"/>
          <w:kern w:val="0"/>
          <w:sz w:val="24"/>
          <w:highlight w:val="none"/>
          <w14:textFill>
            <w14:solidFill>
              <w14:schemeClr w14:val="tx1"/>
            </w14:solidFill>
          </w14:textFill>
        </w:rPr>
        <w:t>的法定代表人，现委托</w:t>
      </w:r>
      <w:r>
        <w:rPr>
          <w:rFonts w:ascii="仿宋" w:hAnsi="仿宋" w:eastAsia="仿宋"/>
          <w:color w:val="000000" w:themeColor="text1"/>
          <w:kern w:val="0"/>
          <w:sz w:val="24"/>
          <w:highlight w:val="none"/>
          <w:u w:val="single"/>
          <w14:textFill>
            <w14:solidFill>
              <w14:schemeClr w14:val="tx1"/>
            </w14:solidFill>
          </w14:textFill>
        </w:rPr>
        <w:t>（姓名）</w:t>
      </w:r>
      <w:r>
        <w:rPr>
          <w:rFonts w:ascii="仿宋" w:hAnsi="仿宋" w:eastAsia="仿宋"/>
          <w:color w:val="000000" w:themeColor="text1"/>
          <w:kern w:val="0"/>
          <w:sz w:val="24"/>
          <w:highlight w:val="none"/>
          <w14:textFill>
            <w14:solidFill>
              <w14:schemeClr w14:val="tx1"/>
            </w14:solidFill>
          </w14:textFill>
        </w:rPr>
        <w:t>为我方代理人。被授权代理人根据授权，以我方名义签署、澄清、说明、补正、递交、撤回、修改</w:t>
      </w:r>
      <w:r>
        <w:rPr>
          <w:rFonts w:ascii="仿宋" w:hAnsi="仿宋" w:eastAsia="仿宋"/>
          <w:color w:val="000000" w:themeColor="text1"/>
          <w:kern w:val="0"/>
          <w:sz w:val="24"/>
          <w:highlight w:val="none"/>
          <w:u w:val="single"/>
          <w14:textFill>
            <w14:solidFill>
              <w14:schemeClr w14:val="tx1"/>
            </w14:solidFill>
          </w14:textFill>
        </w:rPr>
        <w:t>（项目名称</w:t>
      </w:r>
      <w:r>
        <w:rPr>
          <w:rFonts w:hint="eastAsia" w:ascii="仿宋" w:hAnsi="仿宋" w:eastAsia="仿宋"/>
          <w:color w:val="000000" w:themeColor="text1"/>
          <w:kern w:val="0"/>
          <w:sz w:val="24"/>
          <w:highlight w:val="none"/>
          <w:u w:val="single"/>
          <w14:textFill>
            <w14:solidFill>
              <w14:schemeClr w14:val="tx1"/>
            </w14:solidFill>
          </w14:textFill>
        </w:rPr>
        <w:t>、标段</w:t>
      </w:r>
      <w:r>
        <w:rPr>
          <w:rFonts w:ascii="仿宋" w:hAnsi="仿宋" w:eastAsia="仿宋"/>
          <w:color w:val="000000" w:themeColor="text1"/>
          <w:kern w:val="0"/>
          <w:sz w:val="24"/>
          <w:highlight w:val="none"/>
          <w:u w:val="single"/>
          <w14:textFill>
            <w14:solidFill>
              <w14:schemeClr w14:val="tx1"/>
            </w14:solidFill>
          </w14:textFill>
        </w:rPr>
        <w:t>）（招标编号）</w:t>
      </w:r>
      <w:r>
        <w:rPr>
          <w:rFonts w:ascii="仿宋" w:hAnsi="仿宋" w:eastAsia="仿宋"/>
          <w:color w:val="000000" w:themeColor="text1"/>
          <w:kern w:val="0"/>
          <w:sz w:val="24"/>
          <w:highlight w:val="none"/>
          <w14:textFill>
            <w14:solidFill>
              <w14:schemeClr w14:val="tx1"/>
            </w14:solidFill>
          </w14:textFill>
        </w:rPr>
        <w:t>响应文件、签订合同和处理有关事宜，其法律后果由我方承担。</w:t>
      </w:r>
    </w:p>
    <w:p>
      <w:pPr>
        <w:autoSpaceDE w:val="0"/>
        <w:autoSpaceDN w:val="0"/>
        <w:adjustRightInd w:val="0"/>
        <w:spacing w:line="46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仿宋" w:hAnsi="仿宋" w:eastAsia="仿宋" w:cs="宋体"/>
          <w:color w:val="000000" w:themeColor="text1"/>
          <w:kern w:val="0"/>
          <w:sz w:val="24"/>
          <w:highlight w:val="none"/>
          <w14:textFill>
            <w14:solidFill>
              <w14:schemeClr w14:val="tx1"/>
            </w14:solidFill>
          </w14:textFill>
        </w:rPr>
        <w:t>代理人无转委托权。</w:t>
      </w:r>
    </w:p>
    <w:p>
      <w:pPr>
        <w:spacing w:line="360" w:lineRule="auto"/>
        <w:jc w:val="center"/>
        <w:rPr>
          <w:rFonts w:ascii="宋体" w:hAnsi="宋体" w:cs="宋体"/>
          <w:color w:val="000000" w:themeColor="text1"/>
          <w:kern w:val="0"/>
          <w:sz w:val="24"/>
          <w:highlight w:val="none"/>
          <w14:textFill>
            <w14:solidFill>
              <w14:schemeClr w14:val="tx1"/>
            </w14:solidFill>
          </w14:textFill>
        </w:rPr>
      </w:pPr>
    </w:p>
    <w:p>
      <w:pPr>
        <w:spacing w:line="360" w:lineRule="auto"/>
        <w:jc w:val="left"/>
        <w:rPr>
          <w:rFonts w:ascii="仿宋" w:hAnsi="仿宋" w:eastAsia="仿宋"/>
          <w:color w:val="000000" w:themeColor="text1"/>
          <w:sz w:val="24"/>
          <w:highlight w:val="none"/>
          <w14:textFill>
            <w14:solidFill>
              <w14:schemeClr w14:val="tx1"/>
            </w14:solidFill>
          </w14:textFill>
        </w:rPr>
      </w:pPr>
      <w:r>
        <w:rPr>
          <w:rFonts w:ascii="仿宋" w:hAnsi="仿宋" w:eastAsia="仿宋"/>
          <w:b/>
          <w:color w:val="000000" w:themeColor="text1"/>
          <w:sz w:val="24"/>
          <w:highlight w:val="none"/>
          <w14:textFill>
            <w14:solidFill>
              <w14:schemeClr w14:val="tx1"/>
            </w14:solidFill>
          </w14:textFill>
        </w:rPr>
        <w:t>【备注：附授权代理人居民身份证</w:t>
      </w:r>
      <w:r>
        <w:rPr>
          <w:rFonts w:hint="eastAsia" w:ascii="仿宋" w:hAnsi="仿宋" w:eastAsia="仿宋"/>
          <w:b/>
          <w:color w:val="000000" w:themeColor="text1"/>
          <w:sz w:val="24"/>
          <w:highlight w:val="none"/>
          <w14:textFill>
            <w14:solidFill>
              <w14:schemeClr w14:val="tx1"/>
            </w14:solidFill>
          </w14:textFill>
        </w:rPr>
        <w:t>复印件</w:t>
      </w:r>
      <w:r>
        <w:rPr>
          <w:rFonts w:ascii="仿宋" w:hAnsi="仿宋" w:eastAsia="仿宋"/>
          <w:b/>
          <w:color w:val="000000" w:themeColor="text1"/>
          <w:sz w:val="24"/>
          <w:highlight w:val="none"/>
          <w14:textFill>
            <w14:solidFill>
              <w14:schemeClr w14:val="tx1"/>
            </w14:solidFill>
          </w14:textFill>
        </w:rPr>
        <w:t>】</w:t>
      </w:r>
    </w:p>
    <w:p>
      <w:pPr>
        <w:autoSpaceDE w:val="0"/>
        <w:autoSpaceDN w:val="0"/>
        <w:adjustRightInd w:val="0"/>
        <w:spacing w:line="460" w:lineRule="exact"/>
        <w:jc w:val="left"/>
        <w:rPr>
          <w:rFonts w:ascii="宋体" w:hAnsi="宋体" w:cs="宋体"/>
          <w:color w:val="000000" w:themeColor="text1"/>
          <w:kern w:val="0"/>
          <w:sz w:val="24"/>
          <w:highlight w:val="none"/>
          <w14:textFill>
            <w14:solidFill>
              <w14:schemeClr w14:val="tx1"/>
            </w14:solidFill>
          </w14:textFill>
        </w:rPr>
      </w:pPr>
    </w:p>
    <w:p>
      <w:pPr>
        <w:autoSpaceDE w:val="0"/>
        <w:autoSpaceDN w:val="0"/>
        <w:adjustRightInd w:val="0"/>
        <w:spacing w:line="460" w:lineRule="exact"/>
        <w:jc w:val="left"/>
        <w:rPr>
          <w:rFonts w:ascii="宋体" w:hAnsi="宋体" w:cs="宋体"/>
          <w:color w:val="000000" w:themeColor="text1"/>
          <w:kern w:val="0"/>
          <w:sz w:val="24"/>
          <w:highlight w:val="none"/>
          <w14:textFill>
            <w14:solidFill>
              <w14:schemeClr w14:val="tx1"/>
            </w14:solidFill>
          </w14:textFill>
        </w:rPr>
      </w:pPr>
    </w:p>
    <w:p>
      <w:pPr>
        <w:autoSpaceDE w:val="0"/>
        <w:autoSpaceDN w:val="0"/>
        <w:adjustRightInd w:val="0"/>
        <w:spacing w:line="460" w:lineRule="exact"/>
        <w:jc w:val="left"/>
        <w:rPr>
          <w:rFonts w:ascii="仿宋" w:hAnsi="仿宋" w:eastAsia="仿宋" w:cs="宋体"/>
          <w:color w:val="000000" w:themeColor="text1"/>
          <w:kern w:val="0"/>
          <w:sz w:val="24"/>
          <w:highlight w:val="none"/>
          <w14:textFill>
            <w14:solidFill>
              <w14:schemeClr w14:val="tx1"/>
            </w14:solidFill>
          </w14:textFill>
        </w:rPr>
      </w:pPr>
    </w:p>
    <w:p>
      <w:pPr>
        <w:spacing w:line="360" w:lineRule="auto"/>
        <w:ind w:firstLine="2891" w:firstLineChars="1200"/>
        <w:rPr>
          <w:rFonts w:ascii="仿宋" w:hAnsi="仿宋" w:eastAsia="仿宋"/>
          <w:b/>
          <w:color w:val="000000" w:themeColor="text1"/>
          <w:sz w:val="24"/>
          <w:highlight w:val="none"/>
          <w14:textFill>
            <w14:solidFill>
              <w14:schemeClr w14:val="tx1"/>
            </w14:solidFill>
          </w14:textFill>
        </w:rPr>
      </w:pPr>
      <w:r>
        <w:rPr>
          <w:rFonts w:hint="eastAsia" w:ascii="仿宋" w:hAnsi="仿宋" w:eastAsia="仿宋"/>
          <w:b/>
          <w:color w:val="000000" w:themeColor="text1"/>
          <w:sz w:val="24"/>
          <w:highlight w:val="none"/>
          <w:lang w:eastAsia="zh-CN"/>
          <w14:textFill>
            <w14:solidFill>
              <w14:schemeClr w14:val="tx1"/>
            </w14:solidFill>
          </w14:textFill>
        </w:rPr>
        <w:t>投标人</w:t>
      </w:r>
      <w:r>
        <w:rPr>
          <w:rFonts w:hint="eastAsia" w:ascii="仿宋" w:hAnsi="仿宋" w:eastAsia="仿宋"/>
          <w:b/>
          <w:color w:val="000000" w:themeColor="text1"/>
          <w:sz w:val="24"/>
          <w:highlight w:val="none"/>
          <w14:textFill>
            <w14:solidFill>
              <w14:schemeClr w14:val="tx1"/>
            </w14:solidFill>
          </w14:textFill>
        </w:rPr>
        <w:t>名称</w:t>
      </w:r>
      <w:r>
        <w:rPr>
          <w:rFonts w:ascii="仿宋" w:hAnsi="仿宋" w:eastAsia="仿宋"/>
          <w:b/>
          <w:color w:val="000000" w:themeColor="text1"/>
          <w:sz w:val="24"/>
          <w:highlight w:val="none"/>
          <w14:textFill>
            <w14:solidFill>
              <w14:schemeClr w14:val="tx1"/>
            </w14:solidFill>
          </w14:textFill>
        </w:rPr>
        <w:t>：（公章）</w:t>
      </w:r>
    </w:p>
    <w:p>
      <w:pPr>
        <w:spacing w:line="360" w:lineRule="auto"/>
        <w:ind w:firstLine="3855" w:firstLineChars="1600"/>
        <w:rPr>
          <w:rFonts w:ascii="仿宋" w:hAnsi="仿宋" w:eastAsia="仿宋"/>
          <w:b/>
          <w:color w:val="000000" w:themeColor="text1"/>
          <w:sz w:val="24"/>
          <w:highlight w:val="none"/>
          <w14:textFill>
            <w14:solidFill>
              <w14:schemeClr w14:val="tx1"/>
            </w14:solidFill>
          </w14:textFill>
        </w:rPr>
      </w:pPr>
    </w:p>
    <w:p>
      <w:pPr>
        <w:spacing w:line="360" w:lineRule="auto"/>
        <w:ind w:firstLine="2891" w:firstLineChars="1200"/>
        <w:rPr>
          <w:rFonts w:ascii="仿宋" w:hAnsi="仿宋" w:eastAsia="仿宋"/>
          <w:b/>
          <w:color w:val="000000" w:themeColor="text1"/>
          <w:sz w:val="24"/>
          <w:highlight w:val="none"/>
          <w14:textFill>
            <w14:solidFill>
              <w14:schemeClr w14:val="tx1"/>
            </w14:solidFill>
          </w14:textFill>
        </w:rPr>
      </w:pPr>
      <w:r>
        <w:rPr>
          <w:rFonts w:ascii="仿宋" w:hAnsi="仿宋" w:eastAsia="仿宋"/>
          <w:b/>
          <w:color w:val="000000" w:themeColor="text1"/>
          <w:sz w:val="24"/>
          <w:highlight w:val="none"/>
          <w14:textFill>
            <w14:solidFill>
              <w14:schemeClr w14:val="tx1"/>
            </w14:solidFill>
          </w14:textFill>
        </w:rPr>
        <w:t>法定代表人：（签字或盖章）</w:t>
      </w:r>
    </w:p>
    <w:p>
      <w:pPr>
        <w:spacing w:line="360" w:lineRule="auto"/>
        <w:ind w:firstLine="482" w:firstLineChars="200"/>
        <w:rPr>
          <w:rFonts w:ascii="仿宋" w:hAnsi="仿宋" w:eastAsia="仿宋"/>
          <w:b/>
          <w:color w:val="000000" w:themeColor="text1"/>
          <w:sz w:val="24"/>
          <w:highlight w:val="none"/>
          <w14:textFill>
            <w14:solidFill>
              <w14:schemeClr w14:val="tx1"/>
            </w14:solidFill>
          </w14:textFill>
        </w:rPr>
      </w:pPr>
    </w:p>
    <w:p>
      <w:pPr>
        <w:spacing w:line="360" w:lineRule="auto"/>
        <w:ind w:firstLine="2891" w:firstLineChars="1200"/>
        <w:rPr>
          <w:rFonts w:ascii="仿宋" w:hAnsi="仿宋" w:eastAsia="仿宋"/>
          <w:b/>
          <w:color w:val="000000" w:themeColor="text1"/>
          <w:sz w:val="24"/>
          <w:highlight w:val="none"/>
          <w14:textFill>
            <w14:solidFill>
              <w14:schemeClr w14:val="tx1"/>
            </w14:solidFill>
          </w14:textFill>
        </w:rPr>
      </w:pPr>
      <w:r>
        <w:rPr>
          <w:rFonts w:ascii="仿宋" w:hAnsi="仿宋" w:eastAsia="仿宋"/>
          <w:b/>
          <w:color w:val="000000" w:themeColor="text1"/>
          <w:sz w:val="24"/>
          <w:highlight w:val="none"/>
          <w14:textFill>
            <w14:solidFill>
              <w14:schemeClr w14:val="tx1"/>
            </w14:solidFill>
          </w14:textFill>
        </w:rPr>
        <w:t>委托代理人：（签字或盖章）</w:t>
      </w:r>
    </w:p>
    <w:p>
      <w:pPr>
        <w:spacing w:line="360" w:lineRule="auto"/>
        <w:rPr>
          <w:rFonts w:ascii="仿宋" w:hAnsi="仿宋" w:eastAsia="仿宋"/>
          <w:b/>
          <w:bCs/>
          <w:color w:val="000000" w:themeColor="text1"/>
          <w:sz w:val="24"/>
          <w:highlight w:val="none"/>
          <w14:textFill>
            <w14:solidFill>
              <w14:schemeClr w14:val="tx1"/>
            </w14:solidFill>
          </w14:textFill>
        </w:rPr>
      </w:pPr>
    </w:p>
    <w:p>
      <w:pPr>
        <w:spacing w:line="360" w:lineRule="auto"/>
        <w:jc w:val="center"/>
        <w:rPr>
          <w:rFonts w:ascii="仿宋" w:hAnsi="仿宋" w:eastAsia="仿宋"/>
          <w:b/>
          <w:color w:val="000000" w:themeColor="text1"/>
          <w:sz w:val="24"/>
          <w:highlight w:val="none"/>
          <w14:textFill>
            <w14:solidFill>
              <w14:schemeClr w14:val="tx1"/>
            </w14:solidFill>
          </w14:textFill>
        </w:rPr>
      </w:pPr>
      <w:r>
        <w:rPr>
          <w:rFonts w:ascii="仿宋" w:hAnsi="仿宋" w:eastAsia="仿宋"/>
          <w:b/>
          <w:color w:val="000000" w:themeColor="text1"/>
          <w:sz w:val="24"/>
          <w:highlight w:val="none"/>
          <w14:textFill>
            <w14:solidFill>
              <w14:schemeClr w14:val="tx1"/>
            </w14:solidFill>
          </w14:textFill>
        </w:rPr>
        <w:t>日期：</w:t>
      </w:r>
      <w:r>
        <w:rPr>
          <w:rFonts w:hint="eastAsia" w:ascii="仿宋" w:hAnsi="仿宋" w:eastAsia="仿宋"/>
          <w:b/>
          <w:color w:val="000000" w:themeColor="text1"/>
          <w:sz w:val="24"/>
          <w:highlight w:val="none"/>
          <w:lang w:val="en-US" w:eastAsia="zh-CN"/>
          <w14:textFill>
            <w14:solidFill>
              <w14:schemeClr w14:val="tx1"/>
            </w14:solidFill>
          </w14:textFill>
        </w:rPr>
        <w:t xml:space="preserve"> </w:t>
      </w:r>
      <w:r>
        <w:rPr>
          <w:rFonts w:ascii="仿宋" w:hAnsi="仿宋" w:eastAsia="仿宋"/>
          <w:b/>
          <w:color w:val="000000" w:themeColor="text1"/>
          <w:sz w:val="24"/>
          <w:highlight w:val="none"/>
          <w14:textFill>
            <w14:solidFill>
              <w14:schemeClr w14:val="tx1"/>
            </w14:solidFill>
          </w14:textFill>
        </w:rPr>
        <w:t>年</w:t>
      </w:r>
      <w:r>
        <w:rPr>
          <w:rFonts w:hint="eastAsia" w:ascii="仿宋" w:hAnsi="仿宋" w:eastAsia="仿宋"/>
          <w:b/>
          <w:color w:val="000000" w:themeColor="text1"/>
          <w:sz w:val="24"/>
          <w:highlight w:val="none"/>
          <w:lang w:val="en-US" w:eastAsia="zh-CN"/>
          <w14:textFill>
            <w14:solidFill>
              <w14:schemeClr w14:val="tx1"/>
            </w14:solidFill>
          </w14:textFill>
        </w:rPr>
        <w:t xml:space="preserve">  </w:t>
      </w:r>
      <w:r>
        <w:rPr>
          <w:rFonts w:ascii="仿宋" w:hAnsi="仿宋" w:eastAsia="仿宋"/>
          <w:b/>
          <w:color w:val="000000" w:themeColor="text1"/>
          <w:sz w:val="24"/>
          <w:highlight w:val="none"/>
          <w14:textFill>
            <w14:solidFill>
              <w14:schemeClr w14:val="tx1"/>
            </w14:solidFill>
          </w14:textFill>
        </w:rPr>
        <w:t>月</w:t>
      </w:r>
      <w:r>
        <w:rPr>
          <w:rFonts w:hint="eastAsia" w:ascii="仿宋" w:hAnsi="仿宋" w:eastAsia="仿宋"/>
          <w:b/>
          <w:color w:val="000000" w:themeColor="text1"/>
          <w:sz w:val="24"/>
          <w:highlight w:val="none"/>
          <w:lang w:val="en-US" w:eastAsia="zh-CN"/>
          <w14:textFill>
            <w14:solidFill>
              <w14:schemeClr w14:val="tx1"/>
            </w14:solidFill>
          </w14:textFill>
        </w:rPr>
        <w:t xml:space="preserve">  </w:t>
      </w:r>
      <w:r>
        <w:rPr>
          <w:rFonts w:ascii="仿宋" w:hAnsi="仿宋" w:eastAsia="仿宋"/>
          <w:b/>
          <w:color w:val="000000" w:themeColor="text1"/>
          <w:sz w:val="24"/>
          <w:highlight w:val="none"/>
          <w14:textFill>
            <w14:solidFill>
              <w14:schemeClr w14:val="tx1"/>
            </w14:solidFill>
          </w14:textFill>
        </w:rPr>
        <w:t>日</w:t>
      </w:r>
    </w:p>
    <w:p>
      <w:pPr>
        <w:spacing w:line="360" w:lineRule="auto"/>
        <w:rPr>
          <w:rFonts w:ascii="宋体"/>
          <w:color w:val="000000" w:themeColor="text1"/>
          <w:sz w:val="24"/>
          <w:szCs w:val="24"/>
          <w:highlight w:val="none"/>
          <w14:textFill>
            <w14:solidFill>
              <w14:schemeClr w14:val="tx1"/>
            </w14:solidFill>
          </w14:textFill>
        </w:rPr>
      </w:pPr>
    </w:p>
    <w:p>
      <w:pPr>
        <w:spacing w:line="360" w:lineRule="auto"/>
        <w:rPr>
          <w:rFonts w:ascii="宋体"/>
          <w:color w:val="000000" w:themeColor="text1"/>
          <w:kern w:val="0"/>
          <w:sz w:val="24"/>
          <w:szCs w:val="24"/>
          <w:highlight w:val="none"/>
          <w14:textFill>
            <w14:solidFill>
              <w14:schemeClr w14:val="tx1"/>
            </w14:solidFill>
          </w14:textFill>
        </w:rPr>
      </w:pPr>
    </w:p>
    <w:p>
      <w:pPr>
        <w:pStyle w:val="6"/>
        <w:spacing w:before="0" w:after="0" w:line="360" w:lineRule="auto"/>
        <w:rPr>
          <w:rFonts w:ascii="宋体" w:hAnsi="宋体"/>
          <w:color w:val="000000" w:themeColor="text1"/>
          <w:sz w:val="24"/>
          <w:szCs w:val="24"/>
          <w:highlight w:val="none"/>
          <w14:textFill>
            <w14:solidFill>
              <w14:schemeClr w14:val="tx1"/>
            </w14:solidFill>
          </w14:textFill>
        </w:rPr>
      </w:pPr>
      <w:bookmarkStart w:id="608" w:name="_Toc298683399"/>
      <w:r>
        <w:rPr>
          <w:rFonts w:ascii="宋体" w:hAnsi="宋体"/>
          <w:color w:val="000000" w:themeColor="text1"/>
          <w:sz w:val="24"/>
          <w:szCs w:val="24"/>
          <w:highlight w:val="none"/>
          <w14:textFill>
            <w14:solidFill>
              <w14:schemeClr w14:val="tx1"/>
            </w14:solidFill>
          </w14:textFill>
        </w:rPr>
        <w:br w:type="page"/>
      </w:r>
      <w:bookmarkEnd w:id="604"/>
      <w:bookmarkEnd w:id="605"/>
      <w:bookmarkEnd w:id="606"/>
      <w:bookmarkEnd w:id="608"/>
      <w:bookmarkStart w:id="609" w:name="_Toc358560685"/>
      <w:bookmarkStart w:id="610" w:name="_Toc298683401"/>
      <w:bookmarkStart w:id="611" w:name="_Toc323800510"/>
      <w:bookmarkStart w:id="612" w:name="_Toc323717405"/>
      <w:bookmarkStart w:id="613" w:name="_Toc201287641"/>
    </w:p>
    <w:p>
      <w:pPr>
        <w:spacing w:line="360" w:lineRule="auto"/>
        <w:jc w:val="center"/>
        <w:rPr>
          <w:rFonts w:ascii="仿宋" w:hAnsi="仿宋" w:eastAsia="仿宋" w:cs="宋体"/>
          <w:b/>
          <w:bCs/>
          <w:color w:val="000000" w:themeColor="text1"/>
          <w:kern w:val="0"/>
          <w:sz w:val="24"/>
          <w:szCs w:val="24"/>
          <w:highlight w:val="none"/>
          <w14:textFill>
            <w14:solidFill>
              <w14:schemeClr w14:val="tx1"/>
            </w14:solidFill>
          </w14:textFill>
        </w:rPr>
      </w:pPr>
    </w:p>
    <w:bookmarkEnd w:id="609"/>
    <w:bookmarkEnd w:id="610"/>
    <w:p>
      <w:pPr>
        <w:pStyle w:val="6"/>
        <w:spacing w:before="0" w:after="0" w:line="360" w:lineRule="auto"/>
        <w:rPr>
          <w:rFonts w:ascii="宋体" w:hAnsi="宋体"/>
          <w:color w:val="000000" w:themeColor="text1"/>
          <w:sz w:val="24"/>
          <w:szCs w:val="24"/>
          <w:highlight w:val="none"/>
          <w14:textFill>
            <w14:solidFill>
              <w14:schemeClr w14:val="tx1"/>
            </w14:solidFill>
          </w14:textFill>
        </w:rPr>
      </w:pPr>
      <w:bookmarkStart w:id="614" w:name="_Toc23767"/>
      <w:r>
        <w:rPr>
          <w:rFonts w:hint="eastAsia" w:ascii="仿宋" w:hAnsi="仿宋" w:eastAsia="仿宋" w:cs="宋体"/>
          <w:color w:val="000000" w:themeColor="text1"/>
          <w:sz w:val="24"/>
          <w:szCs w:val="24"/>
          <w:highlight w:val="none"/>
          <w:lang w:eastAsia="zh-CN"/>
          <w14:textFill>
            <w14:solidFill>
              <w14:schemeClr w14:val="tx1"/>
            </w14:solidFill>
          </w14:textFill>
        </w:rPr>
        <w:t>五、投标人</w:t>
      </w:r>
      <w:r>
        <w:rPr>
          <w:rFonts w:hint="eastAsia" w:ascii="仿宋" w:hAnsi="仿宋" w:eastAsia="仿宋" w:cs="宋体"/>
          <w:color w:val="000000" w:themeColor="text1"/>
          <w:sz w:val="24"/>
          <w:szCs w:val="24"/>
          <w:highlight w:val="none"/>
          <w14:textFill>
            <w14:solidFill>
              <w14:schemeClr w14:val="tx1"/>
            </w14:solidFill>
          </w14:textFill>
        </w:rPr>
        <w:t>诚信承诺函</w:t>
      </w:r>
      <w:bookmarkEnd w:id="614"/>
    </w:p>
    <w:p>
      <w:pPr>
        <w:spacing w:line="360" w:lineRule="auto"/>
        <w:jc w:val="center"/>
        <w:rPr>
          <w:rFonts w:ascii="宋体" w:hAnsi="宋体" w:cs="宋体"/>
          <w:b/>
          <w:bCs/>
          <w:color w:val="000000" w:themeColor="text1"/>
          <w:sz w:val="24"/>
          <w:szCs w:val="24"/>
          <w:highlight w:val="none"/>
          <w14:textFill>
            <w14:solidFill>
              <w14:schemeClr w14:val="tx1"/>
            </w14:solidFill>
          </w14:textFill>
        </w:rPr>
      </w:pPr>
    </w:p>
    <w:p>
      <w:pPr>
        <w:autoSpaceDE w:val="0"/>
        <w:autoSpaceDN w:val="0"/>
        <w:adjustRightInd w:val="0"/>
        <w:spacing w:line="400" w:lineRule="exact"/>
        <w:jc w:val="center"/>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lang w:eastAsia="zh-CN"/>
          <w14:textFill>
            <w14:solidFill>
              <w14:schemeClr w14:val="tx1"/>
            </w14:solidFill>
          </w14:textFill>
        </w:rPr>
        <w:t>投标人</w:t>
      </w:r>
      <w:r>
        <w:rPr>
          <w:rFonts w:hint="eastAsia" w:ascii="仿宋" w:hAnsi="仿宋" w:eastAsia="仿宋"/>
          <w:b/>
          <w:color w:val="000000" w:themeColor="text1"/>
          <w:sz w:val="28"/>
          <w:szCs w:val="28"/>
          <w:highlight w:val="none"/>
          <w14:textFill>
            <w14:solidFill>
              <w14:schemeClr w14:val="tx1"/>
            </w14:solidFill>
          </w14:textFill>
        </w:rPr>
        <w:t>诚信承诺函</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p>
    <w:p>
      <w:pPr>
        <w:widowControl/>
        <w:jc w:val="left"/>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b/>
          <w:bCs/>
          <w:color w:val="000000" w:themeColor="text1"/>
          <w:kern w:val="0"/>
          <w:sz w:val="24"/>
          <w:highlight w:val="none"/>
          <w:lang w:val="zh-CN"/>
          <w14:textFill>
            <w14:solidFill>
              <w14:schemeClr w14:val="tx1"/>
            </w14:solidFill>
          </w14:textFill>
        </w:rPr>
        <w:t>致</w:t>
      </w:r>
      <w:r>
        <w:rPr>
          <w:rFonts w:hint="eastAsia" w:ascii="仿宋" w:hAnsi="仿宋" w:eastAsia="仿宋" w:cs="宋体"/>
          <w:color w:val="000000" w:themeColor="text1"/>
          <w:kern w:val="0"/>
          <w:sz w:val="24"/>
          <w:highlight w:val="none"/>
          <w:lang w:val="zh-CN"/>
          <w14:textFill>
            <w14:solidFill>
              <w14:schemeClr w14:val="tx1"/>
            </w14:solidFill>
          </w14:textFill>
        </w:rPr>
        <w:t>：</w:t>
      </w:r>
      <w:r>
        <w:rPr>
          <w:rFonts w:hint="eastAsia" w:ascii="仿宋" w:hAnsi="仿宋" w:eastAsia="仿宋" w:cs="宋体"/>
          <w:color w:val="000000" w:themeColor="text1"/>
          <w:kern w:val="0"/>
          <w:sz w:val="24"/>
          <w:highlight w:val="none"/>
          <w:lang w:val="zh-CN" w:eastAsia="zh-CN"/>
          <w14:textFill>
            <w14:solidFill>
              <w14:schemeClr w14:val="tx1"/>
            </w14:solidFill>
          </w14:textFill>
        </w:rPr>
        <w:t>青海华茂工程项目管理有限公司</w:t>
      </w:r>
    </w:p>
    <w:p>
      <w:pPr>
        <w:autoSpaceDE w:val="0"/>
        <w:autoSpaceDN w:val="0"/>
        <w:adjustRightInd w:val="0"/>
        <w:spacing w:line="360" w:lineRule="auto"/>
        <w:ind w:firstLine="480" w:firstLineChars="20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为了诚实、客观、有序地参与青海省活动，愿就以下内容作出承诺：</w:t>
      </w:r>
    </w:p>
    <w:p>
      <w:pPr>
        <w:autoSpaceDE w:val="0"/>
        <w:autoSpaceDN w:val="0"/>
        <w:adjustRightInd w:val="0"/>
        <w:spacing w:line="360" w:lineRule="auto"/>
        <w:ind w:firstLine="48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一、自觉遵守各项法律、法规、规章、制度以及社会公德，维护廉洁环境，与同场竞争的投标人平等参加采购活动。</w:t>
      </w:r>
    </w:p>
    <w:p>
      <w:pPr>
        <w:autoSpaceDE w:val="0"/>
        <w:autoSpaceDN w:val="0"/>
        <w:adjustRightInd w:val="0"/>
        <w:spacing w:line="360" w:lineRule="auto"/>
        <w:ind w:firstLine="48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二、参加采购代理机构组织的采购活动时，严格按照询比采购文件的规定和要求提供所需的相关材料，并对所提供的各类资料的真实性负责，不虚假应标，不虚列业绩。</w:t>
      </w:r>
    </w:p>
    <w:p>
      <w:pPr>
        <w:autoSpaceDE w:val="0"/>
        <w:autoSpaceDN w:val="0"/>
        <w:adjustRightInd w:val="0"/>
        <w:spacing w:line="360" w:lineRule="auto"/>
        <w:ind w:firstLine="48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三、尊重参与采购活动各相关方的合法行为，接受采购活动依法形成的意见、结果。</w:t>
      </w:r>
    </w:p>
    <w:p>
      <w:pPr>
        <w:autoSpaceDE w:val="0"/>
        <w:autoSpaceDN w:val="0"/>
        <w:adjustRightInd w:val="0"/>
        <w:spacing w:line="360" w:lineRule="auto"/>
        <w:ind w:firstLine="48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四、依法参加采购活动，不围标、串标，维护市场秩序，不提供</w:t>
      </w:r>
      <w:r>
        <w:rPr>
          <w:rFonts w:ascii="仿宋" w:hAnsi="仿宋" w:eastAsia="仿宋" w:cs="宋体"/>
          <w:color w:val="000000" w:themeColor="text1"/>
          <w:kern w:val="0"/>
          <w:sz w:val="24"/>
          <w:highlight w:val="none"/>
          <w:lang w:val="zh-CN"/>
          <w14:textFill>
            <w14:solidFill>
              <w14:schemeClr w14:val="tx1"/>
            </w14:solidFill>
          </w14:textFill>
        </w:rPr>
        <w:t>“</w:t>
      </w:r>
      <w:r>
        <w:rPr>
          <w:rFonts w:hint="eastAsia" w:ascii="仿宋" w:hAnsi="仿宋" w:eastAsia="仿宋" w:cs="宋体"/>
          <w:color w:val="000000" w:themeColor="text1"/>
          <w:kern w:val="0"/>
          <w:sz w:val="24"/>
          <w:highlight w:val="none"/>
          <w:lang w:val="zh-CN"/>
          <w14:textFill>
            <w14:solidFill>
              <w14:schemeClr w14:val="tx1"/>
            </w14:solidFill>
          </w14:textFill>
        </w:rPr>
        <w:t>三无</w:t>
      </w:r>
      <w:r>
        <w:rPr>
          <w:rFonts w:ascii="仿宋" w:hAnsi="仿宋" w:eastAsia="仿宋" w:cs="宋体"/>
          <w:color w:val="000000" w:themeColor="text1"/>
          <w:kern w:val="0"/>
          <w:sz w:val="24"/>
          <w:highlight w:val="none"/>
          <w:lang w:val="zh-CN"/>
          <w14:textFill>
            <w14:solidFill>
              <w14:schemeClr w14:val="tx1"/>
            </w14:solidFill>
          </w14:textFill>
        </w:rPr>
        <w:t>”</w:t>
      </w:r>
      <w:r>
        <w:rPr>
          <w:rFonts w:hint="eastAsia" w:ascii="仿宋" w:hAnsi="仿宋" w:eastAsia="仿宋" w:cs="宋体"/>
          <w:color w:val="000000" w:themeColor="text1"/>
          <w:kern w:val="0"/>
          <w:sz w:val="24"/>
          <w:highlight w:val="none"/>
          <w:lang w:val="zh-CN"/>
          <w14:textFill>
            <w14:solidFill>
              <w14:schemeClr w14:val="tx1"/>
            </w14:solidFill>
          </w14:textFill>
        </w:rPr>
        <w:t>产品、以次充好。</w:t>
      </w:r>
    </w:p>
    <w:p>
      <w:pPr>
        <w:autoSpaceDE w:val="0"/>
        <w:autoSpaceDN w:val="0"/>
        <w:adjustRightInd w:val="0"/>
        <w:spacing w:line="360" w:lineRule="auto"/>
        <w:ind w:firstLine="48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五、积极推动采购活动健康开展，对采购活动有疑问、异议时，按法律规定的程序实名（加盖单位章和法定代表人签名）反映情况，不恶意中伤、无事生非，以和谐、平等的心态参加采购活动。</w:t>
      </w:r>
    </w:p>
    <w:p>
      <w:pPr>
        <w:autoSpaceDE w:val="0"/>
        <w:autoSpaceDN w:val="0"/>
        <w:adjustRightInd w:val="0"/>
        <w:spacing w:line="360" w:lineRule="auto"/>
        <w:ind w:firstLine="48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六、认真履行中标人应承担的责任和义务，全面执行采购合同规定的各项内容，保质保量地按时提供采购物品。</w:t>
      </w:r>
    </w:p>
    <w:p>
      <w:pPr>
        <w:autoSpaceDE w:val="0"/>
        <w:autoSpaceDN w:val="0"/>
        <w:adjustRightInd w:val="0"/>
        <w:spacing w:line="360" w:lineRule="auto"/>
        <w:ind w:firstLine="480" w:firstLineChars="20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若本企业（单位）发生有悖于上述承诺的行为，愿意接受《青海省非招标方式招标采购代理规范的通知》中对投标人的相关处理。</w:t>
      </w:r>
    </w:p>
    <w:p>
      <w:pPr>
        <w:autoSpaceDE w:val="0"/>
        <w:autoSpaceDN w:val="0"/>
        <w:adjustRightInd w:val="0"/>
        <w:spacing w:line="360" w:lineRule="auto"/>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本承诺是采购项目响应文件的组成部分。</w:t>
      </w:r>
    </w:p>
    <w:p>
      <w:pPr>
        <w:autoSpaceDE w:val="0"/>
        <w:autoSpaceDN w:val="0"/>
        <w:adjustRightInd w:val="0"/>
        <w:spacing w:line="360" w:lineRule="auto"/>
        <w:rPr>
          <w:rFonts w:ascii="仿宋" w:hAnsi="仿宋" w:eastAsia="仿宋" w:cs="宋体"/>
          <w:color w:val="000000" w:themeColor="text1"/>
          <w:kern w:val="0"/>
          <w:sz w:val="24"/>
          <w:highlight w:val="none"/>
          <w:lang w:val="zh-CN"/>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lang w:eastAsia="zh-CN"/>
          <w14:textFill>
            <w14:solidFill>
              <w14:schemeClr w14:val="tx1"/>
            </w14:solidFill>
          </w14:textFill>
        </w:rPr>
        <w:t>投标人</w:t>
      </w:r>
      <w:r>
        <w:rPr>
          <w:rFonts w:hint="eastAsia" w:ascii="仿宋" w:hAnsi="仿宋" w:eastAsia="仿宋" w:cs="宋体"/>
          <w:b/>
          <w:bCs/>
          <w:color w:val="000000" w:themeColor="text1"/>
          <w:sz w:val="24"/>
          <w:szCs w:val="24"/>
          <w:highlight w:val="none"/>
          <w14:textFill>
            <w14:solidFill>
              <w14:schemeClr w14:val="tx1"/>
            </w14:solidFill>
          </w14:textFill>
        </w:rPr>
        <w:t>名称：（公章）</w:t>
      </w:r>
    </w:p>
    <w:p>
      <w:pPr>
        <w:adjustRightInd w:val="0"/>
        <w:spacing w:line="360" w:lineRule="auto"/>
        <w:jc w:val="center"/>
        <w:textAlignment w:val="baseline"/>
        <w:rPr>
          <w:rFonts w:ascii="仿宋" w:hAnsi="仿宋" w:eastAsia="仿宋"/>
          <w:b/>
          <w:bCs/>
          <w:color w:val="000000" w:themeColor="text1"/>
          <w:sz w:val="24"/>
          <w:szCs w:val="24"/>
          <w:highlight w:val="none"/>
          <w:u w:val="single"/>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法人代表或授权代表：（签字或盖章）</w:t>
      </w:r>
    </w:p>
    <w:p>
      <w:pPr>
        <w:spacing w:line="360" w:lineRule="auto"/>
        <w:ind w:firstLine="201" w:firstLineChars="200"/>
        <w:jc w:val="center"/>
        <w:rPr>
          <w:rFonts w:ascii="仿宋" w:hAnsi="仿宋" w:eastAsia="仿宋" w:cs="宋体"/>
          <w:b/>
          <w:bCs/>
          <w:color w:val="000000" w:themeColor="text1"/>
          <w:sz w:val="10"/>
          <w:szCs w:val="10"/>
          <w:highlight w:val="none"/>
          <w14:textFill>
            <w14:solidFill>
              <w14:schemeClr w14:val="tx1"/>
            </w14:solidFill>
          </w14:textFill>
        </w:rPr>
      </w:pPr>
    </w:p>
    <w:p>
      <w:pPr>
        <w:spacing w:line="360" w:lineRule="auto"/>
        <w:jc w:val="center"/>
        <w:rPr>
          <w:rFonts w:ascii="仿宋" w:hAnsi="仿宋" w:eastAsia="仿宋"/>
          <w:b/>
          <w:color w:val="000000" w:themeColor="text1"/>
          <w:sz w:val="24"/>
          <w:highlight w:val="none"/>
          <w14:textFill>
            <w14:solidFill>
              <w14:schemeClr w14:val="tx1"/>
            </w14:solidFill>
          </w14:textFill>
        </w:rPr>
      </w:pPr>
      <w:r>
        <w:rPr>
          <w:rFonts w:ascii="仿宋" w:hAnsi="仿宋" w:eastAsia="仿宋"/>
          <w:b/>
          <w:color w:val="000000" w:themeColor="text1"/>
          <w:sz w:val="24"/>
          <w:highlight w:val="none"/>
          <w14:textFill>
            <w14:solidFill>
              <w14:schemeClr w14:val="tx1"/>
            </w14:solidFill>
          </w14:textFill>
        </w:rPr>
        <w:t>年月日</w:t>
      </w:r>
    </w:p>
    <w:p>
      <w:pPr>
        <w:pStyle w:val="2"/>
        <w:rPr>
          <w:rFonts w:ascii="仿宋" w:hAnsi="仿宋" w:eastAsia="仿宋"/>
          <w:b/>
          <w:color w:val="000000" w:themeColor="text1"/>
          <w:sz w:val="24"/>
          <w:highlight w:val="none"/>
          <w14:textFill>
            <w14:solidFill>
              <w14:schemeClr w14:val="tx1"/>
            </w14:solidFill>
          </w14:textFill>
        </w:rPr>
      </w:pPr>
    </w:p>
    <w:p>
      <w:pPr>
        <w:pStyle w:val="48"/>
        <w:rPr>
          <w:rFonts w:ascii="仿宋" w:hAnsi="仿宋" w:eastAsia="仿宋"/>
          <w:b/>
          <w:color w:val="000000" w:themeColor="text1"/>
          <w:sz w:val="24"/>
          <w:highlight w:val="none"/>
          <w14:textFill>
            <w14:solidFill>
              <w14:schemeClr w14:val="tx1"/>
            </w14:solidFill>
          </w14:textFill>
        </w:rPr>
      </w:pPr>
    </w:p>
    <w:p>
      <w:pPr>
        <w:pStyle w:val="3"/>
        <w:rPr>
          <w:rFonts w:ascii="仿宋" w:hAnsi="仿宋" w:eastAsia="仿宋"/>
          <w:b/>
          <w:color w:val="000000" w:themeColor="text1"/>
          <w:sz w:val="24"/>
          <w:highlight w:val="none"/>
          <w14:textFill>
            <w14:solidFill>
              <w14:schemeClr w14:val="tx1"/>
            </w14:solidFill>
          </w14:textFill>
        </w:rPr>
      </w:pPr>
    </w:p>
    <w:p>
      <w:pPr>
        <w:pStyle w:val="47"/>
        <w:rPr>
          <w:rFonts w:ascii="仿宋" w:hAnsi="仿宋" w:eastAsia="仿宋"/>
          <w:b/>
          <w:color w:val="000000" w:themeColor="text1"/>
          <w:sz w:val="24"/>
          <w:highlight w:val="none"/>
          <w14:textFill>
            <w14:solidFill>
              <w14:schemeClr w14:val="tx1"/>
            </w14:solidFill>
          </w14:textFill>
        </w:rPr>
      </w:pPr>
    </w:p>
    <w:p>
      <w:pPr>
        <w:pStyle w:val="47"/>
        <w:rPr>
          <w:rFonts w:ascii="仿宋" w:hAnsi="仿宋" w:eastAsia="仿宋"/>
          <w:b/>
          <w:color w:val="000000" w:themeColor="text1"/>
          <w:sz w:val="24"/>
          <w:highlight w:val="none"/>
          <w14:textFill>
            <w14:solidFill>
              <w14:schemeClr w14:val="tx1"/>
            </w14:solidFill>
          </w14:textFill>
        </w:rPr>
      </w:pPr>
    </w:p>
    <w:p>
      <w:pPr>
        <w:pStyle w:val="47"/>
        <w:rPr>
          <w:rFonts w:ascii="仿宋" w:hAnsi="仿宋" w:eastAsia="仿宋"/>
          <w:b/>
          <w:color w:val="000000" w:themeColor="text1"/>
          <w:sz w:val="24"/>
          <w:highlight w:val="none"/>
          <w14:textFill>
            <w14:solidFill>
              <w14:schemeClr w14:val="tx1"/>
            </w14:solidFill>
          </w14:textFill>
        </w:rPr>
      </w:pPr>
    </w:p>
    <w:p>
      <w:pPr>
        <w:spacing w:before="1"/>
        <w:ind w:right="0"/>
        <w:jc w:val="left"/>
        <w:rPr>
          <w:rFonts w:hint="eastAsia" w:ascii="仿宋" w:hAnsi="仿宋" w:eastAsia="仿宋" w:cs="宋体"/>
          <w:b/>
          <w:bCs/>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宋体"/>
          <w:b/>
          <w:bCs/>
          <w:color w:val="000000" w:themeColor="text1"/>
          <w:kern w:val="0"/>
          <w:sz w:val="24"/>
          <w:szCs w:val="24"/>
          <w:highlight w:val="none"/>
          <w:lang w:val="en-US" w:eastAsia="zh-CN" w:bidi="ar-SA"/>
          <w14:textFill>
            <w14:solidFill>
              <w14:schemeClr w14:val="tx1"/>
            </w14:solidFill>
          </w14:textFill>
        </w:rPr>
        <w:t>六、施工组织设计方案</w:t>
      </w:r>
    </w:p>
    <w:p>
      <w:pPr>
        <w:pStyle w:val="2"/>
        <w:rPr>
          <w:b/>
          <w:sz w:val="20"/>
        </w:rPr>
      </w:pPr>
    </w:p>
    <w:p>
      <w:pPr>
        <w:spacing w:before="144"/>
        <w:ind w:left="291" w:right="506" w:firstLine="0"/>
        <w:jc w:val="center"/>
        <w:rPr>
          <w:b/>
          <w:sz w:val="36"/>
        </w:rPr>
      </w:pPr>
      <w:r>
        <w:rPr>
          <w:b/>
          <w:sz w:val="32"/>
          <w:szCs w:val="32"/>
        </w:rPr>
        <w:t>施工组织设计方案</w:t>
      </w:r>
    </w:p>
    <w:p>
      <w:pPr>
        <w:pStyle w:val="2"/>
        <w:spacing w:before="11"/>
        <w:rPr>
          <w:b/>
          <w:sz w:val="29"/>
        </w:rPr>
      </w:pPr>
    </w:p>
    <w:p>
      <w:pPr>
        <w:pStyle w:val="2"/>
        <w:spacing w:before="1" w:line="355" w:lineRule="auto"/>
        <w:ind w:left="119" w:right="108" w:firstLine="480"/>
        <w:rPr>
          <w:sz w:val="18"/>
          <w:szCs w:val="18"/>
        </w:rPr>
      </w:pPr>
      <w:r>
        <w:t>1、</w:t>
      </w:r>
      <w:r>
        <w:rPr>
          <w:rFonts w:hint="eastAsia"/>
          <w:sz w:val="18"/>
          <w:szCs w:val="18"/>
          <w:lang w:eastAsia="zh-CN"/>
        </w:rPr>
        <w:t>投标人</w:t>
      </w:r>
      <w:r>
        <w:rPr>
          <w:sz w:val="18"/>
          <w:szCs w:val="18"/>
        </w:rPr>
        <w:t>编制施工组织设计的要求：编制时应简明扼要地说明施工方法、工程质量、安全生产、文明施工、环境保护、工程进度、技术组织等主要措施。用图表形式阐明本项目的施工总平面图、</w:t>
      </w:r>
    </w:p>
    <w:p>
      <w:pPr>
        <w:pStyle w:val="2"/>
        <w:spacing w:before="38"/>
        <w:ind w:left="119"/>
        <w:rPr>
          <w:sz w:val="18"/>
          <w:szCs w:val="18"/>
        </w:rPr>
      </w:pPr>
      <w:r>
        <w:rPr>
          <w:sz w:val="18"/>
          <w:szCs w:val="18"/>
        </w:rPr>
        <w:t>进度计划以及拟投入主要施工设备、劳动力、项目管理机构等。</w:t>
      </w:r>
    </w:p>
    <w:p>
      <w:pPr>
        <w:pStyle w:val="2"/>
        <w:spacing w:before="151"/>
        <w:ind w:left="599"/>
        <w:rPr>
          <w:sz w:val="18"/>
          <w:szCs w:val="18"/>
        </w:rPr>
      </w:pPr>
      <w:r>
        <w:rPr>
          <w:sz w:val="18"/>
          <w:szCs w:val="18"/>
        </w:rPr>
        <w:t>2、附图表及格式要求：</w:t>
      </w:r>
    </w:p>
    <w:p>
      <w:pPr>
        <w:pStyle w:val="2"/>
        <w:spacing w:before="154"/>
        <w:ind w:left="599"/>
        <w:rPr>
          <w:sz w:val="18"/>
          <w:szCs w:val="18"/>
        </w:rPr>
      </w:pPr>
      <w:r>
        <w:rPr>
          <w:sz w:val="18"/>
          <w:szCs w:val="18"/>
        </w:rPr>
        <w:t>（一）拟投入的主要施工设备表</w:t>
      </w:r>
    </w:p>
    <w:p>
      <w:pPr>
        <w:pStyle w:val="2"/>
        <w:spacing w:before="151"/>
        <w:ind w:left="599"/>
        <w:rPr>
          <w:sz w:val="18"/>
          <w:szCs w:val="18"/>
        </w:rPr>
      </w:pPr>
      <w:r>
        <w:rPr>
          <w:sz w:val="18"/>
          <w:szCs w:val="18"/>
        </w:rPr>
        <w:t>（二）劳动力计划表</w:t>
      </w:r>
    </w:p>
    <w:p>
      <w:pPr>
        <w:pStyle w:val="2"/>
        <w:spacing w:before="154"/>
        <w:ind w:left="599"/>
        <w:rPr>
          <w:sz w:val="18"/>
          <w:szCs w:val="18"/>
        </w:rPr>
      </w:pPr>
      <w:r>
        <w:rPr>
          <w:sz w:val="18"/>
          <w:szCs w:val="18"/>
        </w:rPr>
        <w:t>（三）进度计划</w:t>
      </w:r>
    </w:p>
    <w:p>
      <w:pPr>
        <w:pStyle w:val="2"/>
        <w:spacing w:before="89"/>
        <w:ind w:left="599"/>
        <w:rPr>
          <w:sz w:val="18"/>
          <w:szCs w:val="18"/>
        </w:rPr>
      </w:pPr>
      <w:bookmarkStart w:id="615" w:name="（四）施工总平面图"/>
      <w:bookmarkEnd w:id="615"/>
      <w:r>
        <w:rPr>
          <w:sz w:val="18"/>
          <w:szCs w:val="18"/>
        </w:rPr>
        <w:t>（四）施工总平面图</w:t>
      </w:r>
    </w:p>
    <w:p>
      <w:pPr>
        <w:spacing w:before="15"/>
        <w:ind w:left="119" w:right="0" w:firstLine="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t>（一）拟投入本项目的主要施工设备表</w:t>
      </w:r>
    </w:p>
    <w:tbl>
      <w:tblPr>
        <w:tblStyle w:val="25"/>
        <w:tblW w:w="0" w:type="auto"/>
        <w:tblInd w:w="7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7"/>
        <w:gridCol w:w="2221"/>
        <w:gridCol w:w="810"/>
        <w:gridCol w:w="560"/>
        <w:gridCol w:w="700"/>
        <w:gridCol w:w="700"/>
        <w:gridCol w:w="1120"/>
        <w:gridCol w:w="700"/>
        <w:gridCol w:w="980"/>
        <w:gridCol w:w="7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6" w:hRule="exact"/>
        </w:trPr>
        <w:tc>
          <w:tcPr>
            <w:tcW w:w="577" w:type="dxa"/>
          </w:tcPr>
          <w:p>
            <w:pPr>
              <w:pStyle w:val="116"/>
              <w:spacing w:before="84" w:line="310" w:lineRule="exact"/>
              <w:ind w:left="164" w:right="161"/>
              <w:rPr>
                <w:sz w:val="24"/>
              </w:rPr>
            </w:pPr>
            <w:r>
              <w:rPr>
                <w:sz w:val="24"/>
              </w:rPr>
              <w:t>序号</w:t>
            </w:r>
          </w:p>
        </w:tc>
        <w:tc>
          <w:tcPr>
            <w:tcW w:w="2221" w:type="dxa"/>
          </w:tcPr>
          <w:p>
            <w:pPr>
              <w:pStyle w:val="116"/>
              <w:spacing w:before="208"/>
              <w:ind w:left="626"/>
              <w:rPr>
                <w:sz w:val="24"/>
              </w:rPr>
            </w:pPr>
            <w:r>
              <w:rPr>
                <w:sz w:val="24"/>
              </w:rPr>
              <w:t>设备名称</w:t>
            </w:r>
          </w:p>
        </w:tc>
        <w:tc>
          <w:tcPr>
            <w:tcW w:w="810" w:type="dxa"/>
          </w:tcPr>
          <w:p>
            <w:pPr>
              <w:pStyle w:val="116"/>
              <w:spacing w:before="84" w:line="310" w:lineRule="exact"/>
              <w:ind w:left="159" w:right="158"/>
              <w:rPr>
                <w:sz w:val="24"/>
              </w:rPr>
            </w:pPr>
            <w:r>
              <w:rPr>
                <w:sz w:val="24"/>
              </w:rPr>
              <w:t>型号规格</w:t>
            </w:r>
          </w:p>
        </w:tc>
        <w:tc>
          <w:tcPr>
            <w:tcW w:w="560" w:type="dxa"/>
          </w:tcPr>
          <w:p>
            <w:pPr>
              <w:pStyle w:val="116"/>
              <w:spacing w:before="84" w:line="310" w:lineRule="exact"/>
              <w:ind w:left="155" w:right="152"/>
              <w:rPr>
                <w:sz w:val="24"/>
              </w:rPr>
            </w:pPr>
            <w:r>
              <w:rPr>
                <w:sz w:val="24"/>
              </w:rPr>
              <w:t>数量</w:t>
            </w:r>
          </w:p>
        </w:tc>
        <w:tc>
          <w:tcPr>
            <w:tcW w:w="700" w:type="dxa"/>
          </w:tcPr>
          <w:p>
            <w:pPr>
              <w:pStyle w:val="116"/>
              <w:spacing w:before="84" w:line="310" w:lineRule="exact"/>
              <w:ind w:left="104" w:right="103"/>
              <w:rPr>
                <w:sz w:val="24"/>
              </w:rPr>
            </w:pPr>
            <w:r>
              <w:rPr>
                <w:sz w:val="24"/>
              </w:rPr>
              <w:t>国别产地</w:t>
            </w:r>
          </w:p>
        </w:tc>
        <w:tc>
          <w:tcPr>
            <w:tcW w:w="700" w:type="dxa"/>
          </w:tcPr>
          <w:p>
            <w:pPr>
              <w:pStyle w:val="116"/>
              <w:spacing w:before="84" w:line="310" w:lineRule="exact"/>
              <w:ind w:left="105" w:right="102"/>
              <w:rPr>
                <w:sz w:val="24"/>
              </w:rPr>
            </w:pPr>
            <w:r>
              <w:rPr>
                <w:sz w:val="24"/>
              </w:rPr>
              <w:t>制造年份</w:t>
            </w:r>
          </w:p>
        </w:tc>
        <w:tc>
          <w:tcPr>
            <w:tcW w:w="1120" w:type="dxa"/>
          </w:tcPr>
          <w:p>
            <w:pPr>
              <w:pStyle w:val="116"/>
              <w:spacing w:before="52" w:line="312" w:lineRule="exact"/>
              <w:ind w:left="55" w:right="55"/>
              <w:jc w:val="center"/>
              <w:rPr>
                <w:sz w:val="24"/>
              </w:rPr>
            </w:pPr>
            <w:r>
              <w:rPr>
                <w:sz w:val="24"/>
              </w:rPr>
              <w:t>定额功率</w:t>
            </w:r>
          </w:p>
          <w:p>
            <w:pPr>
              <w:pStyle w:val="116"/>
              <w:spacing w:line="312" w:lineRule="exact"/>
              <w:ind w:left="55" w:right="55"/>
              <w:jc w:val="center"/>
              <w:rPr>
                <w:sz w:val="24"/>
              </w:rPr>
            </w:pPr>
            <w:r>
              <w:rPr>
                <w:sz w:val="24"/>
              </w:rPr>
              <w:t>（KW）</w:t>
            </w:r>
          </w:p>
        </w:tc>
        <w:tc>
          <w:tcPr>
            <w:tcW w:w="700" w:type="dxa"/>
          </w:tcPr>
          <w:p>
            <w:pPr>
              <w:pStyle w:val="116"/>
              <w:spacing w:before="84" w:line="310" w:lineRule="exact"/>
              <w:ind w:left="104" w:right="103"/>
              <w:rPr>
                <w:sz w:val="24"/>
              </w:rPr>
            </w:pPr>
            <w:r>
              <w:rPr>
                <w:sz w:val="24"/>
              </w:rPr>
              <w:t>生产能力</w:t>
            </w:r>
          </w:p>
        </w:tc>
        <w:tc>
          <w:tcPr>
            <w:tcW w:w="980" w:type="dxa"/>
          </w:tcPr>
          <w:p>
            <w:pPr>
              <w:pStyle w:val="116"/>
              <w:spacing w:before="84" w:line="310" w:lineRule="exact"/>
              <w:ind w:left="124" w:right="123"/>
              <w:rPr>
                <w:sz w:val="24"/>
              </w:rPr>
            </w:pPr>
            <w:r>
              <w:rPr>
                <w:sz w:val="24"/>
              </w:rPr>
              <w:t>用于施工部位</w:t>
            </w:r>
          </w:p>
        </w:tc>
        <w:tc>
          <w:tcPr>
            <w:tcW w:w="722" w:type="dxa"/>
          </w:tcPr>
          <w:p>
            <w:pPr>
              <w:pStyle w:val="116"/>
              <w:spacing w:before="208"/>
              <w:ind w:left="116"/>
              <w:rPr>
                <w:sz w:val="24"/>
              </w:rPr>
            </w:pPr>
            <w:r>
              <w:rPr>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exact"/>
        </w:trPr>
        <w:tc>
          <w:tcPr>
            <w:tcW w:w="577" w:type="dxa"/>
          </w:tcPr>
          <w:p/>
        </w:tc>
        <w:tc>
          <w:tcPr>
            <w:tcW w:w="2221" w:type="dxa"/>
          </w:tcPr>
          <w:p/>
        </w:tc>
        <w:tc>
          <w:tcPr>
            <w:tcW w:w="810" w:type="dxa"/>
          </w:tcPr>
          <w:p/>
        </w:tc>
        <w:tc>
          <w:tcPr>
            <w:tcW w:w="560" w:type="dxa"/>
          </w:tcPr>
          <w:p/>
        </w:tc>
        <w:tc>
          <w:tcPr>
            <w:tcW w:w="700" w:type="dxa"/>
          </w:tcPr>
          <w:p/>
        </w:tc>
        <w:tc>
          <w:tcPr>
            <w:tcW w:w="700" w:type="dxa"/>
          </w:tcPr>
          <w:p/>
        </w:tc>
        <w:tc>
          <w:tcPr>
            <w:tcW w:w="1120" w:type="dxa"/>
          </w:tcPr>
          <w:p/>
        </w:tc>
        <w:tc>
          <w:tcPr>
            <w:tcW w:w="700" w:type="dxa"/>
          </w:tcPr>
          <w:p/>
        </w:tc>
        <w:tc>
          <w:tcPr>
            <w:tcW w:w="980" w:type="dxa"/>
          </w:tcPr>
          <w:p/>
        </w:tc>
        <w:tc>
          <w:tcPr>
            <w:tcW w:w="722"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exact"/>
        </w:trPr>
        <w:tc>
          <w:tcPr>
            <w:tcW w:w="577" w:type="dxa"/>
          </w:tcPr>
          <w:p/>
        </w:tc>
        <w:tc>
          <w:tcPr>
            <w:tcW w:w="2221" w:type="dxa"/>
          </w:tcPr>
          <w:p/>
        </w:tc>
        <w:tc>
          <w:tcPr>
            <w:tcW w:w="810" w:type="dxa"/>
          </w:tcPr>
          <w:p/>
        </w:tc>
        <w:tc>
          <w:tcPr>
            <w:tcW w:w="560" w:type="dxa"/>
          </w:tcPr>
          <w:p/>
        </w:tc>
        <w:tc>
          <w:tcPr>
            <w:tcW w:w="700" w:type="dxa"/>
          </w:tcPr>
          <w:p/>
        </w:tc>
        <w:tc>
          <w:tcPr>
            <w:tcW w:w="700" w:type="dxa"/>
          </w:tcPr>
          <w:p/>
        </w:tc>
        <w:tc>
          <w:tcPr>
            <w:tcW w:w="1120" w:type="dxa"/>
          </w:tcPr>
          <w:p/>
        </w:tc>
        <w:tc>
          <w:tcPr>
            <w:tcW w:w="700" w:type="dxa"/>
          </w:tcPr>
          <w:p/>
        </w:tc>
        <w:tc>
          <w:tcPr>
            <w:tcW w:w="980" w:type="dxa"/>
          </w:tcPr>
          <w:p/>
        </w:tc>
        <w:tc>
          <w:tcPr>
            <w:tcW w:w="722"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exact"/>
        </w:trPr>
        <w:tc>
          <w:tcPr>
            <w:tcW w:w="577" w:type="dxa"/>
          </w:tcPr>
          <w:p>
            <w:pPr>
              <w:pStyle w:val="116"/>
              <w:spacing w:before="12"/>
              <w:ind w:left="104"/>
              <w:rPr>
                <w:sz w:val="24"/>
              </w:rPr>
            </w:pPr>
            <w:r>
              <w:rPr>
                <w:sz w:val="24"/>
              </w:rPr>
              <w:t>…</w:t>
            </w:r>
          </w:p>
        </w:tc>
        <w:tc>
          <w:tcPr>
            <w:tcW w:w="2221" w:type="dxa"/>
          </w:tcPr>
          <w:p/>
        </w:tc>
        <w:tc>
          <w:tcPr>
            <w:tcW w:w="810" w:type="dxa"/>
          </w:tcPr>
          <w:p/>
        </w:tc>
        <w:tc>
          <w:tcPr>
            <w:tcW w:w="560" w:type="dxa"/>
          </w:tcPr>
          <w:p/>
        </w:tc>
        <w:tc>
          <w:tcPr>
            <w:tcW w:w="700" w:type="dxa"/>
          </w:tcPr>
          <w:p/>
        </w:tc>
        <w:tc>
          <w:tcPr>
            <w:tcW w:w="700" w:type="dxa"/>
          </w:tcPr>
          <w:p/>
        </w:tc>
        <w:tc>
          <w:tcPr>
            <w:tcW w:w="1120" w:type="dxa"/>
          </w:tcPr>
          <w:p/>
        </w:tc>
        <w:tc>
          <w:tcPr>
            <w:tcW w:w="700" w:type="dxa"/>
          </w:tcPr>
          <w:p/>
        </w:tc>
        <w:tc>
          <w:tcPr>
            <w:tcW w:w="980" w:type="dxa"/>
          </w:tcPr>
          <w:p/>
        </w:tc>
        <w:tc>
          <w:tcPr>
            <w:tcW w:w="722" w:type="dxa"/>
          </w:tcPr>
          <w:p/>
        </w:tc>
      </w:tr>
    </w:tbl>
    <w:p>
      <w:pPr>
        <w:spacing w:before="15"/>
        <w:ind w:left="119" w:right="0" w:firstLine="0"/>
        <w:jc w:val="left"/>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（二）劳动力计划表</w:t>
      </w:r>
    </w:p>
    <w:tbl>
      <w:tblPr>
        <w:tblStyle w:val="25"/>
        <w:tblpPr w:leftFromText="180" w:rightFromText="180" w:vertAnchor="text" w:horzAnchor="page" w:tblpX="1369" w:tblpY="198"/>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91"/>
        <w:gridCol w:w="1064"/>
        <w:gridCol w:w="1171"/>
        <w:gridCol w:w="1171"/>
        <w:gridCol w:w="1064"/>
        <w:gridCol w:w="959"/>
        <w:gridCol w:w="959"/>
        <w:gridCol w:w="13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exact"/>
        </w:trPr>
        <w:tc>
          <w:tcPr>
            <w:tcW w:w="1491" w:type="dxa"/>
            <w:vMerge w:val="restart"/>
          </w:tcPr>
          <w:p>
            <w:pPr>
              <w:pStyle w:val="116"/>
              <w:rPr>
                <w:b/>
                <w:sz w:val="24"/>
              </w:rPr>
            </w:pPr>
          </w:p>
          <w:p>
            <w:pPr>
              <w:pStyle w:val="116"/>
              <w:spacing w:before="172"/>
              <w:ind w:left="479" w:right="479"/>
              <w:jc w:val="center"/>
              <w:rPr>
                <w:b/>
                <w:sz w:val="24"/>
              </w:rPr>
            </w:pPr>
            <w:r>
              <w:rPr>
                <w:b/>
                <w:sz w:val="24"/>
              </w:rPr>
              <w:t>工种</w:t>
            </w:r>
          </w:p>
        </w:tc>
        <w:tc>
          <w:tcPr>
            <w:tcW w:w="7723" w:type="dxa"/>
            <w:gridSpan w:val="7"/>
          </w:tcPr>
          <w:p>
            <w:pPr>
              <w:pStyle w:val="116"/>
              <w:spacing w:before="133"/>
              <w:ind w:left="2176"/>
              <w:rPr>
                <w:b/>
                <w:sz w:val="24"/>
              </w:rPr>
            </w:pPr>
            <w:r>
              <w:rPr>
                <w:b/>
                <w:sz w:val="24"/>
              </w:rPr>
              <w:t>按工程施工阶段投入劳动力情况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491" w:type="dxa"/>
            <w:vMerge w:val="continue"/>
          </w:tcPr>
          <w:p/>
        </w:tc>
        <w:tc>
          <w:tcPr>
            <w:tcW w:w="1064" w:type="dxa"/>
          </w:tcPr>
          <w:p/>
        </w:tc>
        <w:tc>
          <w:tcPr>
            <w:tcW w:w="1171" w:type="dxa"/>
          </w:tcPr>
          <w:p/>
        </w:tc>
        <w:tc>
          <w:tcPr>
            <w:tcW w:w="1171" w:type="dxa"/>
          </w:tcPr>
          <w:p/>
        </w:tc>
        <w:tc>
          <w:tcPr>
            <w:tcW w:w="1064" w:type="dxa"/>
          </w:tcPr>
          <w:p/>
        </w:tc>
        <w:tc>
          <w:tcPr>
            <w:tcW w:w="959" w:type="dxa"/>
          </w:tcPr>
          <w:p/>
        </w:tc>
        <w:tc>
          <w:tcPr>
            <w:tcW w:w="959" w:type="dxa"/>
          </w:tcPr>
          <w:p/>
        </w:tc>
        <w:tc>
          <w:tcPr>
            <w:tcW w:w="1335"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exact"/>
        </w:trPr>
        <w:tc>
          <w:tcPr>
            <w:tcW w:w="1491" w:type="dxa"/>
          </w:tcPr>
          <w:p/>
        </w:tc>
        <w:tc>
          <w:tcPr>
            <w:tcW w:w="1064" w:type="dxa"/>
          </w:tcPr>
          <w:p/>
        </w:tc>
        <w:tc>
          <w:tcPr>
            <w:tcW w:w="1171" w:type="dxa"/>
          </w:tcPr>
          <w:p/>
        </w:tc>
        <w:tc>
          <w:tcPr>
            <w:tcW w:w="1171" w:type="dxa"/>
          </w:tcPr>
          <w:p/>
        </w:tc>
        <w:tc>
          <w:tcPr>
            <w:tcW w:w="1064" w:type="dxa"/>
          </w:tcPr>
          <w:p/>
        </w:tc>
        <w:tc>
          <w:tcPr>
            <w:tcW w:w="959" w:type="dxa"/>
          </w:tcPr>
          <w:p/>
        </w:tc>
        <w:tc>
          <w:tcPr>
            <w:tcW w:w="959" w:type="dxa"/>
          </w:tcPr>
          <w:p/>
        </w:tc>
        <w:tc>
          <w:tcPr>
            <w:tcW w:w="1335"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exact"/>
        </w:trPr>
        <w:tc>
          <w:tcPr>
            <w:tcW w:w="1491" w:type="dxa"/>
          </w:tcPr>
          <w:p/>
        </w:tc>
        <w:tc>
          <w:tcPr>
            <w:tcW w:w="1064" w:type="dxa"/>
          </w:tcPr>
          <w:p/>
        </w:tc>
        <w:tc>
          <w:tcPr>
            <w:tcW w:w="1171" w:type="dxa"/>
          </w:tcPr>
          <w:p/>
        </w:tc>
        <w:tc>
          <w:tcPr>
            <w:tcW w:w="1171" w:type="dxa"/>
          </w:tcPr>
          <w:p/>
        </w:tc>
        <w:tc>
          <w:tcPr>
            <w:tcW w:w="1064" w:type="dxa"/>
          </w:tcPr>
          <w:p/>
        </w:tc>
        <w:tc>
          <w:tcPr>
            <w:tcW w:w="959" w:type="dxa"/>
          </w:tcPr>
          <w:p/>
        </w:tc>
        <w:tc>
          <w:tcPr>
            <w:tcW w:w="959" w:type="dxa"/>
          </w:tcPr>
          <w:p/>
        </w:tc>
        <w:tc>
          <w:tcPr>
            <w:tcW w:w="1335" w:type="dxa"/>
          </w:tcPr>
          <w:p/>
        </w:tc>
      </w:tr>
    </w:tbl>
    <w:p>
      <w:pPr>
        <w:spacing w:before="15"/>
        <w:ind w:left="119" w:right="0" w:firstLine="0"/>
        <w:jc w:val="left"/>
        <w:rPr>
          <w:lang w:val="en-US" w:eastAsia="zh-CN"/>
        </w:rPr>
      </w:pPr>
    </w:p>
    <w:p>
      <w:pPr>
        <w:pStyle w:val="2"/>
        <w:rPr>
          <w:b/>
          <w:sz w:val="17"/>
        </w:rPr>
      </w:pPr>
    </w:p>
    <w:p>
      <w:pPr>
        <w:pStyle w:val="48"/>
      </w:pPr>
    </w:p>
    <w:p>
      <w:pPr>
        <w:pStyle w:val="47"/>
        <w:rPr>
          <w:rFonts w:ascii="仿宋" w:hAnsi="仿宋" w:eastAsia="仿宋"/>
          <w:b/>
          <w:color w:val="000000" w:themeColor="text1"/>
          <w:sz w:val="24"/>
          <w:highlight w:val="none"/>
          <w14:textFill>
            <w14:solidFill>
              <w14:schemeClr w14:val="tx1"/>
            </w14:solidFill>
          </w14:textFill>
        </w:rPr>
      </w:pPr>
    </w:p>
    <w:p>
      <w:pPr>
        <w:spacing w:before="15"/>
        <w:ind w:left="119" w:right="0" w:firstLine="0"/>
        <w:jc w:val="left"/>
        <w:rPr>
          <w:rFonts w:ascii="Times New Roman" w:hAnsi="Times New Roman" w:eastAsia="宋体" w:cs="Times New Roman"/>
          <w:kern w:val="2"/>
          <w:sz w:val="21"/>
          <w:szCs w:val="21"/>
          <w:lang w:val="en-US" w:eastAsia="zh-CN" w:bidi="ar-SA"/>
        </w:rPr>
      </w:pPr>
    </w:p>
    <w:p>
      <w:pPr>
        <w:spacing w:before="15"/>
        <w:ind w:left="119" w:right="0" w:firstLine="0"/>
        <w:jc w:val="left"/>
        <w:rPr>
          <w:rFonts w:ascii="Times New Roman" w:hAnsi="Times New Roman" w:eastAsia="宋体" w:cs="Times New Roman"/>
          <w:kern w:val="2"/>
          <w:sz w:val="21"/>
          <w:szCs w:val="21"/>
          <w:lang w:val="en-US" w:eastAsia="zh-CN" w:bidi="ar-SA"/>
        </w:rPr>
      </w:pPr>
    </w:p>
    <w:p>
      <w:pPr>
        <w:spacing w:before="15"/>
        <w:ind w:left="119" w:right="0" w:firstLine="0"/>
        <w:jc w:val="left"/>
        <w:rPr>
          <w:rFonts w:ascii="Times New Roman" w:hAnsi="Times New Roman" w:eastAsia="宋体" w:cs="Times New Roman"/>
          <w:kern w:val="2"/>
          <w:sz w:val="21"/>
          <w:szCs w:val="21"/>
          <w:lang w:val="en-US" w:eastAsia="zh-CN" w:bidi="ar-SA"/>
        </w:rPr>
      </w:pPr>
    </w:p>
    <w:p>
      <w:pPr>
        <w:spacing w:before="15"/>
        <w:ind w:left="119" w:right="0" w:firstLine="0"/>
        <w:jc w:val="left"/>
        <w:rPr>
          <w:rFonts w:ascii="Times New Roman" w:hAnsi="Times New Roman" w:eastAsia="宋体" w:cs="Times New Roman"/>
          <w:kern w:val="2"/>
          <w:sz w:val="21"/>
          <w:szCs w:val="21"/>
          <w:lang w:val="en-US" w:eastAsia="zh-CN" w:bidi="ar-SA"/>
        </w:rPr>
      </w:pPr>
    </w:p>
    <w:p>
      <w:pPr>
        <w:spacing w:before="15"/>
        <w:ind w:left="119" w:right="0" w:firstLine="0"/>
        <w:jc w:val="left"/>
        <w:rPr>
          <w:rFonts w:ascii="Times New Roman" w:hAnsi="Times New Roman" w:eastAsia="宋体" w:cs="Times New Roman"/>
          <w:kern w:val="2"/>
          <w:sz w:val="21"/>
          <w:szCs w:val="21"/>
          <w:lang w:val="en-US" w:eastAsia="zh-CN" w:bidi="ar-SA"/>
        </w:rPr>
      </w:pPr>
    </w:p>
    <w:p>
      <w:pPr>
        <w:spacing w:before="15"/>
        <w:ind w:left="119" w:right="0" w:firstLine="0"/>
        <w:jc w:val="left"/>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（三）进度计划</w:t>
      </w:r>
    </w:p>
    <w:p>
      <w:pPr>
        <w:pStyle w:val="2"/>
        <w:spacing w:before="184" w:line="357" w:lineRule="auto"/>
        <w:ind w:left="119" w:right="128" w:firstLine="480"/>
      </w:pPr>
      <w:r>
        <w:t>1、供应商应递交施工进度网络图或施工进度表，说明按投标文件要求的计划工期进行施工的各个关键日期。</w:t>
      </w:r>
    </w:p>
    <w:p>
      <w:pPr>
        <w:pStyle w:val="2"/>
        <w:spacing w:before="36"/>
        <w:ind w:left="599"/>
      </w:pPr>
      <w:r>
        <w:t>2、施工进度表可采用网络图（或横道图）表示。</w:t>
      </w:r>
    </w:p>
    <w:p>
      <w:pPr>
        <w:spacing w:before="0"/>
        <w:ind w:right="0"/>
        <w:jc w:val="left"/>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（四）施工总平面图</w:t>
      </w:r>
    </w:p>
    <w:p>
      <w:pPr>
        <w:pStyle w:val="2"/>
        <w:spacing w:before="184" w:line="357" w:lineRule="auto"/>
        <w:ind w:left="119" w:right="248" w:firstLine="480"/>
      </w:pPr>
      <w:r>
        <w:t>供应商应递交一份施工总平面图，绘出现场临时设施布置图表，并注明临时设施、加工车间、现场办公、设备及仓储、供电、供水、卫生、生活、道路、消防等设施的情况和布置。</w:t>
      </w:r>
    </w:p>
    <w:p>
      <w:pPr>
        <w:spacing w:line="360" w:lineRule="auto"/>
        <w:jc w:val="left"/>
        <w:outlineLvl w:val="2"/>
        <w:rPr>
          <w:rFonts w:hint="eastAsia" w:ascii="宋体" w:hAnsi="宋体"/>
          <w:color w:val="000000" w:themeColor="text1"/>
          <w:sz w:val="24"/>
          <w:szCs w:val="24"/>
          <w:highlight w:val="none"/>
          <w:lang w:eastAsia="zh-CN"/>
          <w14:textFill>
            <w14:solidFill>
              <w14:schemeClr w14:val="tx1"/>
            </w14:solidFill>
          </w14:textFill>
        </w:rPr>
      </w:pPr>
    </w:p>
    <w:p>
      <w:pPr>
        <w:pStyle w:val="2"/>
        <w:rPr>
          <w:rFonts w:hint="eastAsia"/>
          <w:lang w:eastAsia="zh-CN"/>
        </w:rPr>
      </w:pPr>
    </w:p>
    <w:p>
      <w:pPr>
        <w:spacing w:line="360" w:lineRule="auto"/>
        <w:jc w:val="left"/>
        <w:outlineLvl w:val="2"/>
        <w:rPr>
          <w:rFonts w:hint="eastAsia" w:ascii="仿宋" w:hAnsi="仿宋" w:eastAsia="仿宋" w:cs="宋体"/>
          <w:b/>
          <w:bCs/>
          <w:color w:val="000000" w:themeColor="text1"/>
          <w:sz w:val="24"/>
          <w:szCs w:val="24"/>
          <w:highlight w:val="none"/>
          <w14:textFill>
            <w14:solidFill>
              <w14:schemeClr w14:val="tx1"/>
            </w14:solidFill>
          </w14:textFill>
        </w:rPr>
      </w:pPr>
      <w:bookmarkStart w:id="616" w:name="_Toc12152"/>
      <w:r>
        <w:rPr>
          <w:rFonts w:hint="eastAsia" w:ascii="宋体" w:hAnsi="宋体"/>
          <w:color w:val="000000" w:themeColor="text1"/>
          <w:sz w:val="24"/>
          <w:szCs w:val="24"/>
          <w:highlight w:val="none"/>
          <w:lang w:eastAsia="zh-CN"/>
          <w14:textFill>
            <w14:solidFill>
              <w14:schemeClr w14:val="tx1"/>
            </w14:solidFill>
          </w14:textFill>
        </w:rPr>
        <w:t>七、</w:t>
      </w:r>
      <w:r>
        <w:rPr>
          <w:rFonts w:hint="eastAsia" w:ascii="仿宋" w:hAnsi="仿宋" w:eastAsia="仿宋" w:cs="宋体"/>
          <w:b/>
          <w:bCs/>
          <w:color w:val="000000" w:themeColor="text1"/>
          <w:kern w:val="0"/>
          <w:sz w:val="24"/>
          <w:szCs w:val="24"/>
          <w:highlight w:val="none"/>
          <w:lang w:val="en-US" w:eastAsia="zh-CN" w:bidi="ar-SA"/>
          <w14:textFill>
            <w14:solidFill>
              <w14:schemeClr w14:val="tx1"/>
            </w14:solidFill>
          </w14:textFill>
        </w:rPr>
        <w:t>项目管理机构</w:t>
      </w:r>
      <w:bookmarkEnd w:id="616"/>
    </w:p>
    <w:p>
      <w:pPr>
        <w:pStyle w:val="2"/>
        <w:jc w:val="center"/>
        <w:rPr>
          <w:rFonts w:hint="eastAsia" w:eastAsia="仿宋"/>
          <w:lang w:eastAsia="zh-CN"/>
        </w:rPr>
      </w:pPr>
      <w:r>
        <w:rPr>
          <w:rFonts w:hint="eastAsia" w:ascii="仿宋" w:hAnsi="仿宋" w:eastAsia="仿宋" w:cs="宋体"/>
          <w:b/>
          <w:bCs/>
          <w:color w:val="000000" w:themeColor="text1"/>
          <w:sz w:val="24"/>
          <w:szCs w:val="24"/>
          <w:highlight w:val="none"/>
          <w:lang w:eastAsia="zh-CN"/>
          <w14:textFill>
            <w14:solidFill>
              <w14:schemeClr w14:val="tx1"/>
            </w14:solidFill>
          </w14:textFill>
        </w:rPr>
        <w:t>项目管理机构</w:t>
      </w:r>
    </w:p>
    <w:p>
      <w:pPr>
        <w:numPr>
          <w:ilvl w:val="0"/>
          <w:numId w:val="2"/>
        </w:numPr>
        <w:spacing w:line="360" w:lineRule="auto"/>
        <w:jc w:val="left"/>
        <w:outlineLvl w:val="2"/>
        <w:rPr>
          <w:rFonts w:hint="eastAsia" w:ascii="仿宋" w:hAnsi="仿宋" w:eastAsia="仿宋" w:cs="宋体"/>
          <w:b/>
          <w:bCs/>
          <w:color w:val="000000" w:themeColor="text1"/>
          <w:sz w:val="24"/>
          <w:szCs w:val="24"/>
          <w:highlight w:val="none"/>
          <w14:textFill>
            <w14:solidFill>
              <w14:schemeClr w14:val="tx1"/>
            </w14:solidFill>
          </w14:textFill>
        </w:rPr>
      </w:pPr>
      <w:bookmarkStart w:id="617" w:name="_Toc27270"/>
      <w:r>
        <w:rPr>
          <w:rFonts w:hint="eastAsia" w:ascii="仿宋" w:hAnsi="仿宋" w:eastAsia="仿宋" w:cs="宋体"/>
          <w:b/>
          <w:bCs/>
          <w:color w:val="000000" w:themeColor="text1"/>
          <w:sz w:val="24"/>
          <w:szCs w:val="24"/>
          <w:highlight w:val="none"/>
          <w14:textFill>
            <w14:solidFill>
              <w14:schemeClr w14:val="tx1"/>
            </w14:solidFill>
          </w14:textFill>
        </w:rPr>
        <w:t>项目管理机构组成表</w:t>
      </w:r>
      <w:bookmarkEnd w:id="617"/>
    </w:p>
    <w:tbl>
      <w:tblPr>
        <w:tblStyle w:val="25"/>
        <w:tblpPr w:leftFromText="180" w:rightFromText="180" w:vertAnchor="page" w:horzAnchor="page" w:tblpX="631" w:tblpY="2861"/>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5"/>
        <w:gridCol w:w="1032"/>
        <w:gridCol w:w="945"/>
        <w:gridCol w:w="1266"/>
        <w:gridCol w:w="900"/>
        <w:gridCol w:w="720"/>
        <w:gridCol w:w="1740"/>
        <w:gridCol w:w="780"/>
        <w:gridCol w:w="20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exact"/>
        </w:trPr>
        <w:tc>
          <w:tcPr>
            <w:tcW w:w="825" w:type="dxa"/>
            <w:vMerge w:val="restart"/>
            <w:tcBorders>
              <w:right w:val="single" w:color="000000" w:sz="6" w:space="0"/>
            </w:tcBorders>
          </w:tcPr>
          <w:p>
            <w:pPr>
              <w:pStyle w:val="116"/>
              <w:spacing w:before="5"/>
              <w:rPr>
                <w:b/>
                <w:sz w:val="21"/>
              </w:rPr>
            </w:pPr>
          </w:p>
          <w:p>
            <w:pPr>
              <w:pStyle w:val="116"/>
              <w:ind w:left="167"/>
              <w:rPr>
                <w:b/>
                <w:sz w:val="24"/>
              </w:rPr>
            </w:pPr>
            <w:r>
              <w:rPr>
                <w:b/>
                <w:sz w:val="24"/>
              </w:rPr>
              <w:t>职务</w:t>
            </w:r>
          </w:p>
        </w:tc>
        <w:tc>
          <w:tcPr>
            <w:tcW w:w="1032" w:type="dxa"/>
            <w:vMerge w:val="restart"/>
            <w:tcBorders>
              <w:left w:val="single" w:color="000000" w:sz="6" w:space="0"/>
              <w:right w:val="single" w:color="000000" w:sz="6" w:space="0"/>
            </w:tcBorders>
          </w:tcPr>
          <w:p>
            <w:pPr>
              <w:pStyle w:val="116"/>
              <w:spacing w:before="5"/>
              <w:rPr>
                <w:b/>
                <w:sz w:val="21"/>
              </w:rPr>
            </w:pPr>
          </w:p>
          <w:p>
            <w:pPr>
              <w:pStyle w:val="116"/>
              <w:ind w:left="268"/>
              <w:rPr>
                <w:b/>
                <w:sz w:val="24"/>
              </w:rPr>
            </w:pPr>
            <w:r>
              <w:rPr>
                <w:b/>
                <w:sz w:val="24"/>
              </w:rPr>
              <w:t>姓名</w:t>
            </w:r>
          </w:p>
        </w:tc>
        <w:tc>
          <w:tcPr>
            <w:tcW w:w="945" w:type="dxa"/>
            <w:vMerge w:val="restart"/>
            <w:tcBorders>
              <w:left w:val="single" w:color="000000" w:sz="6" w:space="0"/>
              <w:right w:val="single" w:color="000000" w:sz="6" w:space="0"/>
            </w:tcBorders>
          </w:tcPr>
          <w:p>
            <w:pPr>
              <w:pStyle w:val="116"/>
              <w:spacing w:before="5"/>
              <w:rPr>
                <w:b/>
                <w:sz w:val="21"/>
              </w:rPr>
            </w:pPr>
          </w:p>
          <w:p>
            <w:pPr>
              <w:pStyle w:val="116"/>
              <w:ind w:left="225"/>
              <w:rPr>
                <w:b/>
                <w:sz w:val="24"/>
              </w:rPr>
            </w:pPr>
            <w:r>
              <w:rPr>
                <w:b/>
                <w:sz w:val="24"/>
              </w:rPr>
              <w:t>职称</w:t>
            </w:r>
          </w:p>
        </w:tc>
        <w:tc>
          <w:tcPr>
            <w:tcW w:w="5406" w:type="dxa"/>
            <w:gridSpan w:val="5"/>
            <w:tcBorders>
              <w:left w:val="single" w:color="000000" w:sz="6" w:space="0"/>
              <w:bottom w:val="single" w:color="000000" w:sz="6" w:space="0"/>
              <w:right w:val="single" w:color="000000" w:sz="6" w:space="0"/>
            </w:tcBorders>
          </w:tcPr>
          <w:p>
            <w:pPr>
              <w:pStyle w:val="116"/>
              <w:spacing w:line="275" w:lineRule="exact"/>
              <w:ind w:left="1615"/>
              <w:rPr>
                <w:b/>
                <w:sz w:val="24"/>
              </w:rPr>
            </w:pPr>
            <w:r>
              <w:rPr>
                <w:b/>
                <w:sz w:val="24"/>
              </w:rPr>
              <w:t>执业或职业资格证明</w:t>
            </w:r>
          </w:p>
        </w:tc>
        <w:tc>
          <w:tcPr>
            <w:tcW w:w="2088" w:type="dxa"/>
            <w:vMerge w:val="restart"/>
            <w:tcBorders>
              <w:left w:val="single" w:color="000000" w:sz="6" w:space="0"/>
            </w:tcBorders>
          </w:tcPr>
          <w:p>
            <w:pPr>
              <w:pStyle w:val="116"/>
              <w:spacing w:before="5"/>
              <w:rPr>
                <w:b/>
                <w:sz w:val="21"/>
              </w:rPr>
            </w:pPr>
          </w:p>
          <w:p>
            <w:pPr>
              <w:pStyle w:val="116"/>
              <w:ind w:left="776" w:right="778"/>
              <w:jc w:val="center"/>
              <w:rPr>
                <w:b/>
                <w:sz w:val="24"/>
              </w:rPr>
            </w:pPr>
            <w:r>
              <w:rPr>
                <w:b/>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exact"/>
        </w:trPr>
        <w:tc>
          <w:tcPr>
            <w:tcW w:w="825" w:type="dxa"/>
            <w:vMerge w:val="continue"/>
            <w:tcBorders>
              <w:bottom w:val="single" w:color="000000" w:sz="6" w:space="0"/>
              <w:right w:val="single" w:color="000000" w:sz="6" w:space="0"/>
            </w:tcBorders>
          </w:tcPr>
          <w:p/>
        </w:tc>
        <w:tc>
          <w:tcPr>
            <w:tcW w:w="1032" w:type="dxa"/>
            <w:vMerge w:val="continue"/>
            <w:tcBorders>
              <w:left w:val="single" w:color="000000" w:sz="6" w:space="0"/>
              <w:bottom w:val="single" w:color="000000" w:sz="6" w:space="0"/>
              <w:right w:val="single" w:color="000000" w:sz="6" w:space="0"/>
            </w:tcBorders>
          </w:tcPr>
          <w:p/>
        </w:tc>
        <w:tc>
          <w:tcPr>
            <w:tcW w:w="945" w:type="dxa"/>
            <w:vMerge w:val="continue"/>
            <w:tcBorders>
              <w:left w:val="single" w:color="000000" w:sz="6" w:space="0"/>
              <w:bottom w:val="single" w:color="000000" w:sz="6" w:space="0"/>
              <w:right w:val="single" w:color="000000" w:sz="6" w:space="0"/>
            </w:tcBorders>
          </w:tcPr>
          <w:p/>
        </w:tc>
        <w:tc>
          <w:tcPr>
            <w:tcW w:w="1266" w:type="dxa"/>
            <w:tcBorders>
              <w:top w:val="single" w:color="000000" w:sz="6" w:space="0"/>
              <w:left w:val="single" w:color="000000" w:sz="6" w:space="0"/>
              <w:bottom w:val="single" w:color="000000" w:sz="6" w:space="0"/>
              <w:right w:val="single" w:color="000000" w:sz="6" w:space="0"/>
            </w:tcBorders>
          </w:tcPr>
          <w:p>
            <w:pPr>
              <w:pStyle w:val="116"/>
              <w:spacing w:before="118"/>
              <w:ind w:left="146"/>
              <w:rPr>
                <w:b/>
                <w:sz w:val="24"/>
              </w:rPr>
            </w:pPr>
            <w:r>
              <w:rPr>
                <w:b/>
                <w:sz w:val="24"/>
              </w:rPr>
              <w:t>证书名称</w:t>
            </w:r>
          </w:p>
        </w:tc>
        <w:tc>
          <w:tcPr>
            <w:tcW w:w="900" w:type="dxa"/>
            <w:tcBorders>
              <w:top w:val="single" w:color="000000" w:sz="6" w:space="0"/>
              <w:left w:val="single" w:color="000000" w:sz="6" w:space="0"/>
              <w:bottom w:val="single" w:color="000000" w:sz="6" w:space="0"/>
              <w:right w:val="single" w:color="000000" w:sz="6" w:space="0"/>
            </w:tcBorders>
          </w:tcPr>
          <w:p>
            <w:pPr>
              <w:pStyle w:val="116"/>
              <w:spacing w:before="118"/>
              <w:ind w:left="203"/>
              <w:rPr>
                <w:b/>
                <w:sz w:val="24"/>
              </w:rPr>
            </w:pPr>
            <w:r>
              <w:rPr>
                <w:b/>
                <w:sz w:val="24"/>
              </w:rPr>
              <w:t>级别</w:t>
            </w:r>
          </w:p>
        </w:tc>
        <w:tc>
          <w:tcPr>
            <w:tcW w:w="720" w:type="dxa"/>
            <w:tcBorders>
              <w:top w:val="single" w:color="000000" w:sz="6" w:space="0"/>
              <w:left w:val="single" w:color="000000" w:sz="6" w:space="0"/>
              <w:bottom w:val="single" w:color="000000" w:sz="6" w:space="0"/>
              <w:right w:val="single" w:color="000000" w:sz="6" w:space="0"/>
            </w:tcBorders>
          </w:tcPr>
          <w:p>
            <w:pPr>
              <w:pStyle w:val="116"/>
              <w:spacing w:before="118"/>
              <w:ind w:left="111"/>
              <w:rPr>
                <w:b/>
                <w:sz w:val="24"/>
              </w:rPr>
            </w:pPr>
            <w:r>
              <w:rPr>
                <w:b/>
                <w:sz w:val="24"/>
              </w:rPr>
              <w:t>证号</w:t>
            </w:r>
          </w:p>
        </w:tc>
        <w:tc>
          <w:tcPr>
            <w:tcW w:w="1740" w:type="dxa"/>
            <w:tcBorders>
              <w:top w:val="single" w:color="000000" w:sz="6" w:space="0"/>
              <w:left w:val="single" w:color="000000" w:sz="6" w:space="0"/>
              <w:bottom w:val="single" w:color="000000" w:sz="6" w:space="0"/>
              <w:right w:val="single" w:color="000000" w:sz="6" w:space="0"/>
            </w:tcBorders>
          </w:tcPr>
          <w:p>
            <w:pPr>
              <w:pStyle w:val="116"/>
              <w:spacing w:before="118"/>
              <w:ind w:left="601" w:right="601"/>
              <w:jc w:val="center"/>
              <w:rPr>
                <w:b/>
                <w:sz w:val="24"/>
              </w:rPr>
            </w:pPr>
            <w:r>
              <w:rPr>
                <w:b/>
                <w:sz w:val="24"/>
              </w:rPr>
              <w:t>专业</w:t>
            </w:r>
          </w:p>
        </w:tc>
        <w:tc>
          <w:tcPr>
            <w:tcW w:w="780" w:type="dxa"/>
            <w:tcBorders>
              <w:top w:val="single" w:color="000000" w:sz="6" w:space="0"/>
              <w:left w:val="single" w:color="000000" w:sz="6" w:space="0"/>
              <w:bottom w:val="single" w:color="000000" w:sz="6" w:space="0"/>
              <w:right w:val="single" w:color="000000" w:sz="6" w:space="0"/>
            </w:tcBorders>
          </w:tcPr>
          <w:p>
            <w:pPr>
              <w:pStyle w:val="116"/>
              <w:spacing w:line="275" w:lineRule="exact"/>
              <w:ind w:left="143"/>
              <w:rPr>
                <w:b/>
                <w:sz w:val="24"/>
              </w:rPr>
            </w:pPr>
            <w:r>
              <w:rPr>
                <w:b/>
                <w:sz w:val="24"/>
              </w:rPr>
              <w:t>养老</w:t>
            </w:r>
          </w:p>
          <w:p>
            <w:pPr>
              <w:pStyle w:val="116"/>
              <w:spacing w:line="313" w:lineRule="exact"/>
              <w:ind w:left="143"/>
              <w:rPr>
                <w:b/>
                <w:sz w:val="24"/>
              </w:rPr>
            </w:pPr>
            <w:r>
              <w:rPr>
                <w:b/>
                <w:sz w:val="24"/>
              </w:rPr>
              <w:t>保险</w:t>
            </w:r>
          </w:p>
        </w:tc>
        <w:tc>
          <w:tcPr>
            <w:tcW w:w="2088" w:type="dxa"/>
            <w:vMerge w:val="continue"/>
            <w:tcBorders>
              <w:left w:val="single" w:color="000000" w:sz="6" w:space="0"/>
              <w:bottom w:val="single" w:color="000000" w:sz="6"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exact"/>
        </w:trPr>
        <w:tc>
          <w:tcPr>
            <w:tcW w:w="825" w:type="dxa"/>
            <w:tcBorders>
              <w:top w:val="single" w:color="000000" w:sz="6" w:space="0"/>
              <w:bottom w:val="single" w:color="000000" w:sz="6" w:space="0"/>
              <w:right w:val="single" w:color="000000" w:sz="6" w:space="0"/>
            </w:tcBorders>
          </w:tcPr>
          <w:p/>
        </w:tc>
        <w:tc>
          <w:tcPr>
            <w:tcW w:w="1032" w:type="dxa"/>
            <w:tcBorders>
              <w:top w:val="single" w:color="000000" w:sz="6" w:space="0"/>
              <w:left w:val="single" w:color="000000" w:sz="6" w:space="0"/>
              <w:bottom w:val="single" w:color="000000" w:sz="6" w:space="0"/>
              <w:right w:val="single" w:color="000000" w:sz="6" w:space="0"/>
            </w:tcBorders>
          </w:tcPr>
          <w:p/>
        </w:tc>
        <w:tc>
          <w:tcPr>
            <w:tcW w:w="945" w:type="dxa"/>
            <w:tcBorders>
              <w:top w:val="single" w:color="000000" w:sz="6" w:space="0"/>
              <w:left w:val="single" w:color="000000" w:sz="6" w:space="0"/>
              <w:bottom w:val="single" w:color="000000" w:sz="6" w:space="0"/>
              <w:right w:val="single" w:color="000000" w:sz="6" w:space="0"/>
            </w:tcBorders>
          </w:tcPr>
          <w:p/>
        </w:tc>
        <w:tc>
          <w:tcPr>
            <w:tcW w:w="1266" w:type="dxa"/>
            <w:tcBorders>
              <w:top w:val="single" w:color="000000" w:sz="6" w:space="0"/>
              <w:left w:val="single" w:color="000000" w:sz="6" w:space="0"/>
              <w:bottom w:val="single" w:color="000000" w:sz="6" w:space="0"/>
              <w:right w:val="single" w:color="000000" w:sz="6" w:space="0"/>
            </w:tcBorders>
          </w:tcPr>
          <w:p/>
        </w:tc>
        <w:tc>
          <w:tcPr>
            <w:tcW w:w="900" w:type="dxa"/>
            <w:tcBorders>
              <w:top w:val="single" w:color="000000" w:sz="6" w:space="0"/>
              <w:left w:val="single" w:color="000000" w:sz="6" w:space="0"/>
              <w:bottom w:val="single" w:color="000000" w:sz="6" w:space="0"/>
              <w:right w:val="single" w:color="000000" w:sz="6" w:space="0"/>
            </w:tcBorders>
          </w:tcPr>
          <w:p/>
        </w:tc>
        <w:tc>
          <w:tcPr>
            <w:tcW w:w="720" w:type="dxa"/>
            <w:tcBorders>
              <w:top w:val="single" w:color="000000" w:sz="6" w:space="0"/>
              <w:left w:val="single" w:color="000000" w:sz="6" w:space="0"/>
              <w:bottom w:val="single" w:color="000000" w:sz="6" w:space="0"/>
              <w:right w:val="single" w:color="000000" w:sz="6" w:space="0"/>
            </w:tcBorders>
          </w:tcPr>
          <w:p/>
        </w:tc>
        <w:tc>
          <w:tcPr>
            <w:tcW w:w="1740" w:type="dxa"/>
            <w:tcBorders>
              <w:top w:val="single" w:color="000000" w:sz="6" w:space="0"/>
              <w:left w:val="single" w:color="000000" w:sz="6" w:space="0"/>
              <w:bottom w:val="single" w:color="000000" w:sz="6" w:space="0"/>
              <w:right w:val="single" w:color="000000" w:sz="6" w:space="0"/>
            </w:tcBorders>
          </w:tcPr>
          <w:p/>
        </w:tc>
        <w:tc>
          <w:tcPr>
            <w:tcW w:w="780" w:type="dxa"/>
            <w:tcBorders>
              <w:top w:val="single" w:color="000000" w:sz="6" w:space="0"/>
              <w:left w:val="single" w:color="000000" w:sz="6" w:space="0"/>
              <w:bottom w:val="single" w:color="000000" w:sz="6" w:space="0"/>
              <w:right w:val="single" w:color="000000" w:sz="6" w:space="0"/>
            </w:tcBorders>
          </w:tcPr>
          <w:p/>
        </w:tc>
        <w:tc>
          <w:tcPr>
            <w:tcW w:w="2088" w:type="dxa"/>
            <w:tcBorders>
              <w:top w:val="single" w:color="000000" w:sz="6" w:space="0"/>
              <w:left w:val="single" w:color="000000" w:sz="6" w:space="0"/>
              <w:bottom w:val="single" w:color="000000" w:sz="6"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exact"/>
        </w:trPr>
        <w:tc>
          <w:tcPr>
            <w:tcW w:w="825" w:type="dxa"/>
            <w:tcBorders>
              <w:top w:val="single" w:color="000000" w:sz="6" w:space="0"/>
              <w:bottom w:val="single" w:color="000000" w:sz="6" w:space="0"/>
              <w:right w:val="single" w:color="000000" w:sz="6" w:space="0"/>
            </w:tcBorders>
          </w:tcPr>
          <w:p/>
        </w:tc>
        <w:tc>
          <w:tcPr>
            <w:tcW w:w="1032" w:type="dxa"/>
            <w:tcBorders>
              <w:top w:val="single" w:color="000000" w:sz="6" w:space="0"/>
              <w:left w:val="single" w:color="000000" w:sz="6" w:space="0"/>
              <w:bottom w:val="single" w:color="000000" w:sz="6" w:space="0"/>
              <w:right w:val="single" w:color="000000" w:sz="6" w:space="0"/>
            </w:tcBorders>
          </w:tcPr>
          <w:p/>
        </w:tc>
        <w:tc>
          <w:tcPr>
            <w:tcW w:w="945" w:type="dxa"/>
            <w:tcBorders>
              <w:top w:val="single" w:color="000000" w:sz="6" w:space="0"/>
              <w:left w:val="single" w:color="000000" w:sz="6" w:space="0"/>
              <w:bottom w:val="single" w:color="000000" w:sz="6" w:space="0"/>
              <w:right w:val="single" w:color="000000" w:sz="6" w:space="0"/>
            </w:tcBorders>
          </w:tcPr>
          <w:p/>
        </w:tc>
        <w:tc>
          <w:tcPr>
            <w:tcW w:w="1266" w:type="dxa"/>
            <w:tcBorders>
              <w:top w:val="single" w:color="000000" w:sz="6" w:space="0"/>
              <w:left w:val="single" w:color="000000" w:sz="6" w:space="0"/>
              <w:bottom w:val="single" w:color="000000" w:sz="6" w:space="0"/>
              <w:right w:val="single" w:color="000000" w:sz="6" w:space="0"/>
            </w:tcBorders>
          </w:tcPr>
          <w:p/>
        </w:tc>
        <w:tc>
          <w:tcPr>
            <w:tcW w:w="900" w:type="dxa"/>
            <w:tcBorders>
              <w:top w:val="single" w:color="000000" w:sz="6" w:space="0"/>
              <w:left w:val="single" w:color="000000" w:sz="6" w:space="0"/>
              <w:bottom w:val="single" w:color="000000" w:sz="6" w:space="0"/>
              <w:right w:val="single" w:color="000000" w:sz="6" w:space="0"/>
            </w:tcBorders>
          </w:tcPr>
          <w:p/>
        </w:tc>
        <w:tc>
          <w:tcPr>
            <w:tcW w:w="720" w:type="dxa"/>
            <w:tcBorders>
              <w:top w:val="single" w:color="000000" w:sz="6" w:space="0"/>
              <w:left w:val="single" w:color="000000" w:sz="6" w:space="0"/>
              <w:bottom w:val="single" w:color="000000" w:sz="6" w:space="0"/>
              <w:right w:val="single" w:color="000000" w:sz="6" w:space="0"/>
            </w:tcBorders>
          </w:tcPr>
          <w:p/>
        </w:tc>
        <w:tc>
          <w:tcPr>
            <w:tcW w:w="1740" w:type="dxa"/>
            <w:tcBorders>
              <w:top w:val="single" w:color="000000" w:sz="6" w:space="0"/>
              <w:left w:val="single" w:color="000000" w:sz="6" w:space="0"/>
              <w:bottom w:val="single" w:color="000000" w:sz="6" w:space="0"/>
              <w:right w:val="single" w:color="000000" w:sz="6" w:space="0"/>
            </w:tcBorders>
          </w:tcPr>
          <w:p/>
        </w:tc>
        <w:tc>
          <w:tcPr>
            <w:tcW w:w="780" w:type="dxa"/>
            <w:tcBorders>
              <w:top w:val="single" w:color="000000" w:sz="6" w:space="0"/>
              <w:left w:val="single" w:color="000000" w:sz="6" w:space="0"/>
              <w:bottom w:val="single" w:color="000000" w:sz="6" w:space="0"/>
              <w:right w:val="single" w:color="000000" w:sz="6" w:space="0"/>
            </w:tcBorders>
          </w:tcPr>
          <w:p/>
        </w:tc>
        <w:tc>
          <w:tcPr>
            <w:tcW w:w="2088" w:type="dxa"/>
            <w:tcBorders>
              <w:top w:val="single" w:color="000000" w:sz="6" w:space="0"/>
              <w:left w:val="single" w:color="000000" w:sz="6" w:space="0"/>
              <w:bottom w:val="single" w:color="000000" w:sz="6"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exact"/>
        </w:trPr>
        <w:tc>
          <w:tcPr>
            <w:tcW w:w="825" w:type="dxa"/>
            <w:tcBorders>
              <w:top w:val="single" w:color="000000" w:sz="6" w:space="0"/>
              <w:bottom w:val="single" w:color="000000" w:sz="6" w:space="0"/>
              <w:right w:val="single" w:color="000000" w:sz="6" w:space="0"/>
            </w:tcBorders>
          </w:tcPr>
          <w:p/>
        </w:tc>
        <w:tc>
          <w:tcPr>
            <w:tcW w:w="1032" w:type="dxa"/>
            <w:tcBorders>
              <w:top w:val="single" w:color="000000" w:sz="6" w:space="0"/>
              <w:left w:val="single" w:color="000000" w:sz="6" w:space="0"/>
              <w:bottom w:val="single" w:color="000000" w:sz="6" w:space="0"/>
              <w:right w:val="single" w:color="000000" w:sz="6" w:space="0"/>
            </w:tcBorders>
          </w:tcPr>
          <w:p/>
        </w:tc>
        <w:tc>
          <w:tcPr>
            <w:tcW w:w="945" w:type="dxa"/>
            <w:tcBorders>
              <w:top w:val="single" w:color="000000" w:sz="6" w:space="0"/>
              <w:left w:val="single" w:color="000000" w:sz="6" w:space="0"/>
              <w:bottom w:val="single" w:color="000000" w:sz="6" w:space="0"/>
              <w:right w:val="single" w:color="000000" w:sz="6" w:space="0"/>
            </w:tcBorders>
          </w:tcPr>
          <w:p/>
        </w:tc>
        <w:tc>
          <w:tcPr>
            <w:tcW w:w="1266" w:type="dxa"/>
            <w:tcBorders>
              <w:top w:val="single" w:color="000000" w:sz="6" w:space="0"/>
              <w:left w:val="single" w:color="000000" w:sz="6" w:space="0"/>
              <w:bottom w:val="single" w:color="000000" w:sz="6" w:space="0"/>
              <w:right w:val="single" w:color="000000" w:sz="6" w:space="0"/>
            </w:tcBorders>
          </w:tcPr>
          <w:p/>
        </w:tc>
        <w:tc>
          <w:tcPr>
            <w:tcW w:w="900" w:type="dxa"/>
            <w:tcBorders>
              <w:top w:val="single" w:color="000000" w:sz="6" w:space="0"/>
              <w:left w:val="single" w:color="000000" w:sz="6" w:space="0"/>
              <w:bottom w:val="single" w:color="000000" w:sz="6" w:space="0"/>
              <w:right w:val="single" w:color="000000" w:sz="6" w:space="0"/>
            </w:tcBorders>
          </w:tcPr>
          <w:p/>
        </w:tc>
        <w:tc>
          <w:tcPr>
            <w:tcW w:w="720" w:type="dxa"/>
            <w:tcBorders>
              <w:top w:val="single" w:color="000000" w:sz="6" w:space="0"/>
              <w:left w:val="single" w:color="000000" w:sz="6" w:space="0"/>
              <w:bottom w:val="single" w:color="000000" w:sz="6" w:space="0"/>
              <w:right w:val="single" w:color="000000" w:sz="6" w:space="0"/>
            </w:tcBorders>
          </w:tcPr>
          <w:p/>
        </w:tc>
        <w:tc>
          <w:tcPr>
            <w:tcW w:w="1740" w:type="dxa"/>
            <w:tcBorders>
              <w:top w:val="single" w:color="000000" w:sz="6" w:space="0"/>
              <w:left w:val="single" w:color="000000" w:sz="6" w:space="0"/>
              <w:bottom w:val="single" w:color="000000" w:sz="6" w:space="0"/>
              <w:right w:val="single" w:color="000000" w:sz="6" w:space="0"/>
            </w:tcBorders>
          </w:tcPr>
          <w:p/>
        </w:tc>
        <w:tc>
          <w:tcPr>
            <w:tcW w:w="780" w:type="dxa"/>
            <w:tcBorders>
              <w:top w:val="single" w:color="000000" w:sz="6" w:space="0"/>
              <w:left w:val="single" w:color="000000" w:sz="6" w:space="0"/>
              <w:bottom w:val="single" w:color="000000" w:sz="6" w:space="0"/>
              <w:right w:val="single" w:color="000000" w:sz="6" w:space="0"/>
            </w:tcBorders>
          </w:tcPr>
          <w:p/>
        </w:tc>
        <w:tc>
          <w:tcPr>
            <w:tcW w:w="2088" w:type="dxa"/>
            <w:tcBorders>
              <w:top w:val="single" w:color="000000" w:sz="6" w:space="0"/>
              <w:left w:val="single" w:color="000000" w:sz="6" w:space="0"/>
              <w:bottom w:val="single" w:color="000000" w:sz="6"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exact"/>
        </w:trPr>
        <w:tc>
          <w:tcPr>
            <w:tcW w:w="825" w:type="dxa"/>
            <w:tcBorders>
              <w:top w:val="single" w:color="000000" w:sz="6" w:space="0"/>
              <w:bottom w:val="single" w:color="000000" w:sz="6" w:space="0"/>
              <w:right w:val="single" w:color="000000" w:sz="6" w:space="0"/>
            </w:tcBorders>
          </w:tcPr>
          <w:p/>
        </w:tc>
        <w:tc>
          <w:tcPr>
            <w:tcW w:w="1032" w:type="dxa"/>
            <w:tcBorders>
              <w:top w:val="single" w:color="000000" w:sz="6" w:space="0"/>
              <w:left w:val="single" w:color="000000" w:sz="6" w:space="0"/>
              <w:bottom w:val="single" w:color="000000" w:sz="6" w:space="0"/>
              <w:right w:val="single" w:color="000000" w:sz="6" w:space="0"/>
            </w:tcBorders>
          </w:tcPr>
          <w:p/>
        </w:tc>
        <w:tc>
          <w:tcPr>
            <w:tcW w:w="945" w:type="dxa"/>
            <w:tcBorders>
              <w:top w:val="single" w:color="000000" w:sz="6" w:space="0"/>
              <w:left w:val="single" w:color="000000" w:sz="6" w:space="0"/>
              <w:bottom w:val="single" w:color="000000" w:sz="6" w:space="0"/>
              <w:right w:val="single" w:color="000000" w:sz="6" w:space="0"/>
            </w:tcBorders>
          </w:tcPr>
          <w:p/>
        </w:tc>
        <w:tc>
          <w:tcPr>
            <w:tcW w:w="1266" w:type="dxa"/>
            <w:tcBorders>
              <w:top w:val="single" w:color="000000" w:sz="6" w:space="0"/>
              <w:left w:val="single" w:color="000000" w:sz="6" w:space="0"/>
              <w:bottom w:val="single" w:color="000000" w:sz="6" w:space="0"/>
              <w:right w:val="single" w:color="000000" w:sz="6" w:space="0"/>
            </w:tcBorders>
          </w:tcPr>
          <w:p/>
        </w:tc>
        <w:tc>
          <w:tcPr>
            <w:tcW w:w="900" w:type="dxa"/>
            <w:tcBorders>
              <w:top w:val="single" w:color="000000" w:sz="6" w:space="0"/>
              <w:left w:val="single" w:color="000000" w:sz="6" w:space="0"/>
              <w:bottom w:val="single" w:color="000000" w:sz="6" w:space="0"/>
              <w:right w:val="single" w:color="000000" w:sz="6" w:space="0"/>
            </w:tcBorders>
          </w:tcPr>
          <w:p/>
        </w:tc>
        <w:tc>
          <w:tcPr>
            <w:tcW w:w="720" w:type="dxa"/>
            <w:tcBorders>
              <w:top w:val="single" w:color="000000" w:sz="6" w:space="0"/>
              <w:left w:val="single" w:color="000000" w:sz="6" w:space="0"/>
              <w:bottom w:val="single" w:color="000000" w:sz="6" w:space="0"/>
              <w:right w:val="single" w:color="000000" w:sz="6" w:space="0"/>
            </w:tcBorders>
          </w:tcPr>
          <w:p/>
        </w:tc>
        <w:tc>
          <w:tcPr>
            <w:tcW w:w="1740" w:type="dxa"/>
            <w:tcBorders>
              <w:top w:val="single" w:color="000000" w:sz="6" w:space="0"/>
              <w:left w:val="single" w:color="000000" w:sz="6" w:space="0"/>
              <w:bottom w:val="single" w:color="000000" w:sz="6" w:space="0"/>
              <w:right w:val="single" w:color="000000" w:sz="6" w:space="0"/>
            </w:tcBorders>
          </w:tcPr>
          <w:p/>
        </w:tc>
        <w:tc>
          <w:tcPr>
            <w:tcW w:w="780" w:type="dxa"/>
            <w:tcBorders>
              <w:top w:val="single" w:color="000000" w:sz="6" w:space="0"/>
              <w:left w:val="single" w:color="000000" w:sz="6" w:space="0"/>
              <w:bottom w:val="single" w:color="000000" w:sz="6" w:space="0"/>
              <w:right w:val="single" w:color="000000" w:sz="6" w:space="0"/>
            </w:tcBorders>
          </w:tcPr>
          <w:p/>
        </w:tc>
        <w:tc>
          <w:tcPr>
            <w:tcW w:w="2088" w:type="dxa"/>
            <w:tcBorders>
              <w:top w:val="single" w:color="000000" w:sz="6" w:space="0"/>
              <w:left w:val="single" w:color="000000" w:sz="6" w:space="0"/>
              <w:bottom w:val="single" w:color="000000" w:sz="6"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exact"/>
        </w:trPr>
        <w:tc>
          <w:tcPr>
            <w:tcW w:w="825" w:type="dxa"/>
            <w:tcBorders>
              <w:top w:val="single" w:color="000000" w:sz="6" w:space="0"/>
              <w:bottom w:val="single" w:color="000000" w:sz="6" w:space="0"/>
              <w:right w:val="single" w:color="000000" w:sz="6" w:space="0"/>
            </w:tcBorders>
          </w:tcPr>
          <w:p/>
        </w:tc>
        <w:tc>
          <w:tcPr>
            <w:tcW w:w="1032" w:type="dxa"/>
            <w:tcBorders>
              <w:top w:val="single" w:color="000000" w:sz="6" w:space="0"/>
              <w:left w:val="single" w:color="000000" w:sz="6" w:space="0"/>
              <w:bottom w:val="single" w:color="000000" w:sz="6" w:space="0"/>
              <w:right w:val="single" w:color="000000" w:sz="6" w:space="0"/>
            </w:tcBorders>
          </w:tcPr>
          <w:p/>
        </w:tc>
        <w:tc>
          <w:tcPr>
            <w:tcW w:w="945" w:type="dxa"/>
            <w:tcBorders>
              <w:top w:val="single" w:color="000000" w:sz="6" w:space="0"/>
              <w:left w:val="single" w:color="000000" w:sz="6" w:space="0"/>
              <w:bottom w:val="single" w:color="000000" w:sz="6" w:space="0"/>
              <w:right w:val="single" w:color="000000" w:sz="6" w:space="0"/>
            </w:tcBorders>
          </w:tcPr>
          <w:p/>
        </w:tc>
        <w:tc>
          <w:tcPr>
            <w:tcW w:w="1266" w:type="dxa"/>
            <w:tcBorders>
              <w:top w:val="single" w:color="000000" w:sz="6" w:space="0"/>
              <w:left w:val="single" w:color="000000" w:sz="6" w:space="0"/>
              <w:bottom w:val="single" w:color="000000" w:sz="6" w:space="0"/>
              <w:right w:val="single" w:color="000000" w:sz="6" w:space="0"/>
            </w:tcBorders>
          </w:tcPr>
          <w:p/>
        </w:tc>
        <w:tc>
          <w:tcPr>
            <w:tcW w:w="900" w:type="dxa"/>
            <w:tcBorders>
              <w:top w:val="single" w:color="000000" w:sz="6" w:space="0"/>
              <w:left w:val="single" w:color="000000" w:sz="6" w:space="0"/>
              <w:bottom w:val="single" w:color="000000" w:sz="6" w:space="0"/>
              <w:right w:val="single" w:color="000000" w:sz="6" w:space="0"/>
            </w:tcBorders>
          </w:tcPr>
          <w:p/>
        </w:tc>
        <w:tc>
          <w:tcPr>
            <w:tcW w:w="720" w:type="dxa"/>
            <w:tcBorders>
              <w:top w:val="single" w:color="000000" w:sz="6" w:space="0"/>
              <w:left w:val="single" w:color="000000" w:sz="6" w:space="0"/>
              <w:bottom w:val="single" w:color="000000" w:sz="6" w:space="0"/>
              <w:right w:val="single" w:color="000000" w:sz="6" w:space="0"/>
            </w:tcBorders>
          </w:tcPr>
          <w:p/>
        </w:tc>
        <w:tc>
          <w:tcPr>
            <w:tcW w:w="1740" w:type="dxa"/>
            <w:tcBorders>
              <w:top w:val="single" w:color="000000" w:sz="6" w:space="0"/>
              <w:left w:val="single" w:color="000000" w:sz="6" w:space="0"/>
              <w:bottom w:val="single" w:color="000000" w:sz="6" w:space="0"/>
              <w:right w:val="single" w:color="000000" w:sz="6" w:space="0"/>
            </w:tcBorders>
          </w:tcPr>
          <w:p/>
        </w:tc>
        <w:tc>
          <w:tcPr>
            <w:tcW w:w="780" w:type="dxa"/>
            <w:tcBorders>
              <w:top w:val="single" w:color="000000" w:sz="6" w:space="0"/>
              <w:left w:val="single" w:color="000000" w:sz="6" w:space="0"/>
              <w:bottom w:val="single" w:color="000000" w:sz="6" w:space="0"/>
              <w:right w:val="single" w:color="000000" w:sz="6" w:space="0"/>
            </w:tcBorders>
          </w:tcPr>
          <w:p/>
        </w:tc>
        <w:tc>
          <w:tcPr>
            <w:tcW w:w="2088" w:type="dxa"/>
            <w:tcBorders>
              <w:top w:val="single" w:color="000000" w:sz="6" w:space="0"/>
              <w:left w:val="single" w:color="000000" w:sz="6" w:space="0"/>
              <w:bottom w:val="single" w:color="000000" w:sz="6"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exact"/>
        </w:trPr>
        <w:tc>
          <w:tcPr>
            <w:tcW w:w="825" w:type="dxa"/>
            <w:tcBorders>
              <w:top w:val="single" w:color="000000" w:sz="6" w:space="0"/>
              <w:bottom w:val="single" w:color="000000" w:sz="6" w:space="0"/>
              <w:right w:val="single" w:color="000000" w:sz="6" w:space="0"/>
            </w:tcBorders>
          </w:tcPr>
          <w:p/>
        </w:tc>
        <w:tc>
          <w:tcPr>
            <w:tcW w:w="1032" w:type="dxa"/>
            <w:tcBorders>
              <w:top w:val="single" w:color="000000" w:sz="6" w:space="0"/>
              <w:left w:val="single" w:color="000000" w:sz="6" w:space="0"/>
              <w:bottom w:val="single" w:color="000000" w:sz="6" w:space="0"/>
              <w:right w:val="single" w:color="000000" w:sz="6" w:space="0"/>
            </w:tcBorders>
          </w:tcPr>
          <w:p/>
        </w:tc>
        <w:tc>
          <w:tcPr>
            <w:tcW w:w="945" w:type="dxa"/>
            <w:tcBorders>
              <w:top w:val="single" w:color="000000" w:sz="6" w:space="0"/>
              <w:left w:val="single" w:color="000000" w:sz="6" w:space="0"/>
              <w:bottom w:val="single" w:color="000000" w:sz="6" w:space="0"/>
              <w:right w:val="single" w:color="000000" w:sz="6" w:space="0"/>
            </w:tcBorders>
          </w:tcPr>
          <w:p/>
        </w:tc>
        <w:tc>
          <w:tcPr>
            <w:tcW w:w="1266" w:type="dxa"/>
            <w:tcBorders>
              <w:top w:val="single" w:color="000000" w:sz="6" w:space="0"/>
              <w:left w:val="single" w:color="000000" w:sz="6" w:space="0"/>
              <w:bottom w:val="single" w:color="000000" w:sz="6" w:space="0"/>
              <w:right w:val="single" w:color="000000" w:sz="6" w:space="0"/>
            </w:tcBorders>
          </w:tcPr>
          <w:p/>
        </w:tc>
        <w:tc>
          <w:tcPr>
            <w:tcW w:w="900" w:type="dxa"/>
            <w:tcBorders>
              <w:top w:val="single" w:color="000000" w:sz="6" w:space="0"/>
              <w:left w:val="single" w:color="000000" w:sz="6" w:space="0"/>
              <w:bottom w:val="single" w:color="000000" w:sz="6" w:space="0"/>
              <w:right w:val="single" w:color="000000" w:sz="6" w:space="0"/>
            </w:tcBorders>
          </w:tcPr>
          <w:p/>
        </w:tc>
        <w:tc>
          <w:tcPr>
            <w:tcW w:w="720" w:type="dxa"/>
            <w:tcBorders>
              <w:top w:val="single" w:color="000000" w:sz="6" w:space="0"/>
              <w:left w:val="single" w:color="000000" w:sz="6" w:space="0"/>
              <w:bottom w:val="single" w:color="000000" w:sz="6" w:space="0"/>
              <w:right w:val="single" w:color="000000" w:sz="6" w:space="0"/>
            </w:tcBorders>
          </w:tcPr>
          <w:p/>
        </w:tc>
        <w:tc>
          <w:tcPr>
            <w:tcW w:w="1740" w:type="dxa"/>
            <w:tcBorders>
              <w:top w:val="single" w:color="000000" w:sz="6" w:space="0"/>
              <w:left w:val="single" w:color="000000" w:sz="6" w:space="0"/>
              <w:bottom w:val="single" w:color="000000" w:sz="6" w:space="0"/>
              <w:right w:val="single" w:color="000000" w:sz="6" w:space="0"/>
            </w:tcBorders>
          </w:tcPr>
          <w:p/>
        </w:tc>
        <w:tc>
          <w:tcPr>
            <w:tcW w:w="780" w:type="dxa"/>
            <w:tcBorders>
              <w:top w:val="single" w:color="000000" w:sz="6" w:space="0"/>
              <w:left w:val="single" w:color="000000" w:sz="6" w:space="0"/>
              <w:bottom w:val="single" w:color="000000" w:sz="6" w:space="0"/>
              <w:right w:val="single" w:color="000000" w:sz="6" w:space="0"/>
            </w:tcBorders>
          </w:tcPr>
          <w:p/>
        </w:tc>
        <w:tc>
          <w:tcPr>
            <w:tcW w:w="2088" w:type="dxa"/>
            <w:tcBorders>
              <w:top w:val="single" w:color="000000" w:sz="6" w:space="0"/>
              <w:left w:val="single" w:color="000000" w:sz="6" w:space="0"/>
              <w:bottom w:val="single" w:color="000000" w:sz="6"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exact"/>
        </w:trPr>
        <w:tc>
          <w:tcPr>
            <w:tcW w:w="825" w:type="dxa"/>
            <w:tcBorders>
              <w:top w:val="single" w:color="000000" w:sz="6" w:space="0"/>
              <w:bottom w:val="single" w:color="000000" w:sz="6" w:space="0"/>
              <w:right w:val="single" w:color="000000" w:sz="6" w:space="0"/>
            </w:tcBorders>
          </w:tcPr>
          <w:p/>
        </w:tc>
        <w:tc>
          <w:tcPr>
            <w:tcW w:w="1032" w:type="dxa"/>
            <w:tcBorders>
              <w:top w:val="single" w:color="000000" w:sz="6" w:space="0"/>
              <w:left w:val="single" w:color="000000" w:sz="6" w:space="0"/>
              <w:bottom w:val="single" w:color="000000" w:sz="6" w:space="0"/>
              <w:right w:val="single" w:color="000000" w:sz="6" w:space="0"/>
            </w:tcBorders>
          </w:tcPr>
          <w:p/>
        </w:tc>
        <w:tc>
          <w:tcPr>
            <w:tcW w:w="945" w:type="dxa"/>
            <w:tcBorders>
              <w:top w:val="single" w:color="000000" w:sz="6" w:space="0"/>
              <w:left w:val="single" w:color="000000" w:sz="6" w:space="0"/>
              <w:bottom w:val="single" w:color="000000" w:sz="6" w:space="0"/>
              <w:right w:val="single" w:color="000000" w:sz="6" w:space="0"/>
            </w:tcBorders>
          </w:tcPr>
          <w:p/>
        </w:tc>
        <w:tc>
          <w:tcPr>
            <w:tcW w:w="1266" w:type="dxa"/>
            <w:tcBorders>
              <w:top w:val="single" w:color="000000" w:sz="6" w:space="0"/>
              <w:left w:val="single" w:color="000000" w:sz="6" w:space="0"/>
              <w:bottom w:val="single" w:color="000000" w:sz="6" w:space="0"/>
              <w:right w:val="single" w:color="000000" w:sz="6" w:space="0"/>
            </w:tcBorders>
          </w:tcPr>
          <w:p/>
        </w:tc>
        <w:tc>
          <w:tcPr>
            <w:tcW w:w="900" w:type="dxa"/>
            <w:tcBorders>
              <w:top w:val="single" w:color="000000" w:sz="6" w:space="0"/>
              <w:left w:val="single" w:color="000000" w:sz="6" w:space="0"/>
              <w:bottom w:val="single" w:color="000000" w:sz="6" w:space="0"/>
              <w:right w:val="single" w:color="000000" w:sz="6" w:space="0"/>
            </w:tcBorders>
          </w:tcPr>
          <w:p/>
        </w:tc>
        <w:tc>
          <w:tcPr>
            <w:tcW w:w="720" w:type="dxa"/>
            <w:tcBorders>
              <w:top w:val="single" w:color="000000" w:sz="6" w:space="0"/>
              <w:left w:val="single" w:color="000000" w:sz="6" w:space="0"/>
              <w:bottom w:val="single" w:color="000000" w:sz="6" w:space="0"/>
              <w:right w:val="single" w:color="000000" w:sz="6" w:space="0"/>
            </w:tcBorders>
          </w:tcPr>
          <w:p/>
        </w:tc>
        <w:tc>
          <w:tcPr>
            <w:tcW w:w="1740" w:type="dxa"/>
            <w:tcBorders>
              <w:top w:val="single" w:color="000000" w:sz="6" w:space="0"/>
              <w:left w:val="single" w:color="000000" w:sz="6" w:space="0"/>
              <w:bottom w:val="single" w:color="000000" w:sz="6" w:space="0"/>
              <w:right w:val="single" w:color="000000" w:sz="6" w:space="0"/>
            </w:tcBorders>
          </w:tcPr>
          <w:p/>
        </w:tc>
        <w:tc>
          <w:tcPr>
            <w:tcW w:w="780" w:type="dxa"/>
            <w:tcBorders>
              <w:top w:val="single" w:color="000000" w:sz="6" w:space="0"/>
              <w:left w:val="single" w:color="000000" w:sz="6" w:space="0"/>
              <w:bottom w:val="single" w:color="000000" w:sz="6" w:space="0"/>
              <w:right w:val="single" w:color="000000" w:sz="6" w:space="0"/>
            </w:tcBorders>
          </w:tcPr>
          <w:p/>
        </w:tc>
        <w:tc>
          <w:tcPr>
            <w:tcW w:w="2088" w:type="dxa"/>
            <w:tcBorders>
              <w:top w:val="single" w:color="000000" w:sz="6" w:space="0"/>
              <w:left w:val="single" w:color="000000" w:sz="6" w:space="0"/>
              <w:bottom w:val="single" w:color="000000" w:sz="6"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exact"/>
        </w:trPr>
        <w:tc>
          <w:tcPr>
            <w:tcW w:w="825" w:type="dxa"/>
            <w:tcBorders>
              <w:top w:val="single" w:color="000000" w:sz="6" w:space="0"/>
              <w:right w:val="single" w:color="000000" w:sz="6" w:space="0"/>
            </w:tcBorders>
          </w:tcPr>
          <w:p/>
        </w:tc>
        <w:tc>
          <w:tcPr>
            <w:tcW w:w="1032" w:type="dxa"/>
            <w:tcBorders>
              <w:top w:val="single" w:color="000000" w:sz="6" w:space="0"/>
              <w:left w:val="single" w:color="000000" w:sz="6" w:space="0"/>
              <w:right w:val="single" w:color="000000" w:sz="6" w:space="0"/>
            </w:tcBorders>
          </w:tcPr>
          <w:p/>
        </w:tc>
        <w:tc>
          <w:tcPr>
            <w:tcW w:w="945" w:type="dxa"/>
            <w:tcBorders>
              <w:top w:val="single" w:color="000000" w:sz="6" w:space="0"/>
              <w:left w:val="single" w:color="000000" w:sz="6" w:space="0"/>
              <w:right w:val="single" w:color="000000" w:sz="6" w:space="0"/>
            </w:tcBorders>
          </w:tcPr>
          <w:p/>
        </w:tc>
        <w:tc>
          <w:tcPr>
            <w:tcW w:w="1266" w:type="dxa"/>
            <w:tcBorders>
              <w:top w:val="single" w:color="000000" w:sz="6" w:space="0"/>
              <w:left w:val="single" w:color="000000" w:sz="6" w:space="0"/>
              <w:right w:val="single" w:color="000000" w:sz="6" w:space="0"/>
            </w:tcBorders>
          </w:tcPr>
          <w:p/>
        </w:tc>
        <w:tc>
          <w:tcPr>
            <w:tcW w:w="900" w:type="dxa"/>
            <w:tcBorders>
              <w:top w:val="single" w:color="000000" w:sz="6" w:space="0"/>
              <w:left w:val="single" w:color="000000" w:sz="6" w:space="0"/>
              <w:right w:val="single" w:color="000000" w:sz="6" w:space="0"/>
            </w:tcBorders>
          </w:tcPr>
          <w:p/>
        </w:tc>
        <w:tc>
          <w:tcPr>
            <w:tcW w:w="720" w:type="dxa"/>
            <w:tcBorders>
              <w:top w:val="single" w:color="000000" w:sz="6" w:space="0"/>
              <w:left w:val="single" w:color="000000" w:sz="6" w:space="0"/>
              <w:right w:val="single" w:color="000000" w:sz="6" w:space="0"/>
            </w:tcBorders>
          </w:tcPr>
          <w:p/>
        </w:tc>
        <w:tc>
          <w:tcPr>
            <w:tcW w:w="1740" w:type="dxa"/>
            <w:tcBorders>
              <w:top w:val="single" w:color="000000" w:sz="6" w:space="0"/>
              <w:left w:val="single" w:color="000000" w:sz="6" w:space="0"/>
              <w:right w:val="single" w:color="000000" w:sz="6" w:space="0"/>
            </w:tcBorders>
          </w:tcPr>
          <w:p/>
        </w:tc>
        <w:tc>
          <w:tcPr>
            <w:tcW w:w="780" w:type="dxa"/>
            <w:tcBorders>
              <w:top w:val="single" w:color="000000" w:sz="6" w:space="0"/>
              <w:left w:val="single" w:color="000000" w:sz="6" w:space="0"/>
              <w:right w:val="single" w:color="000000" w:sz="6" w:space="0"/>
            </w:tcBorders>
          </w:tcPr>
          <w:p/>
        </w:tc>
        <w:tc>
          <w:tcPr>
            <w:tcW w:w="2088" w:type="dxa"/>
            <w:tcBorders>
              <w:top w:val="single" w:color="000000" w:sz="6" w:space="0"/>
              <w:left w:val="single" w:color="000000" w:sz="6" w:space="0"/>
            </w:tcBorders>
          </w:tcPr>
          <w:p/>
        </w:tc>
      </w:tr>
    </w:tbl>
    <w:p>
      <w:pPr>
        <w:numPr>
          <w:ilvl w:val="0"/>
          <w:numId w:val="2"/>
        </w:numPr>
        <w:spacing w:line="360" w:lineRule="auto"/>
        <w:ind w:left="0" w:leftChars="0" w:firstLine="0" w:firstLineChars="0"/>
        <w:jc w:val="left"/>
        <w:outlineLvl w:val="2"/>
      </w:pPr>
      <w:bookmarkStart w:id="618" w:name="_Toc23358"/>
      <w:r>
        <w:rPr>
          <w:rFonts w:hint="eastAsia" w:ascii="仿宋" w:hAnsi="仿宋" w:eastAsia="仿宋" w:cs="宋体"/>
          <w:b/>
          <w:bCs/>
          <w:color w:val="000000" w:themeColor="text1"/>
          <w:sz w:val="24"/>
          <w:szCs w:val="24"/>
          <w:highlight w:val="none"/>
          <w14:textFill>
            <w14:solidFill>
              <w14:schemeClr w14:val="tx1"/>
            </w14:solidFill>
          </w14:textFill>
        </w:rPr>
        <w:t>主要人员简历表</w:t>
      </w:r>
      <w:bookmarkEnd w:id="618"/>
    </w:p>
    <w:p>
      <w:pPr>
        <w:numPr>
          <w:ilvl w:val="0"/>
          <w:numId w:val="0"/>
        </w:numPr>
        <w:spacing w:line="360" w:lineRule="auto"/>
        <w:ind w:leftChars="0"/>
        <w:jc w:val="left"/>
        <w:outlineLvl w:val="2"/>
      </w:pPr>
      <w:bookmarkStart w:id="619" w:name="_Toc13147"/>
      <w:r>
        <w:t>“主要人员简历表”中须附项目负责人职称证、身份证、养老保险复印件，管理过的项目业绩须附合同协议书复印件；其他主要人员应附职称证（执业证或上岗证书）。</w:t>
      </w:r>
      <w:bookmarkEnd w:id="619"/>
    </w:p>
    <w:tbl>
      <w:tblPr>
        <w:tblStyle w:val="25"/>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60"/>
        <w:gridCol w:w="233"/>
        <w:gridCol w:w="1567"/>
        <w:gridCol w:w="1080"/>
        <w:gridCol w:w="1616"/>
        <w:gridCol w:w="1992"/>
        <w:gridCol w:w="26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260" w:type="dxa"/>
          </w:tcPr>
          <w:p>
            <w:pPr>
              <w:pStyle w:val="116"/>
              <w:spacing w:line="281" w:lineRule="exact"/>
              <w:ind w:left="365" w:right="365"/>
              <w:jc w:val="center"/>
              <w:rPr>
                <w:sz w:val="24"/>
              </w:rPr>
            </w:pPr>
            <w:r>
              <w:rPr>
                <w:sz w:val="24"/>
              </w:rPr>
              <w:t>姓名</w:t>
            </w:r>
          </w:p>
        </w:tc>
        <w:tc>
          <w:tcPr>
            <w:tcW w:w="1800" w:type="dxa"/>
            <w:gridSpan w:val="2"/>
          </w:tcPr>
          <w:p/>
        </w:tc>
        <w:tc>
          <w:tcPr>
            <w:tcW w:w="1080" w:type="dxa"/>
          </w:tcPr>
          <w:p>
            <w:pPr>
              <w:pStyle w:val="116"/>
              <w:spacing w:line="281" w:lineRule="exact"/>
              <w:ind w:left="274" w:right="275"/>
              <w:jc w:val="center"/>
              <w:rPr>
                <w:sz w:val="24"/>
              </w:rPr>
            </w:pPr>
            <w:r>
              <w:rPr>
                <w:sz w:val="24"/>
              </w:rPr>
              <w:t>年龄</w:t>
            </w:r>
          </w:p>
        </w:tc>
        <w:tc>
          <w:tcPr>
            <w:tcW w:w="1616" w:type="dxa"/>
          </w:tcPr>
          <w:p/>
        </w:tc>
        <w:tc>
          <w:tcPr>
            <w:tcW w:w="1992" w:type="dxa"/>
          </w:tcPr>
          <w:p>
            <w:pPr>
              <w:pStyle w:val="116"/>
              <w:spacing w:line="281" w:lineRule="exact"/>
              <w:ind w:left="131" w:right="130"/>
              <w:jc w:val="center"/>
              <w:rPr>
                <w:sz w:val="24"/>
              </w:rPr>
            </w:pPr>
            <w:r>
              <w:rPr>
                <w:sz w:val="24"/>
              </w:rPr>
              <w:t>学历</w:t>
            </w:r>
          </w:p>
        </w:tc>
        <w:tc>
          <w:tcPr>
            <w:tcW w:w="262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260" w:type="dxa"/>
          </w:tcPr>
          <w:p>
            <w:pPr>
              <w:pStyle w:val="116"/>
              <w:spacing w:line="281" w:lineRule="exact"/>
              <w:ind w:left="365" w:right="365"/>
              <w:jc w:val="center"/>
              <w:rPr>
                <w:sz w:val="24"/>
              </w:rPr>
            </w:pPr>
            <w:r>
              <w:rPr>
                <w:sz w:val="24"/>
              </w:rPr>
              <w:t>职称</w:t>
            </w:r>
          </w:p>
        </w:tc>
        <w:tc>
          <w:tcPr>
            <w:tcW w:w="1800" w:type="dxa"/>
            <w:gridSpan w:val="2"/>
          </w:tcPr>
          <w:p/>
        </w:tc>
        <w:tc>
          <w:tcPr>
            <w:tcW w:w="1080" w:type="dxa"/>
          </w:tcPr>
          <w:p>
            <w:pPr>
              <w:pStyle w:val="116"/>
              <w:spacing w:line="281" w:lineRule="exact"/>
              <w:ind w:left="274" w:right="275"/>
              <w:jc w:val="center"/>
              <w:rPr>
                <w:sz w:val="24"/>
              </w:rPr>
            </w:pPr>
            <w:r>
              <w:rPr>
                <w:sz w:val="24"/>
              </w:rPr>
              <w:t>职务</w:t>
            </w:r>
          </w:p>
        </w:tc>
        <w:tc>
          <w:tcPr>
            <w:tcW w:w="1616" w:type="dxa"/>
          </w:tcPr>
          <w:p/>
        </w:tc>
        <w:tc>
          <w:tcPr>
            <w:tcW w:w="1992" w:type="dxa"/>
          </w:tcPr>
          <w:p>
            <w:pPr>
              <w:pStyle w:val="116"/>
              <w:spacing w:line="281" w:lineRule="exact"/>
              <w:ind w:left="131" w:right="130"/>
              <w:jc w:val="center"/>
              <w:rPr>
                <w:sz w:val="24"/>
              </w:rPr>
            </w:pPr>
            <w:r>
              <w:rPr>
                <w:sz w:val="24"/>
              </w:rPr>
              <w:t>拟在本合同任职</w:t>
            </w:r>
          </w:p>
        </w:tc>
        <w:tc>
          <w:tcPr>
            <w:tcW w:w="262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3060" w:type="dxa"/>
            <w:gridSpan w:val="3"/>
          </w:tcPr>
          <w:p>
            <w:pPr>
              <w:pStyle w:val="116"/>
              <w:spacing w:line="267" w:lineRule="exact"/>
              <w:ind w:left="1025" w:right="1025"/>
              <w:jc w:val="center"/>
              <w:rPr>
                <w:sz w:val="24"/>
              </w:rPr>
            </w:pPr>
            <w:r>
              <w:rPr>
                <w:sz w:val="24"/>
              </w:rPr>
              <w:t>毕业学校</w:t>
            </w:r>
          </w:p>
        </w:tc>
        <w:tc>
          <w:tcPr>
            <w:tcW w:w="7308" w:type="dxa"/>
            <w:gridSpan w:val="4"/>
          </w:tcPr>
          <w:p>
            <w:pPr>
              <w:pStyle w:val="116"/>
              <w:tabs>
                <w:tab w:val="left" w:pos="3589"/>
                <w:tab w:val="left" w:pos="4789"/>
              </w:tabs>
              <w:spacing w:line="267" w:lineRule="exact"/>
              <w:ind w:left="2029"/>
              <w:rPr>
                <w:sz w:val="24"/>
              </w:rPr>
            </w:pPr>
            <w:r>
              <w:rPr>
                <w:sz w:val="24"/>
              </w:rPr>
              <w:t>年毕业于</w:t>
            </w:r>
            <w:r>
              <w:rPr>
                <w:sz w:val="24"/>
              </w:rPr>
              <w:tab/>
            </w:r>
            <w:r>
              <w:rPr>
                <w:sz w:val="24"/>
              </w:rPr>
              <w:t>学校</w:t>
            </w:r>
            <w:r>
              <w:rPr>
                <w:sz w:val="24"/>
              </w:rPr>
              <w:tab/>
            </w:r>
            <w:r>
              <w:rPr>
                <w:sz w:val="24"/>
              </w:rPr>
              <w:t>专业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0368" w:type="dxa"/>
            <w:gridSpan w:val="7"/>
          </w:tcPr>
          <w:p>
            <w:pPr>
              <w:pStyle w:val="116"/>
              <w:spacing w:line="268" w:lineRule="exact"/>
              <w:ind w:left="4438" w:right="4439"/>
              <w:jc w:val="center"/>
              <w:rPr>
                <w:sz w:val="24"/>
              </w:rPr>
            </w:pPr>
            <w:r>
              <w:rPr>
                <w:sz w:val="24"/>
              </w:rPr>
              <w:t>主要工作经历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493" w:type="dxa"/>
            <w:gridSpan w:val="2"/>
          </w:tcPr>
          <w:p>
            <w:pPr>
              <w:pStyle w:val="116"/>
              <w:spacing w:line="280" w:lineRule="exact"/>
              <w:ind w:left="440"/>
              <w:rPr>
                <w:sz w:val="24"/>
              </w:rPr>
            </w:pPr>
            <w:r>
              <w:rPr>
                <w:sz w:val="24"/>
              </w:rPr>
              <w:t>时 间</w:t>
            </w:r>
          </w:p>
        </w:tc>
        <w:tc>
          <w:tcPr>
            <w:tcW w:w="4263" w:type="dxa"/>
            <w:gridSpan w:val="3"/>
          </w:tcPr>
          <w:p>
            <w:pPr>
              <w:pStyle w:val="116"/>
              <w:spacing w:line="280" w:lineRule="exact"/>
              <w:ind w:left="1165"/>
              <w:rPr>
                <w:sz w:val="24"/>
              </w:rPr>
            </w:pPr>
            <w:r>
              <w:rPr>
                <w:sz w:val="24"/>
              </w:rPr>
              <w:t>参加过的类似项目</w:t>
            </w:r>
          </w:p>
        </w:tc>
        <w:tc>
          <w:tcPr>
            <w:tcW w:w="1992" w:type="dxa"/>
          </w:tcPr>
          <w:p>
            <w:pPr>
              <w:pStyle w:val="116"/>
              <w:spacing w:line="280" w:lineRule="exact"/>
              <w:ind w:left="131" w:right="130"/>
              <w:jc w:val="center"/>
              <w:rPr>
                <w:sz w:val="24"/>
              </w:rPr>
            </w:pPr>
            <w:r>
              <w:rPr>
                <w:sz w:val="24"/>
              </w:rPr>
              <w:t>担任职务</w:t>
            </w:r>
          </w:p>
        </w:tc>
        <w:tc>
          <w:tcPr>
            <w:tcW w:w="2620" w:type="dxa"/>
          </w:tcPr>
          <w:p>
            <w:pPr>
              <w:pStyle w:val="116"/>
              <w:spacing w:line="280" w:lineRule="exact"/>
              <w:ind w:left="343"/>
              <w:rPr>
                <w:sz w:val="24"/>
              </w:rPr>
            </w:pPr>
            <w:r>
              <w:rPr>
                <w:sz w:val="24"/>
              </w:rPr>
              <w:t>采购人及联系电话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493" w:type="dxa"/>
            <w:gridSpan w:val="2"/>
          </w:tcPr>
          <w:p/>
        </w:tc>
        <w:tc>
          <w:tcPr>
            <w:tcW w:w="4263" w:type="dxa"/>
            <w:gridSpan w:val="3"/>
          </w:tcPr>
          <w:p/>
        </w:tc>
        <w:tc>
          <w:tcPr>
            <w:tcW w:w="1992" w:type="dxa"/>
          </w:tcPr>
          <w:p/>
        </w:tc>
        <w:tc>
          <w:tcPr>
            <w:tcW w:w="262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493" w:type="dxa"/>
            <w:gridSpan w:val="2"/>
          </w:tcPr>
          <w:p/>
        </w:tc>
        <w:tc>
          <w:tcPr>
            <w:tcW w:w="4263" w:type="dxa"/>
            <w:gridSpan w:val="3"/>
          </w:tcPr>
          <w:p/>
        </w:tc>
        <w:tc>
          <w:tcPr>
            <w:tcW w:w="1992" w:type="dxa"/>
          </w:tcPr>
          <w:p/>
        </w:tc>
        <w:tc>
          <w:tcPr>
            <w:tcW w:w="262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493" w:type="dxa"/>
            <w:gridSpan w:val="2"/>
          </w:tcPr>
          <w:p/>
        </w:tc>
        <w:tc>
          <w:tcPr>
            <w:tcW w:w="4263" w:type="dxa"/>
            <w:gridSpan w:val="3"/>
          </w:tcPr>
          <w:p/>
        </w:tc>
        <w:tc>
          <w:tcPr>
            <w:tcW w:w="1992" w:type="dxa"/>
          </w:tcPr>
          <w:p/>
        </w:tc>
        <w:tc>
          <w:tcPr>
            <w:tcW w:w="262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493" w:type="dxa"/>
            <w:gridSpan w:val="2"/>
          </w:tcPr>
          <w:p/>
        </w:tc>
        <w:tc>
          <w:tcPr>
            <w:tcW w:w="4263" w:type="dxa"/>
            <w:gridSpan w:val="3"/>
          </w:tcPr>
          <w:p/>
        </w:tc>
        <w:tc>
          <w:tcPr>
            <w:tcW w:w="1992" w:type="dxa"/>
          </w:tcPr>
          <w:p/>
        </w:tc>
        <w:tc>
          <w:tcPr>
            <w:tcW w:w="262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493" w:type="dxa"/>
            <w:gridSpan w:val="2"/>
          </w:tcPr>
          <w:p/>
        </w:tc>
        <w:tc>
          <w:tcPr>
            <w:tcW w:w="4263" w:type="dxa"/>
            <w:gridSpan w:val="3"/>
          </w:tcPr>
          <w:p/>
        </w:tc>
        <w:tc>
          <w:tcPr>
            <w:tcW w:w="1992" w:type="dxa"/>
          </w:tcPr>
          <w:p/>
        </w:tc>
        <w:tc>
          <w:tcPr>
            <w:tcW w:w="262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493" w:type="dxa"/>
            <w:gridSpan w:val="2"/>
          </w:tcPr>
          <w:p/>
        </w:tc>
        <w:tc>
          <w:tcPr>
            <w:tcW w:w="4263" w:type="dxa"/>
            <w:gridSpan w:val="3"/>
          </w:tcPr>
          <w:p/>
        </w:tc>
        <w:tc>
          <w:tcPr>
            <w:tcW w:w="1992" w:type="dxa"/>
          </w:tcPr>
          <w:p/>
        </w:tc>
        <w:tc>
          <w:tcPr>
            <w:tcW w:w="262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493" w:type="dxa"/>
            <w:gridSpan w:val="2"/>
          </w:tcPr>
          <w:p/>
        </w:tc>
        <w:tc>
          <w:tcPr>
            <w:tcW w:w="4263" w:type="dxa"/>
            <w:gridSpan w:val="3"/>
          </w:tcPr>
          <w:p/>
        </w:tc>
        <w:tc>
          <w:tcPr>
            <w:tcW w:w="1992" w:type="dxa"/>
          </w:tcPr>
          <w:p/>
        </w:tc>
        <w:tc>
          <w:tcPr>
            <w:tcW w:w="2620" w:type="dxa"/>
          </w:tcPr>
          <w:p/>
        </w:tc>
      </w:tr>
    </w:tbl>
    <w:p>
      <w:pPr>
        <w:pStyle w:val="2"/>
      </w:pPr>
    </w:p>
    <w:p>
      <w:pPr>
        <w:pStyle w:val="2"/>
        <w:numPr>
          <w:ilvl w:val="0"/>
          <w:numId w:val="0"/>
        </w:numPr>
        <w:ind w:leftChars="0"/>
        <w:rPr>
          <w:rFonts w:hint="eastAsia"/>
        </w:rPr>
      </w:pPr>
    </w:p>
    <w:p>
      <w:pPr>
        <w:pStyle w:val="2"/>
        <w:numPr>
          <w:ilvl w:val="0"/>
          <w:numId w:val="0"/>
        </w:numPr>
        <w:rPr>
          <w:rFonts w:hint="eastAsia"/>
        </w:rPr>
      </w:pPr>
    </w:p>
    <w:p>
      <w:pPr>
        <w:pStyle w:val="2"/>
        <w:rPr>
          <w:rFonts w:hint="eastAsia"/>
        </w:rPr>
      </w:pPr>
    </w:p>
    <w:p>
      <w:pPr>
        <w:spacing w:line="360" w:lineRule="auto"/>
        <w:jc w:val="left"/>
        <w:outlineLvl w:val="2"/>
        <w:rPr>
          <w:rFonts w:hint="eastAsia" w:ascii="仿宋" w:hAnsi="仿宋" w:eastAsia="仿宋" w:cs="宋体"/>
          <w:b/>
          <w:bCs/>
          <w:color w:val="000000" w:themeColor="text1"/>
          <w:kern w:val="0"/>
          <w:sz w:val="24"/>
          <w:szCs w:val="24"/>
          <w:highlight w:val="none"/>
          <w14:textFill>
            <w14:solidFill>
              <w14:schemeClr w14:val="tx1"/>
            </w14:solidFill>
          </w14:textFill>
        </w:rPr>
      </w:pPr>
    </w:p>
    <w:p>
      <w:pPr>
        <w:pStyle w:val="2"/>
        <w:rPr>
          <w:rFonts w:hint="eastAsia"/>
        </w:rPr>
      </w:pPr>
    </w:p>
    <w:p>
      <w:pPr>
        <w:spacing w:line="360" w:lineRule="auto"/>
        <w:jc w:val="left"/>
        <w:outlineLvl w:val="2"/>
        <w:rPr>
          <w:rFonts w:hint="eastAsia" w:ascii="仿宋" w:hAnsi="仿宋" w:eastAsia="仿宋" w:cs="宋体"/>
          <w:b/>
          <w:bCs/>
          <w:color w:val="000000" w:themeColor="text1"/>
          <w:kern w:val="0"/>
          <w:sz w:val="24"/>
          <w:szCs w:val="24"/>
          <w:highlight w:val="none"/>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14:textFill>
            <w14:solidFill>
              <w14:schemeClr w14:val="tx1"/>
            </w14:solidFill>
          </w14:textFill>
        </w:rPr>
      </w:pPr>
      <w:bookmarkStart w:id="620" w:name="_Toc15457"/>
      <w:r>
        <w:rPr>
          <w:rFonts w:hint="eastAsia" w:ascii="仿宋" w:hAnsi="仿宋" w:eastAsia="仿宋" w:cs="宋体"/>
          <w:b/>
          <w:bCs/>
          <w:color w:val="000000" w:themeColor="text1"/>
          <w:kern w:val="0"/>
          <w:sz w:val="24"/>
          <w:szCs w:val="24"/>
          <w:highlight w:val="none"/>
          <w:lang w:eastAsia="zh-CN"/>
          <w14:textFill>
            <w14:solidFill>
              <w14:schemeClr w14:val="tx1"/>
            </w14:solidFill>
          </w14:textFill>
        </w:rPr>
        <w:t>八、</w:t>
      </w:r>
      <w:r>
        <w:rPr>
          <w:rFonts w:hint="eastAsia" w:ascii="仿宋" w:hAnsi="仿宋" w:eastAsia="仿宋" w:cs="宋体"/>
          <w:b/>
          <w:bCs/>
          <w:color w:val="000000" w:themeColor="text1"/>
          <w:kern w:val="0"/>
          <w:sz w:val="24"/>
          <w:szCs w:val="24"/>
          <w:highlight w:val="none"/>
          <w14:textFill>
            <w14:solidFill>
              <w14:schemeClr w14:val="tx1"/>
            </w14:solidFill>
          </w14:textFill>
        </w:rPr>
        <w:t>资格证明材料</w:t>
      </w:r>
      <w:bookmarkEnd w:id="620"/>
    </w:p>
    <w:p>
      <w:pPr>
        <w:spacing w:line="360" w:lineRule="auto"/>
        <w:jc w:val="left"/>
        <w:outlineLvl w:val="2"/>
        <w:rPr>
          <w:rFonts w:hint="eastAsia" w:ascii="仿宋" w:hAnsi="仿宋" w:eastAsia="仿宋" w:cs="宋体"/>
          <w:b/>
          <w:bCs/>
          <w:color w:val="000000" w:themeColor="text1"/>
          <w:kern w:val="0"/>
          <w:sz w:val="24"/>
          <w:szCs w:val="24"/>
          <w:highlight w:val="none"/>
          <w14:textFill>
            <w14:solidFill>
              <w14:schemeClr w14:val="tx1"/>
            </w14:solidFill>
          </w14:textFill>
        </w:rPr>
      </w:pPr>
      <w:bookmarkStart w:id="621" w:name="_Toc31913"/>
      <w:r>
        <w:rPr>
          <w:rFonts w:hint="eastAsia" w:ascii="仿宋" w:hAnsi="仿宋" w:eastAsia="仿宋" w:cs="宋体"/>
          <w:b/>
          <w:bCs/>
          <w:color w:val="000000" w:themeColor="text1"/>
          <w:kern w:val="0"/>
          <w:sz w:val="24"/>
          <w:szCs w:val="24"/>
          <w:highlight w:val="none"/>
          <w:lang w:eastAsia="zh-CN"/>
          <w14:textFill>
            <w14:solidFill>
              <w14:schemeClr w14:val="tx1"/>
            </w14:solidFill>
          </w14:textFill>
        </w:rPr>
        <w:t>投标人</w:t>
      </w:r>
      <w:r>
        <w:rPr>
          <w:rFonts w:hint="eastAsia" w:ascii="仿宋" w:hAnsi="仿宋" w:eastAsia="仿宋" w:cs="宋体"/>
          <w:b/>
          <w:bCs/>
          <w:color w:val="000000" w:themeColor="text1"/>
          <w:kern w:val="0"/>
          <w:sz w:val="24"/>
          <w:szCs w:val="24"/>
          <w:highlight w:val="none"/>
          <w14:textFill>
            <w14:solidFill>
              <w14:schemeClr w14:val="tx1"/>
            </w14:solidFill>
          </w14:textFill>
        </w:rPr>
        <w:t>基本情况表</w:t>
      </w:r>
      <w:bookmarkEnd w:id="621"/>
    </w:p>
    <w:p>
      <w:pPr>
        <w:pStyle w:val="48"/>
        <w:rPr>
          <w:rFonts w:hint="eastAsia"/>
        </w:rPr>
      </w:pPr>
    </w:p>
    <w:tbl>
      <w:tblPr>
        <w:tblStyle w:val="25"/>
        <w:tblW w:w="0" w:type="auto"/>
        <w:tblInd w:w="2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66"/>
        <w:gridCol w:w="951"/>
        <w:gridCol w:w="1295"/>
        <w:gridCol w:w="1296"/>
        <w:gridCol w:w="172"/>
        <w:gridCol w:w="1123"/>
        <w:gridCol w:w="648"/>
        <w:gridCol w:w="284"/>
        <w:gridCol w:w="364"/>
        <w:gridCol w:w="2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exact"/>
        </w:trPr>
        <w:tc>
          <w:tcPr>
            <w:tcW w:w="1566" w:type="dxa"/>
          </w:tcPr>
          <w:p>
            <w:pPr>
              <w:pStyle w:val="116"/>
              <w:spacing w:before="42"/>
              <w:ind w:left="104"/>
              <w:rPr>
                <w:sz w:val="24"/>
              </w:rPr>
            </w:pPr>
            <w:r>
              <w:rPr>
                <w:sz w:val="24"/>
              </w:rPr>
              <w:t>供应商名称</w:t>
            </w:r>
          </w:p>
        </w:tc>
        <w:tc>
          <w:tcPr>
            <w:tcW w:w="8619" w:type="dxa"/>
            <w:gridSpan w:val="9"/>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exact"/>
        </w:trPr>
        <w:tc>
          <w:tcPr>
            <w:tcW w:w="1566" w:type="dxa"/>
          </w:tcPr>
          <w:p>
            <w:pPr>
              <w:pStyle w:val="116"/>
              <w:spacing w:before="41"/>
              <w:ind w:left="104"/>
              <w:rPr>
                <w:sz w:val="24"/>
              </w:rPr>
            </w:pPr>
            <w:r>
              <w:rPr>
                <w:sz w:val="24"/>
              </w:rPr>
              <w:t>注册地址</w:t>
            </w:r>
          </w:p>
        </w:tc>
        <w:tc>
          <w:tcPr>
            <w:tcW w:w="3714" w:type="dxa"/>
            <w:gridSpan w:val="4"/>
          </w:tcPr>
          <w:p/>
        </w:tc>
        <w:tc>
          <w:tcPr>
            <w:tcW w:w="2055" w:type="dxa"/>
            <w:gridSpan w:val="3"/>
          </w:tcPr>
          <w:p>
            <w:pPr>
              <w:pStyle w:val="116"/>
              <w:spacing w:before="41"/>
              <w:ind w:left="104"/>
              <w:rPr>
                <w:sz w:val="24"/>
              </w:rPr>
            </w:pPr>
            <w:r>
              <w:rPr>
                <w:sz w:val="24"/>
              </w:rPr>
              <w:t>邮政编码</w:t>
            </w:r>
          </w:p>
        </w:tc>
        <w:tc>
          <w:tcPr>
            <w:tcW w:w="2850" w:type="dxa"/>
            <w:gridSpan w:val="2"/>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exact"/>
        </w:trPr>
        <w:tc>
          <w:tcPr>
            <w:tcW w:w="1566" w:type="dxa"/>
          </w:tcPr>
          <w:p>
            <w:pPr>
              <w:pStyle w:val="116"/>
              <w:spacing w:before="41"/>
              <w:ind w:left="104"/>
              <w:rPr>
                <w:sz w:val="24"/>
              </w:rPr>
            </w:pPr>
            <w:r>
              <w:rPr>
                <w:sz w:val="24"/>
              </w:rPr>
              <w:t>联系方式</w:t>
            </w:r>
          </w:p>
        </w:tc>
        <w:tc>
          <w:tcPr>
            <w:tcW w:w="951" w:type="dxa"/>
          </w:tcPr>
          <w:p>
            <w:pPr>
              <w:pStyle w:val="116"/>
              <w:spacing w:before="41"/>
              <w:ind w:left="103"/>
              <w:rPr>
                <w:sz w:val="24"/>
              </w:rPr>
            </w:pPr>
            <w:r>
              <w:rPr>
                <w:sz w:val="24"/>
              </w:rPr>
              <w:t>联系人</w:t>
            </w:r>
          </w:p>
        </w:tc>
        <w:tc>
          <w:tcPr>
            <w:tcW w:w="2763" w:type="dxa"/>
            <w:gridSpan w:val="3"/>
          </w:tcPr>
          <w:p/>
        </w:tc>
        <w:tc>
          <w:tcPr>
            <w:tcW w:w="2055" w:type="dxa"/>
            <w:gridSpan w:val="3"/>
          </w:tcPr>
          <w:p>
            <w:pPr>
              <w:pStyle w:val="116"/>
              <w:spacing w:before="41"/>
              <w:ind w:left="104"/>
              <w:rPr>
                <w:sz w:val="24"/>
              </w:rPr>
            </w:pPr>
            <w:r>
              <w:rPr>
                <w:sz w:val="24"/>
              </w:rPr>
              <w:t>电 话</w:t>
            </w:r>
          </w:p>
        </w:tc>
        <w:tc>
          <w:tcPr>
            <w:tcW w:w="2850" w:type="dxa"/>
            <w:gridSpan w:val="2"/>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exact"/>
        </w:trPr>
        <w:tc>
          <w:tcPr>
            <w:tcW w:w="1566" w:type="dxa"/>
          </w:tcPr>
          <w:p/>
        </w:tc>
        <w:tc>
          <w:tcPr>
            <w:tcW w:w="951" w:type="dxa"/>
          </w:tcPr>
          <w:p>
            <w:pPr>
              <w:pStyle w:val="116"/>
              <w:spacing w:before="40"/>
              <w:ind w:left="103"/>
              <w:rPr>
                <w:sz w:val="24"/>
              </w:rPr>
            </w:pPr>
            <w:r>
              <w:rPr>
                <w:sz w:val="24"/>
              </w:rPr>
              <w:t>传 真</w:t>
            </w:r>
          </w:p>
        </w:tc>
        <w:tc>
          <w:tcPr>
            <w:tcW w:w="2763" w:type="dxa"/>
            <w:gridSpan w:val="3"/>
          </w:tcPr>
          <w:p/>
        </w:tc>
        <w:tc>
          <w:tcPr>
            <w:tcW w:w="2055" w:type="dxa"/>
            <w:gridSpan w:val="3"/>
          </w:tcPr>
          <w:p>
            <w:pPr>
              <w:pStyle w:val="116"/>
              <w:spacing w:before="40"/>
              <w:ind w:left="104"/>
              <w:rPr>
                <w:sz w:val="24"/>
              </w:rPr>
            </w:pPr>
            <w:r>
              <w:rPr>
                <w:sz w:val="24"/>
              </w:rPr>
              <w:t>网 址</w:t>
            </w:r>
          </w:p>
        </w:tc>
        <w:tc>
          <w:tcPr>
            <w:tcW w:w="2850" w:type="dxa"/>
            <w:gridSpan w:val="2"/>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exact"/>
        </w:trPr>
        <w:tc>
          <w:tcPr>
            <w:tcW w:w="1566" w:type="dxa"/>
          </w:tcPr>
          <w:p>
            <w:pPr>
              <w:pStyle w:val="116"/>
              <w:spacing w:before="40"/>
              <w:ind w:left="104"/>
              <w:rPr>
                <w:sz w:val="24"/>
              </w:rPr>
            </w:pPr>
            <w:r>
              <w:rPr>
                <w:sz w:val="24"/>
              </w:rPr>
              <w:t>组织结构</w:t>
            </w:r>
          </w:p>
        </w:tc>
        <w:tc>
          <w:tcPr>
            <w:tcW w:w="8619" w:type="dxa"/>
            <w:gridSpan w:val="9"/>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exact"/>
        </w:trPr>
        <w:tc>
          <w:tcPr>
            <w:tcW w:w="1566" w:type="dxa"/>
          </w:tcPr>
          <w:p>
            <w:pPr>
              <w:pStyle w:val="116"/>
              <w:spacing w:before="40"/>
              <w:ind w:left="104"/>
              <w:rPr>
                <w:sz w:val="24"/>
              </w:rPr>
            </w:pPr>
            <w:r>
              <w:rPr>
                <w:sz w:val="24"/>
              </w:rPr>
              <w:t>法定代表人</w:t>
            </w:r>
          </w:p>
        </w:tc>
        <w:tc>
          <w:tcPr>
            <w:tcW w:w="951" w:type="dxa"/>
          </w:tcPr>
          <w:p>
            <w:pPr>
              <w:pStyle w:val="116"/>
              <w:spacing w:before="40"/>
              <w:ind w:left="103"/>
              <w:rPr>
                <w:sz w:val="24"/>
              </w:rPr>
            </w:pPr>
            <w:r>
              <w:rPr>
                <w:sz w:val="24"/>
              </w:rPr>
              <w:t>姓名</w:t>
            </w:r>
          </w:p>
        </w:tc>
        <w:tc>
          <w:tcPr>
            <w:tcW w:w="1295" w:type="dxa"/>
          </w:tcPr>
          <w:p/>
        </w:tc>
        <w:tc>
          <w:tcPr>
            <w:tcW w:w="1296" w:type="dxa"/>
          </w:tcPr>
          <w:p>
            <w:pPr>
              <w:pStyle w:val="116"/>
              <w:spacing w:before="40"/>
              <w:ind w:left="84" w:right="201"/>
              <w:jc w:val="center"/>
              <w:rPr>
                <w:sz w:val="24"/>
              </w:rPr>
            </w:pPr>
            <w:r>
              <w:rPr>
                <w:sz w:val="24"/>
              </w:rPr>
              <w:t>技术职称</w:t>
            </w:r>
          </w:p>
        </w:tc>
        <w:tc>
          <w:tcPr>
            <w:tcW w:w="1295" w:type="dxa"/>
            <w:gridSpan w:val="2"/>
          </w:tcPr>
          <w:p/>
        </w:tc>
        <w:tc>
          <w:tcPr>
            <w:tcW w:w="1296" w:type="dxa"/>
            <w:gridSpan w:val="3"/>
          </w:tcPr>
          <w:p>
            <w:pPr>
              <w:pStyle w:val="116"/>
              <w:spacing w:before="40"/>
              <w:ind w:left="101"/>
              <w:rPr>
                <w:sz w:val="24"/>
              </w:rPr>
            </w:pPr>
            <w:r>
              <w:rPr>
                <w:sz w:val="24"/>
              </w:rPr>
              <w:t>电话</w:t>
            </w:r>
          </w:p>
        </w:tc>
        <w:tc>
          <w:tcPr>
            <w:tcW w:w="2486"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exact"/>
        </w:trPr>
        <w:tc>
          <w:tcPr>
            <w:tcW w:w="1566" w:type="dxa"/>
          </w:tcPr>
          <w:p>
            <w:pPr>
              <w:pStyle w:val="116"/>
              <w:spacing w:before="41"/>
              <w:ind w:left="104"/>
              <w:rPr>
                <w:sz w:val="24"/>
              </w:rPr>
            </w:pPr>
            <w:r>
              <w:rPr>
                <w:sz w:val="24"/>
              </w:rPr>
              <w:t>技术负责人</w:t>
            </w:r>
          </w:p>
        </w:tc>
        <w:tc>
          <w:tcPr>
            <w:tcW w:w="951" w:type="dxa"/>
          </w:tcPr>
          <w:p>
            <w:pPr>
              <w:pStyle w:val="116"/>
              <w:spacing w:before="41"/>
              <w:ind w:left="103"/>
              <w:rPr>
                <w:sz w:val="24"/>
              </w:rPr>
            </w:pPr>
            <w:r>
              <w:rPr>
                <w:sz w:val="24"/>
              </w:rPr>
              <w:t>姓名</w:t>
            </w:r>
          </w:p>
        </w:tc>
        <w:tc>
          <w:tcPr>
            <w:tcW w:w="1295" w:type="dxa"/>
          </w:tcPr>
          <w:p/>
        </w:tc>
        <w:tc>
          <w:tcPr>
            <w:tcW w:w="1296" w:type="dxa"/>
          </w:tcPr>
          <w:p>
            <w:pPr>
              <w:pStyle w:val="116"/>
              <w:spacing w:before="41"/>
              <w:ind w:left="84" w:right="201"/>
              <w:jc w:val="center"/>
              <w:rPr>
                <w:sz w:val="24"/>
              </w:rPr>
            </w:pPr>
            <w:r>
              <w:rPr>
                <w:sz w:val="24"/>
              </w:rPr>
              <w:t>技术职称</w:t>
            </w:r>
          </w:p>
        </w:tc>
        <w:tc>
          <w:tcPr>
            <w:tcW w:w="1295" w:type="dxa"/>
            <w:gridSpan w:val="2"/>
          </w:tcPr>
          <w:p/>
        </w:tc>
        <w:tc>
          <w:tcPr>
            <w:tcW w:w="1296" w:type="dxa"/>
            <w:gridSpan w:val="3"/>
          </w:tcPr>
          <w:p>
            <w:pPr>
              <w:pStyle w:val="116"/>
              <w:spacing w:before="41"/>
              <w:ind w:left="101"/>
              <w:rPr>
                <w:sz w:val="24"/>
              </w:rPr>
            </w:pPr>
            <w:r>
              <w:rPr>
                <w:sz w:val="24"/>
              </w:rPr>
              <w:t>电话</w:t>
            </w:r>
          </w:p>
        </w:tc>
        <w:tc>
          <w:tcPr>
            <w:tcW w:w="2486"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exact"/>
        </w:trPr>
        <w:tc>
          <w:tcPr>
            <w:tcW w:w="1566" w:type="dxa"/>
          </w:tcPr>
          <w:p>
            <w:pPr>
              <w:pStyle w:val="116"/>
              <w:spacing w:before="41"/>
              <w:ind w:left="104"/>
              <w:rPr>
                <w:sz w:val="24"/>
              </w:rPr>
            </w:pPr>
            <w:r>
              <w:rPr>
                <w:sz w:val="24"/>
              </w:rPr>
              <w:t>成立时间</w:t>
            </w:r>
          </w:p>
        </w:tc>
        <w:tc>
          <w:tcPr>
            <w:tcW w:w="2246" w:type="dxa"/>
            <w:gridSpan w:val="2"/>
          </w:tcPr>
          <w:p/>
        </w:tc>
        <w:tc>
          <w:tcPr>
            <w:tcW w:w="6373" w:type="dxa"/>
            <w:gridSpan w:val="7"/>
          </w:tcPr>
          <w:p>
            <w:pPr>
              <w:pStyle w:val="116"/>
              <w:spacing w:before="41"/>
              <w:ind w:left="103"/>
              <w:rPr>
                <w:sz w:val="24"/>
              </w:rPr>
            </w:pPr>
            <w:r>
              <w:rPr>
                <w:sz w:val="24"/>
              </w:rPr>
              <w:t>员工总人数：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exact"/>
        </w:trPr>
        <w:tc>
          <w:tcPr>
            <w:tcW w:w="1566" w:type="dxa"/>
          </w:tcPr>
          <w:p>
            <w:pPr>
              <w:pStyle w:val="116"/>
              <w:spacing w:before="40" w:line="307" w:lineRule="auto"/>
              <w:ind w:left="104" w:right="250"/>
              <w:rPr>
                <w:sz w:val="24"/>
              </w:rPr>
            </w:pPr>
            <w:r>
              <w:rPr>
                <w:sz w:val="24"/>
              </w:rPr>
              <w:t>企业资质等级</w:t>
            </w:r>
          </w:p>
        </w:tc>
        <w:tc>
          <w:tcPr>
            <w:tcW w:w="2246" w:type="dxa"/>
            <w:gridSpan w:val="2"/>
          </w:tcPr>
          <w:p/>
        </w:tc>
        <w:tc>
          <w:tcPr>
            <w:tcW w:w="1296" w:type="dxa"/>
            <w:vMerge w:val="restart"/>
          </w:tcPr>
          <w:p>
            <w:pPr>
              <w:pStyle w:val="116"/>
              <w:rPr>
                <w:b/>
                <w:sz w:val="24"/>
              </w:rPr>
            </w:pPr>
          </w:p>
          <w:p>
            <w:pPr>
              <w:pStyle w:val="116"/>
              <w:rPr>
                <w:b/>
                <w:sz w:val="24"/>
              </w:rPr>
            </w:pPr>
          </w:p>
          <w:p>
            <w:pPr>
              <w:pStyle w:val="116"/>
              <w:rPr>
                <w:b/>
                <w:sz w:val="24"/>
              </w:rPr>
            </w:pPr>
          </w:p>
          <w:p>
            <w:pPr>
              <w:pStyle w:val="116"/>
              <w:spacing w:before="5"/>
              <w:rPr>
                <w:b/>
                <w:sz w:val="35"/>
              </w:rPr>
            </w:pPr>
          </w:p>
          <w:p>
            <w:pPr>
              <w:pStyle w:val="116"/>
              <w:spacing w:before="1"/>
              <w:ind w:left="403"/>
              <w:rPr>
                <w:sz w:val="24"/>
              </w:rPr>
            </w:pPr>
            <w:r>
              <w:rPr>
                <w:sz w:val="24"/>
              </w:rPr>
              <w:t>其中</w:t>
            </w:r>
          </w:p>
        </w:tc>
        <w:tc>
          <w:tcPr>
            <w:tcW w:w="1943" w:type="dxa"/>
            <w:gridSpan w:val="3"/>
            <w:vMerge w:val="restart"/>
          </w:tcPr>
          <w:p>
            <w:pPr>
              <w:pStyle w:val="116"/>
              <w:rPr>
                <w:b/>
                <w:sz w:val="24"/>
              </w:rPr>
            </w:pPr>
          </w:p>
          <w:p>
            <w:pPr>
              <w:pStyle w:val="116"/>
              <w:spacing w:before="185"/>
              <w:ind w:left="245"/>
              <w:rPr>
                <w:sz w:val="24"/>
              </w:rPr>
            </w:pPr>
            <w:r>
              <w:rPr>
                <w:sz w:val="24"/>
              </w:rPr>
              <w:t>高级职称人员</w:t>
            </w:r>
          </w:p>
        </w:tc>
        <w:tc>
          <w:tcPr>
            <w:tcW w:w="3134" w:type="dxa"/>
            <w:gridSpan w:val="3"/>
            <w:vMerge w:val="restart"/>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exact"/>
        </w:trPr>
        <w:tc>
          <w:tcPr>
            <w:tcW w:w="1566" w:type="dxa"/>
          </w:tcPr>
          <w:p>
            <w:pPr>
              <w:pStyle w:val="116"/>
              <w:spacing w:before="41"/>
              <w:ind w:left="104"/>
              <w:rPr>
                <w:sz w:val="24"/>
              </w:rPr>
            </w:pPr>
            <w:r>
              <w:rPr>
                <w:sz w:val="24"/>
              </w:rPr>
              <w:t>营业执照号</w:t>
            </w:r>
          </w:p>
        </w:tc>
        <w:tc>
          <w:tcPr>
            <w:tcW w:w="2246" w:type="dxa"/>
            <w:gridSpan w:val="2"/>
          </w:tcPr>
          <w:p/>
        </w:tc>
        <w:tc>
          <w:tcPr>
            <w:tcW w:w="1296" w:type="dxa"/>
            <w:vMerge w:val="continue"/>
          </w:tcPr>
          <w:p/>
        </w:tc>
        <w:tc>
          <w:tcPr>
            <w:tcW w:w="1943" w:type="dxa"/>
            <w:gridSpan w:val="3"/>
            <w:vMerge w:val="continue"/>
          </w:tcPr>
          <w:p/>
        </w:tc>
        <w:tc>
          <w:tcPr>
            <w:tcW w:w="3134" w:type="dxa"/>
            <w:gridSpan w:val="3"/>
            <w:vMerge w:val="continue"/>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exact"/>
        </w:trPr>
        <w:tc>
          <w:tcPr>
            <w:tcW w:w="1566" w:type="dxa"/>
          </w:tcPr>
          <w:p>
            <w:pPr>
              <w:pStyle w:val="116"/>
              <w:spacing w:before="40"/>
              <w:ind w:left="104"/>
              <w:rPr>
                <w:sz w:val="24"/>
              </w:rPr>
            </w:pPr>
            <w:r>
              <w:rPr>
                <w:sz w:val="24"/>
              </w:rPr>
              <w:t>注册资金</w:t>
            </w:r>
          </w:p>
        </w:tc>
        <w:tc>
          <w:tcPr>
            <w:tcW w:w="2246" w:type="dxa"/>
            <w:gridSpan w:val="2"/>
          </w:tcPr>
          <w:p/>
        </w:tc>
        <w:tc>
          <w:tcPr>
            <w:tcW w:w="1296" w:type="dxa"/>
            <w:vMerge w:val="continue"/>
          </w:tcPr>
          <w:p/>
        </w:tc>
        <w:tc>
          <w:tcPr>
            <w:tcW w:w="1943" w:type="dxa"/>
            <w:gridSpan w:val="3"/>
          </w:tcPr>
          <w:p>
            <w:pPr>
              <w:pStyle w:val="116"/>
              <w:spacing w:before="117"/>
              <w:ind w:left="245"/>
              <w:rPr>
                <w:sz w:val="24"/>
              </w:rPr>
            </w:pPr>
            <w:r>
              <w:rPr>
                <w:sz w:val="24"/>
              </w:rPr>
              <w:t>中级职称人员</w:t>
            </w:r>
          </w:p>
        </w:tc>
        <w:tc>
          <w:tcPr>
            <w:tcW w:w="3134" w:type="dxa"/>
            <w:gridSpan w:val="3"/>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exact"/>
        </w:trPr>
        <w:tc>
          <w:tcPr>
            <w:tcW w:w="1566" w:type="dxa"/>
          </w:tcPr>
          <w:p>
            <w:pPr>
              <w:pStyle w:val="116"/>
              <w:spacing w:before="41"/>
              <w:ind w:left="104"/>
              <w:rPr>
                <w:sz w:val="24"/>
              </w:rPr>
            </w:pPr>
            <w:r>
              <w:rPr>
                <w:sz w:val="24"/>
              </w:rPr>
              <w:t>开户银行</w:t>
            </w:r>
          </w:p>
        </w:tc>
        <w:tc>
          <w:tcPr>
            <w:tcW w:w="2246" w:type="dxa"/>
            <w:gridSpan w:val="2"/>
          </w:tcPr>
          <w:p/>
        </w:tc>
        <w:tc>
          <w:tcPr>
            <w:tcW w:w="1296" w:type="dxa"/>
            <w:vMerge w:val="continue"/>
          </w:tcPr>
          <w:p/>
        </w:tc>
        <w:tc>
          <w:tcPr>
            <w:tcW w:w="1943" w:type="dxa"/>
            <w:gridSpan w:val="3"/>
          </w:tcPr>
          <w:p>
            <w:pPr>
              <w:pStyle w:val="116"/>
              <w:spacing w:before="140"/>
              <w:ind w:left="245"/>
              <w:rPr>
                <w:sz w:val="24"/>
              </w:rPr>
            </w:pPr>
            <w:r>
              <w:rPr>
                <w:sz w:val="24"/>
              </w:rPr>
              <w:t>初级职称人员</w:t>
            </w:r>
          </w:p>
        </w:tc>
        <w:tc>
          <w:tcPr>
            <w:tcW w:w="3134" w:type="dxa"/>
            <w:gridSpan w:val="3"/>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exact"/>
        </w:trPr>
        <w:tc>
          <w:tcPr>
            <w:tcW w:w="1566" w:type="dxa"/>
          </w:tcPr>
          <w:p>
            <w:pPr>
              <w:pStyle w:val="116"/>
              <w:spacing w:before="41"/>
              <w:ind w:left="104"/>
              <w:rPr>
                <w:sz w:val="24"/>
              </w:rPr>
            </w:pPr>
            <w:r>
              <w:rPr>
                <w:sz w:val="24"/>
              </w:rPr>
              <w:t>账号</w:t>
            </w:r>
          </w:p>
        </w:tc>
        <w:tc>
          <w:tcPr>
            <w:tcW w:w="2246" w:type="dxa"/>
            <w:gridSpan w:val="2"/>
          </w:tcPr>
          <w:p/>
        </w:tc>
        <w:tc>
          <w:tcPr>
            <w:tcW w:w="1296" w:type="dxa"/>
            <w:vMerge w:val="continue"/>
          </w:tcPr>
          <w:p/>
        </w:tc>
        <w:tc>
          <w:tcPr>
            <w:tcW w:w="1943" w:type="dxa"/>
            <w:gridSpan w:val="3"/>
          </w:tcPr>
          <w:p>
            <w:pPr>
              <w:pStyle w:val="116"/>
              <w:spacing w:before="156"/>
              <w:ind w:left="646" w:right="647"/>
              <w:jc w:val="center"/>
              <w:rPr>
                <w:sz w:val="24"/>
              </w:rPr>
            </w:pPr>
            <w:r>
              <w:rPr>
                <w:sz w:val="24"/>
              </w:rPr>
              <w:t>技 工</w:t>
            </w:r>
          </w:p>
        </w:tc>
        <w:tc>
          <w:tcPr>
            <w:tcW w:w="3134" w:type="dxa"/>
            <w:gridSpan w:val="3"/>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0" w:hRule="exact"/>
        </w:trPr>
        <w:tc>
          <w:tcPr>
            <w:tcW w:w="1566" w:type="dxa"/>
          </w:tcPr>
          <w:p>
            <w:pPr>
              <w:pStyle w:val="116"/>
              <w:spacing w:before="42"/>
              <w:ind w:left="104"/>
              <w:rPr>
                <w:sz w:val="24"/>
              </w:rPr>
            </w:pPr>
            <w:r>
              <w:rPr>
                <w:sz w:val="24"/>
              </w:rPr>
              <w:t>经营范围</w:t>
            </w:r>
          </w:p>
        </w:tc>
        <w:tc>
          <w:tcPr>
            <w:tcW w:w="8619" w:type="dxa"/>
            <w:gridSpan w:val="9"/>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exact"/>
        </w:trPr>
        <w:tc>
          <w:tcPr>
            <w:tcW w:w="1566" w:type="dxa"/>
          </w:tcPr>
          <w:p>
            <w:pPr>
              <w:pStyle w:val="116"/>
              <w:spacing w:before="41"/>
              <w:ind w:left="104"/>
              <w:rPr>
                <w:sz w:val="24"/>
              </w:rPr>
            </w:pPr>
            <w:r>
              <w:rPr>
                <w:sz w:val="24"/>
              </w:rPr>
              <w:t>备注</w:t>
            </w:r>
          </w:p>
        </w:tc>
        <w:tc>
          <w:tcPr>
            <w:tcW w:w="8619" w:type="dxa"/>
            <w:gridSpan w:val="9"/>
          </w:tcPr>
          <w:p/>
        </w:tc>
      </w:tr>
    </w:tbl>
    <w:p>
      <w:pPr>
        <w:pStyle w:val="2"/>
      </w:pPr>
      <w:r>
        <w:t>注：附供应商营业执照、资质证书副本和生产经营许可证等材料的复印件（或扫描）件。</w:t>
      </w:r>
    </w:p>
    <w:p>
      <w:pPr>
        <w:pStyle w:val="2"/>
      </w:pPr>
    </w:p>
    <w:p>
      <w:pPr>
        <w:spacing w:line="360" w:lineRule="auto"/>
        <w:jc w:val="center"/>
        <w:rPr>
          <w:rFonts w:ascii="宋体" w:hAnsi="宋体" w:cs="宋体"/>
          <w:b/>
          <w:bCs/>
          <w:color w:val="000000" w:themeColor="text1"/>
          <w:sz w:val="24"/>
          <w:szCs w:val="24"/>
          <w:highlight w:val="none"/>
          <w14:textFill>
            <w14:solidFill>
              <w14:schemeClr w14:val="tx1"/>
            </w14:solidFill>
          </w14:textFill>
        </w:rPr>
      </w:pPr>
    </w:p>
    <w:bookmarkEnd w:id="611"/>
    <w:bookmarkEnd w:id="612"/>
    <w:bookmarkEnd w:id="613"/>
    <w:p>
      <w:pPr>
        <w:sectPr>
          <w:pgSz w:w="11910" w:h="16840"/>
          <w:pgMar w:top="1140" w:right="600" w:bottom="1180" w:left="620" w:header="415" w:footer="983" w:gutter="0"/>
          <w:cols w:space="720" w:num="1"/>
        </w:sectPr>
      </w:pPr>
      <w:bookmarkStart w:id="622" w:name="_Toc298683403"/>
      <w:bookmarkStart w:id="623" w:name="_Toc201287669"/>
      <w:bookmarkStart w:id="624" w:name="_Toc323717437"/>
      <w:bookmarkStart w:id="625" w:name="_Toc323800523"/>
      <w:r>
        <w:rPr>
          <w:rFonts w:ascii="宋体"/>
          <w:color w:val="000000" w:themeColor="text1"/>
          <w:sz w:val="24"/>
          <w:szCs w:val="24"/>
          <w:highlight w:val="none"/>
          <w14:textFill>
            <w14:solidFill>
              <w14:schemeClr w14:val="tx1"/>
            </w14:solidFill>
          </w14:textFill>
        </w:rPr>
        <w:br w:type="page"/>
      </w:r>
      <w:bookmarkStart w:id="626" w:name="_Toc63"/>
    </w:p>
    <w:p>
      <w:pPr>
        <w:numPr>
          <w:ilvl w:val="0"/>
          <w:numId w:val="3"/>
        </w:numPr>
        <w:spacing w:line="360" w:lineRule="auto"/>
        <w:jc w:val="left"/>
        <w:outlineLvl w:val="2"/>
        <w:rPr>
          <w:rFonts w:hint="eastAsia" w:ascii="仿宋" w:hAnsi="仿宋" w:eastAsia="仿宋" w:cs="宋体"/>
          <w:b/>
          <w:bCs/>
          <w:color w:val="000000" w:themeColor="text1"/>
          <w:kern w:val="0"/>
          <w:sz w:val="24"/>
          <w:szCs w:val="24"/>
          <w:highlight w:val="none"/>
          <w14:textFill>
            <w14:solidFill>
              <w14:schemeClr w14:val="tx1"/>
            </w14:solidFill>
          </w14:textFill>
        </w:rPr>
      </w:pPr>
      <w:bookmarkStart w:id="627" w:name="_Toc15225"/>
      <w:r>
        <w:rPr>
          <w:rFonts w:hint="eastAsia" w:ascii="仿宋" w:hAnsi="仿宋" w:eastAsia="仿宋" w:cs="宋体"/>
          <w:b/>
          <w:bCs/>
          <w:color w:val="000000" w:themeColor="text1"/>
          <w:kern w:val="0"/>
          <w:sz w:val="24"/>
          <w:szCs w:val="24"/>
          <w:highlight w:val="none"/>
          <w14:textFill>
            <w14:solidFill>
              <w14:schemeClr w14:val="tx1"/>
            </w14:solidFill>
          </w14:textFill>
        </w:rPr>
        <w:t>近年财务状况表、依法缴纳税收和社会保障资金的相关材料</w:t>
      </w:r>
      <w:bookmarkEnd w:id="627"/>
    </w:p>
    <w:p>
      <w:pPr>
        <w:numPr>
          <w:ilvl w:val="0"/>
          <w:numId w:val="0"/>
        </w:numPr>
        <w:spacing w:line="360" w:lineRule="auto"/>
        <w:ind w:firstLine="420" w:firstLineChars="200"/>
        <w:jc w:val="left"/>
        <w:outlineLvl w:val="2"/>
      </w:pPr>
      <w:r>
        <w:t>按照招标文件规定提供以下相关材料。</w:t>
      </w:r>
    </w:p>
    <w:p>
      <w:pPr>
        <w:pStyle w:val="2"/>
        <w:spacing w:before="151" w:line="357" w:lineRule="auto"/>
        <w:ind w:left="119" w:right="128" w:firstLine="240"/>
      </w:pPr>
      <w:r>
        <w:t>1、提供经有资质的会计师事务所或审计机构审计的</w:t>
      </w:r>
      <w:r>
        <w:rPr>
          <w:rFonts w:hint="eastAsia"/>
          <w:lang w:val="en-US" w:eastAsia="zh-CN"/>
        </w:rPr>
        <w:t>2019年或</w:t>
      </w:r>
      <w:r>
        <w:t>2</w:t>
      </w:r>
      <w:r>
        <w:rPr>
          <w:rFonts w:hint="eastAsia"/>
          <w:lang w:val="en-US" w:eastAsia="zh-CN"/>
        </w:rPr>
        <w:t>020</w:t>
      </w:r>
      <w:r>
        <w:t>年度的财务审计报告（注册未满一年的企业提供近三个月基本账户开户行资信证明）；</w:t>
      </w:r>
    </w:p>
    <w:p>
      <w:pPr>
        <w:pStyle w:val="2"/>
        <w:spacing w:before="34"/>
        <w:ind w:left="359"/>
      </w:pPr>
      <w:r>
        <w:t>2、近半年</w:t>
      </w:r>
      <w:r>
        <w:rPr>
          <w:rFonts w:hint="eastAsia"/>
          <w:lang w:eastAsia="zh-CN"/>
        </w:rPr>
        <w:t>任意三个月</w:t>
      </w:r>
      <w:r>
        <w:t>依法缴纳税收和社会保障资金记录的证明材料；</w:t>
      </w:r>
    </w:p>
    <w:p>
      <w:pPr>
        <w:spacing w:line="360" w:lineRule="auto"/>
        <w:jc w:val="left"/>
        <w:outlineLvl w:val="2"/>
        <w:rPr>
          <w:rFonts w:hint="eastAsia" w:ascii="仿宋" w:hAnsi="仿宋" w:eastAsia="仿宋" w:cs="宋体"/>
          <w:b/>
          <w:bCs/>
          <w:color w:val="000000" w:themeColor="text1"/>
          <w:kern w:val="0"/>
          <w:sz w:val="24"/>
          <w:szCs w:val="24"/>
          <w:highlight w:val="none"/>
          <w14:textFill>
            <w14:solidFill>
              <w14:schemeClr w14:val="tx1"/>
            </w14:solidFill>
          </w14:textFill>
        </w:rPr>
      </w:pPr>
      <w:bookmarkStart w:id="628" w:name="_Toc2823"/>
      <w:r>
        <w:rPr>
          <w:rFonts w:hint="eastAsia" w:ascii="仿宋" w:hAnsi="仿宋" w:eastAsia="仿宋" w:cs="宋体"/>
          <w:b/>
          <w:bCs/>
          <w:color w:val="000000" w:themeColor="text1"/>
          <w:kern w:val="0"/>
          <w:sz w:val="24"/>
          <w:szCs w:val="24"/>
          <w:highlight w:val="none"/>
          <w:lang w:eastAsia="zh-CN"/>
          <w14:textFill>
            <w14:solidFill>
              <w14:schemeClr w14:val="tx1"/>
            </w14:solidFill>
          </w14:textFill>
        </w:rPr>
        <w:t>十、</w:t>
      </w:r>
      <w:r>
        <w:rPr>
          <w:rFonts w:hint="eastAsia" w:ascii="仿宋" w:hAnsi="仿宋" w:eastAsia="仿宋" w:cs="宋体"/>
          <w:b/>
          <w:bCs/>
          <w:color w:val="000000" w:themeColor="text1"/>
          <w:kern w:val="0"/>
          <w:sz w:val="24"/>
          <w:szCs w:val="24"/>
          <w:highlight w:val="none"/>
          <w14:textFill>
            <w14:solidFill>
              <w14:schemeClr w14:val="tx1"/>
            </w14:solidFill>
          </w14:textFill>
        </w:rPr>
        <w:t>近年完成的类似项目情况表</w:t>
      </w:r>
      <w:bookmarkEnd w:id="628"/>
    </w:p>
    <w:p>
      <w:pPr>
        <w:pStyle w:val="2"/>
        <w:spacing w:before="4"/>
        <w:rPr>
          <w:b/>
          <w:sz w:val="12"/>
        </w:rPr>
      </w:pPr>
    </w:p>
    <w:tbl>
      <w:tblPr>
        <w:tblStyle w:val="25"/>
        <w:tblW w:w="0" w:type="auto"/>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62"/>
        <w:gridCol w:w="72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16"/>
              <w:spacing w:before="16"/>
              <w:ind w:left="326" w:right="326"/>
              <w:jc w:val="center"/>
              <w:rPr>
                <w:sz w:val="24"/>
              </w:rPr>
            </w:pPr>
            <w:r>
              <w:rPr>
                <w:sz w:val="24"/>
              </w:rPr>
              <w:t>项目名称</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16"/>
              <w:spacing w:before="17"/>
              <w:ind w:left="326" w:right="326"/>
              <w:jc w:val="center"/>
              <w:rPr>
                <w:sz w:val="24"/>
              </w:rPr>
            </w:pPr>
            <w:r>
              <w:rPr>
                <w:sz w:val="24"/>
              </w:rPr>
              <w:t>项目所在地</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16"/>
              <w:spacing w:before="16"/>
              <w:ind w:left="326" w:right="326"/>
              <w:jc w:val="center"/>
              <w:rPr>
                <w:sz w:val="24"/>
              </w:rPr>
            </w:pPr>
            <w:r>
              <w:rPr>
                <w:sz w:val="24"/>
              </w:rPr>
              <w:t>采购人名称</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16"/>
              <w:spacing w:before="18"/>
              <w:ind w:left="326" w:right="326"/>
              <w:jc w:val="center"/>
              <w:rPr>
                <w:sz w:val="24"/>
              </w:rPr>
            </w:pPr>
            <w:r>
              <w:rPr>
                <w:sz w:val="24"/>
              </w:rPr>
              <w:t>采购人地址</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3" w:hRule="exact"/>
        </w:trPr>
        <w:tc>
          <w:tcPr>
            <w:tcW w:w="2862" w:type="dxa"/>
          </w:tcPr>
          <w:p>
            <w:pPr>
              <w:pStyle w:val="116"/>
              <w:spacing w:before="17"/>
              <w:ind w:left="326" w:right="326"/>
              <w:jc w:val="center"/>
              <w:rPr>
                <w:sz w:val="24"/>
              </w:rPr>
            </w:pPr>
            <w:r>
              <w:rPr>
                <w:sz w:val="24"/>
              </w:rPr>
              <w:t>采购人电话</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16"/>
              <w:spacing w:before="16"/>
              <w:ind w:left="326" w:right="326"/>
              <w:jc w:val="center"/>
              <w:rPr>
                <w:sz w:val="24"/>
              </w:rPr>
            </w:pPr>
            <w:r>
              <w:rPr>
                <w:sz w:val="24"/>
              </w:rPr>
              <w:t>合同价格</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16"/>
              <w:spacing w:before="17"/>
              <w:ind w:left="326" w:right="326"/>
              <w:jc w:val="center"/>
              <w:rPr>
                <w:sz w:val="24"/>
              </w:rPr>
            </w:pPr>
            <w:r>
              <w:rPr>
                <w:sz w:val="24"/>
              </w:rPr>
              <w:t>开工日期</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16"/>
              <w:spacing w:before="16"/>
              <w:ind w:left="326" w:right="326"/>
              <w:jc w:val="center"/>
              <w:rPr>
                <w:sz w:val="24"/>
              </w:rPr>
            </w:pPr>
            <w:r>
              <w:rPr>
                <w:sz w:val="24"/>
              </w:rPr>
              <w:t>竣工日期</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16"/>
              <w:spacing w:before="17"/>
              <w:ind w:left="326" w:right="326"/>
              <w:jc w:val="center"/>
              <w:rPr>
                <w:sz w:val="24"/>
              </w:rPr>
            </w:pPr>
            <w:r>
              <w:rPr>
                <w:sz w:val="24"/>
              </w:rPr>
              <w:t>承担的工作</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3" w:hRule="exact"/>
        </w:trPr>
        <w:tc>
          <w:tcPr>
            <w:tcW w:w="2862" w:type="dxa"/>
          </w:tcPr>
          <w:p>
            <w:pPr>
              <w:pStyle w:val="116"/>
              <w:spacing w:before="16"/>
              <w:ind w:left="326" w:right="326"/>
              <w:jc w:val="center"/>
              <w:rPr>
                <w:sz w:val="24"/>
              </w:rPr>
            </w:pPr>
            <w:r>
              <w:rPr>
                <w:sz w:val="24"/>
              </w:rPr>
              <w:t>工程质量</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16"/>
              <w:spacing w:before="18"/>
              <w:ind w:left="326" w:right="326"/>
              <w:jc w:val="center"/>
              <w:rPr>
                <w:sz w:val="24"/>
              </w:rPr>
            </w:pPr>
            <w:r>
              <w:rPr>
                <w:sz w:val="24"/>
              </w:rPr>
              <w:t>项目经理</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16"/>
              <w:spacing w:before="17"/>
              <w:ind w:left="326" w:right="326"/>
              <w:jc w:val="center"/>
              <w:rPr>
                <w:sz w:val="24"/>
              </w:rPr>
            </w:pPr>
            <w:r>
              <w:rPr>
                <w:sz w:val="24"/>
              </w:rPr>
              <w:t>技术负责人</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16"/>
              <w:spacing w:before="16"/>
              <w:ind w:left="326" w:right="326"/>
              <w:jc w:val="center"/>
              <w:rPr>
                <w:sz w:val="24"/>
              </w:rPr>
            </w:pPr>
            <w:r>
              <w:rPr>
                <w:sz w:val="24"/>
              </w:rPr>
              <w:t>总监理工程师及电话</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8" w:hRule="exact"/>
        </w:trPr>
        <w:tc>
          <w:tcPr>
            <w:tcW w:w="2862" w:type="dxa"/>
          </w:tcPr>
          <w:p>
            <w:pPr>
              <w:pStyle w:val="116"/>
              <w:rPr>
                <w:b/>
                <w:sz w:val="24"/>
              </w:rPr>
            </w:pPr>
          </w:p>
          <w:p>
            <w:pPr>
              <w:pStyle w:val="116"/>
              <w:rPr>
                <w:b/>
                <w:sz w:val="24"/>
              </w:rPr>
            </w:pPr>
          </w:p>
          <w:p>
            <w:pPr>
              <w:pStyle w:val="116"/>
              <w:spacing w:before="212"/>
              <w:ind w:left="326" w:right="326"/>
              <w:jc w:val="center"/>
              <w:rPr>
                <w:sz w:val="24"/>
              </w:rPr>
            </w:pPr>
            <w:r>
              <w:rPr>
                <w:sz w:val="24"/>
              </w:rPr>
              <w:t>项目描述</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3" w:hRule="exact"/>
        </w:trPr>
        <w:tc>
          <w:tcPr>
            <w:tcW w:w="2862" w:type="dxa"/>
          </w:tcPr>
          <w:p>
            <w:pPr>
              <w:pStyle w:val="116"/>
              <w:spacing w:before="18"/>
              <w:ind w:left="326" w:right="326"/>
              <w:jc w:val="center"/>
              <w:rPr>
                <w:sz w:val="24"/>
              </w:rPr>
            </w:pPr>
            <w:r>
              <w:rPr>
                <w:sz w:val="24"/>
              </w:rPr>
              <w:t>备注</w:t>
            </w:r>
          </w:p>
        </w:tc>
        <w:tc>
          <w:tcPr>
            <w:tcW w:w="7293" w:type="dxa"/>
          </w:tcPr>
          <w:p/>
        </w:tc>
      </w:tr>
    </w:tbl>
    <w:p>
      <w:pPr>
        <w:pStyle w:val="2"/>
        <w:spacing w:before="5"/>
        <w:rPr>
          <w:b/>
          <w:sz w:val="13"/>
        </w:rPr>
      </w:pPr>
    </w:p>
    <w:p>
      <w:pPr>
        <w:pStyle w:val="2"/>
        <w:spacing w:before="57" w:line="312" w:lineRule="exact"/>
        <w:ind w:left="119" w:right="248" w:firstLine="240"/>
      </w:pPr>
      <w:bookmarkStart w:id="629" w:name="注：近年完成的类似项目情况表应附自2017年以来承建类似园林绿化项目的中标通知书"/>
      <w:bookmarkEnd w:id="629"/>
      <w:r>
        <w:t>注：近年完成的类似项目情况表应附自201</w:t>
      </w:r>
      <w:r>
        <w:rPr>
          <w:rFonts w:hint="eastAsia"/>
          <w:lang w:val="en-US" w:eastAsia="zh-CN"/>
        </w:rPr>
        <w:t>8</w:t>
      </w:r>
      <w:r>
        <w:t>年以来承建类似项目的中标通知书</w:t>
      </w:r>
      <w:r>
        <w:rPr>
          <w:rFonts w:hint="eastAsia"/>
          <w:lang w:eastAsia="zh-CN"/>
        </w:rPr>
        <w:t>、</w:t>
      </w:r>
      <w:r>
        <w:t>合同协议书的扫描（或复印）件。每张表格只填写一个项目，并标明序号。</w:t>
      </w:r>
    </w:p>
    <w:p>
      <w:pPr>
        <w:spacing w:after="0" w:line="312" w:lineRule="exact"/>
        <w:sectPr>
          <w:pgSz w:w="11910" w:h="16840"/>
          <w:pgMar w:top="1140" w:right="600" w:bottom="1180" w:left="620" w:header="415" w:footer="983" w:gutter="0"/>
          <w:cols w:space="720" w:num="1"/>
        </w:sectPr>
      </w:pPr>
    </w:p>
    <w:p>
      <w:pPr>
        <w:spacing w:line="360" w:lineRule="auto"/>
        <w:jc w:val="left"/>
        <w:outlineLvl w:val="2"/>
        <w:rPr>
          <w:rFonts w:hint="eastAsia" w:ascii="仿宋" w:hAnsi="仿宋" w:eastAsia="仿宋" w:cs="宋体"/>
          <w:b/>
          <w:bCs/>
          <w:color w:val="000000" w:themeColor="text1"/>
          <w:kern w:val="0"/>
          <w:sz w:val="24"/>
          <w:szCs w:val="24"/>
          <w:highlight w:val="none"/>
          <w14:textFill>
            <w14:solidFill>
              <w14:schemeClr w14:val="tx1"/>
            </w14:solidFill>
          </w14:textFill>
        </w:rPr>
      </w:pPr>
      <w:bookmarkStart w:id="630" w:name="_Toc6034"/>
      <w:r>
        <w:rPr>
          <w:rFonts w:hint="eastAsia" w:ascii="仿宋" w:hAnsi="仿宋" w:eastAsia="仿宋" w:cs="宋体"/>
          <w:b/>
          <w:bCs/>
          <w:color w:val="000000" w:themeColor="text1"/>
          <w:kern w:val="0"/>
          <w:sz w:val="24"/>
          <w:szCs w:val="24"/>
          <w:highlight w:val="none"/>
          <w:lang w:eastAsia="zh-CN"/>
          <w14:textFill>
            <w14:solidFill>
              <w14:schemeClr w14:val="tx1"/>
            </w14:solidFill>
          </w14:textFill>
        </w:rPr>
        <w:t>十一、</w:t>
      </w:r>
      <w:r>
        <w:rPr>
          <w:rFonts w:hint="eastAsia" w:ascii="仿宋" w:hAnsi="仿宋" w:eastAsia="仿宋" w:cs="宋体"/>
          <w:b/>
          <w:bCs/>
          <w:color w:val="000000" w:themeColor="text1"/>
          <w:kern w:val="0"/>
          <w:sz w:val="24"/>
          <w:szCs w:val="24"/>
          <w:highlight w:val="none"/>
          <w14:textFill>
            <w14:solidFill>
              <w14:schemeClr w14:val="tx1"/>
            </w14:solidFill>
          </w14:textFill>
        </w:rPr>
        <w:t>近年发生的诉讼及仲裁情况</w:t>
      </w:r>
      <w:bookmarkEnd w:id="630"/>
    </w:p>
    <w:p>
      <w:pPr>
        <w:pStyle w:val="2"/>
        <w:rPr>
          <w:b/>
          <w:sz w:val="32"/>
        </w:rPr>
      </w:pPr>
    </w:p>
    <w:p>
      <w:pPr>
        <w:pStyle w:val="2"/>
        <w:spacing w:before="7"/>
        <w:rPr>
          <w:b/>
          <w:sz w:val="35"/>
        </w:rPr>
      </w:pPr>
    </w:p>
    <w:p>
      <w:pPr>
        <w:pStyle w:val="2"/>
        <w:spacing w:line="494" w:lineRule="auto"/>
        <w:ind w:left="517" w:right="810"/>
        <w:sectPr>
          <w:pgSz w:w="11910" w:h="16840"/>
          <w:pgMar w:top="1140" w:right="600" w:bottom="1180" w:left="620" w:header="415" w:footer="983" w:gutter="0"/>
          <w:cols w:space="720" w:num="1"/>
        </w:sectPr>
      </w:pPr>
      <w:r>
        <w:t>说明：近年发生的诉讼和仲裁情况仅限于投标人败诉的，且与履行施工承包合同有关的案件，不包括调解结案以及未裁决的仲裁或未终审判决的诉讼</w:t>
      </w:r>
    </w:p>
    <w:p>
      <w:pPr>
        <w:pStyle w:val="6"/>
        <w:spacing w:before="0" w:after="0" w:line="360" w:lineRule="auto"/>
        <w:rPr>
          <w:rFonts w:ascii="仿宋" w:hAnsi="仿宋" w:eastAsia="仿宋"/>
          <w:color w:val="000000" w:themeColor="text1"/>
          <w:sz w:val="24"/>
          <w:szCs w:val="24"/>
          <w:highlight w:val="none"/>
          <w14:textFill>
            <w14:solidFill>
              <w14:schemeClr w14:val="tx1"/>
            </w14:solidFill>
          </w14:textFill>
        </w:rPr>
      </w:pPr>
      <w:bookmarkStart w:id="631" w:name="_Toc25279"/>
      <w:r>
        <w:rPr>
          <w:rFonts w:hint="eastAsia" w:ascii="仿宋" w:hAnsi="仿宋" w:eastAsia="仿宋" w:cs="宋体"/>
          <w:color w:val="000000" w:themeColor="text1"/>
          <w:sz w:val="24"/>
          <w:szCs w:val="24"/>
          <w:highlight w:val="none"/>
          <w:lang w:eastAsia="zh-CN"/>
          <w14:textFill>
            <w14:solidFill>
              <w14:schemeClr w14:val="tx1"/>
            </w14:solidFill>
          </w14:textFill>
        </w:rPr>
        <w:t>十二、</w:t>
      </w:r>
      <w:r>
        <w:rPr>
          <w:rFonts w:hint="eastAsia" w:ascii="仿宋" w:hAnsi="仿宋" w:eastAsia="仿宋" w:cs="宋体"/>
          <w:color w:val="000000" w:themeColor="text1"/>
          <w:sz w:val="24"/>
          <w:szCs w:val="24"/>
          <w:highlight w:val="none"/>
          <w14:textFill>
            <w14:solidFill>
              <w14:schemeClr w14:val="tx1"/>
            </w14:solidFill>
          </w14:textFill>
        </w:rPr>
        <w:t>近三年内，在经营活动中没有重大违法记录的声明</w:t>
      </w:r>
      <w:bookmarkEnd w:id="631"/>
    </w:p>
    <w:p>
      <w:pPr>
        <w:spacing w:line="360" w:lineRule="auto"/>
        <w:ind w:firstLine="480" w:firstLineChars="200"/>
        <w:rPr>
          <w:rFonts w:ascii="宋体"/>
          <w:color w:val="000000" w:themeColor="text1"/>
          <w:kern w:val="0"/>
          <w:sz w:val="24"/>
          <w:szCs w:val="24"/>
          <w:highlight w:val="none"/>
          <w14:textFill>
            <w14:solidFill>
              <w14:schemeClr w14:val="tx1"/>
            </w14:solidFill>
          </w14:textFill>
        </w:rPr>
      </w:pPr>
    </w:p>
    <w:p>
      <w:pPr>
        <w:keepNext w:val="0"/>
        <w:keepLines w:val="0"/>
        <w:widowControl/>
        <w:suppressLineNumbers w:val="0"/>
        <w:jc w:val="left"/>
        <w:rPr>
          <w:rFonts w:hint="eastAsia" w:ascii="仿宋" w:hAnsi="仿宋" w:eastAsia="仿宋" w:cs="宋体"/>
          <w:color w:val="000000" w:themeColor="text1"/>
          <w:kern w:val="0"/>
          <w:sz w:val="24"/>
          <w:szCs w:val="24"/>
          <w:highlight w:val="none"/>
          <w:lang w:eastAsia="zh-CN"/>
          <w14:textFill>
            <w14:solidFill>
              <w14:schemeClr w14:val="tx1"/>
            </w14:solidFill>
          </w14:textFill>
        </w:rPr>
      </w:pPr>
      <w:r>
        <w:rPr>
          <w:rFonts w:hint="eastAsia" w:ascii="仿宋" w:hAnsi="仿宋" w:eastAsia="仿宋" w:cs="宋体"/>
          <w:color w:val="000000" w:themeColor="text1"/>
          <w:kern w:val="0"/>
          <w:sz w:val="24"/>
          <w:szCs w:val="24"/>
          <w:highlight w:val="none"/>
          <w14:textFill>
            <w14:solidFill>
              <w14:schemeClr w14:val="tx1"/>
            </w14:solidFill>
          </w14:textFill>
        </w:rPr>
        <w:t>致：</w:t>
      </w:r>
      <w:r>
        <w:rPr>
          <w:rFonts w:hint="eastAsia" w:ascii="仿宋" w:hAnsi="仿宋" w:eastAsia="仿宋" w:cs="宋体"/>
          <w:color w:val="000000" w:themeColor="text1"/>
          <w:kern w:val="0"/>
          <w:sz w:val="24"/>
          <w:szCs w:val="24"/>
          <w:highlight w:val="none"/>
          <w:lang w:eastAsia="zh-CN"/>
          <w14:textFill>
            <w14:solidFill>
              <w14:schemeClr w14:val="tx1"/>
            </w14:solidFill>
          </w14:textFill>
        </w:rPr>
        <w:t>甘德县住房和城乡建设局</w:t>
      </w:r>
    </w:p>
    <w:p>
      <w:pPr>
        <w:spacing w:line="360" w:lineRule="auto"/>
        <w:ind w:firstLine="480" w:firstLineChars="200"/>
        <w:rPr>
          <w:rFonts w:ascii="仿宋" w:hAnsi="仿宋" w:eastAsia="仿宋"/>
          <w:color w:val="000000" w:themeColor="text1"/>
          <w:kern w:val="0"/>
          <w:sz w:val="24"/>
          <w:szCs w:val="24"/>
          <w:highlight w:val="none"/>
          <w14:textFill>
            <w14:solidFill>
              <w14:schemeClr w14:val="tx1"/>
            </w14:solidFill>
          </w14:textFill>
        </w:rPr>
      </w:pPr>
      <w:r>
        <w:rPr>
          <w:rFonts w:hint="eastAsia" w:ascii="仿宋" w:hAnsi="仿宋" w:eastAsia="仿宋" w:cs="宋体"/>
          <w:color w:val="000000" w:themeColor="text1"/>
          <w:kern w:val="0"/>
          <w:sz w:val="24"/>
          <w:szCs w:val="24"/>
          <w:highlight w:val="none"/>
          <w14:textFill>
            <w14:solidFill>
              <w14:schemeClr w14:val="tx1"/>
            </w14:solidFill>
          </w14:textFill>
        </w:rPr>
        <w:t>我单位近三年内在经营活动中没有重大违法记，特此声明。</w:t>
      </w:r>
    </w:p>
    <w:p>
      <w:pPr>
        <w:spacing w:line="360" w:lineRule="auto"/>
        <w:ind w:firstLine="480" w:firstLineChars="200"/>
        <w:rPr>
          <w:rFonts w:ascii="宋体"/>
          <w:color w:val="000000" w:themeColor="text1"/>
          <w:kern w:val="0"/>
          <w:sz w:val="24"/>
          <w:szCs w:val="24"/>
          <w:highlight w:val="none"/>
          <w14:textFill>
            <w14:solidFill>
              <w14:schemeClr w14:val="tx1"/>
            </w14:solidFill>
          </w14:textFill>
        </w:rPr>
      </w:pPr>
      <w:r>
        <w:rPr>
          <w:rFonts w:hint="eastAsia" w:ascii="仿宋" w:hAnsi="仿宋" w:eastAsia="仿宋" w:cs="宋体"/>
          <w:color w:val="000000" w:themeColor="text1"/>
          <w:kern w:val="0"/>
          <w:sz w:val="24"/>
          <w:szCs w:val="24"/>
          <w:highlight w:val="none"/>
          <w14:textFill>
            <w14:solidFill>
              <w14:schemeClr w14:val="tx1"/>
            </w14:solidFill>
          </w14:textFill>
        </w:rPr>
        <w:t>若招标采购单位在本项目采购过程中发现我单位近三年内在经营活动中有重大违法记录，我单位将无条件地退出本项目的响应，并承担因此引起的一切后果。</w:t>
      </w:r>
    </w:p>
    <w:p>
      <w:pPr>
        <w:spacing w:line="360" w:lineRule="auto"/>
        <w:ind w:firstLine="480" w:firstLineChars="200"/>
        <w:rPr>
          <w:rFonts w:ascii="宋体"/>
          <w:color w:val="000000" w:themeColor="text1"/>
          <w:kern w:val="0"/>
          <w:sz w:val="24"/>
          <w:szCs w:val="24"/>
          <w:highlight w:val="none"/>
          <w14:textFill>
            <w14:solidFill>
              <w14:schemeClr w14:val="tx1"/>
            </w14:solidFill>
          </w14:textFill>
        </w:rPr>
      </w:pPr>
    </w:p>
    <w:p>
      <w:pPr>
        <w:spacing w:line="360" w:lineRule="auto"/>
        <w:ind w:firstLine="480" w:firstLineChars="200"/>
        <w:rPr>
          <w:rFonts w:ascii="宋体"/>
          <w:color w:val="000000" w:themeColor="text1"/>
          <w:kern w:val="0"/>
          <w:sz w:val="24"/>
          <w:szCs w:val="24"/>
          <w:highlight w:val="none"/>
          <w14:textFill>
            <w14:solidFill>
              <w14:schemeClr w14:val="tx1"/>
            </w14:solidFill>
          </w14:textFill>
        </w:rPr>
      </w:pPr>
    </w:p>
    <w:p>
      <w:pPr>
        <w:spacing w:line="360" w:lineRule="auto"/>
        <w:ind w:firstLine="480" w:firstLineChars="200"/>
        <w:rPr>
          <w:rFonts w:ascii="宋体"/>
          <w:color w:val="000000" w:themeColor="text1"/>
          <w:kern w:val="0"/>
          <w:sz w:val="24"/>
          <w:szCs w:val="24"/>
          <w:highlight w:val="none"/>
          <w14:textFill>
            <w14:solidFill>
              <w14:schemeClr w14:val="tx1"/>
            </w14:solidFill>
          </w14:textFill>
        </w:rPr>
      </w:pPr>
    </w:p>
    <w:p>
      <w:pPr>
        <w:spacing w:line="360" w:lineRule="auto"/>
        <w:ind w:firstLine="480" w:firstLineChars="200"/>
        <w:rPr>
          <w:rFonts w:ascii="宋体"/>
          <w:color w:val="000000" w:themeColor="text1"/>
          <w:kern w:val="0"/>
          <w:sz w:val="24"/>
          <w:szCs w:val="24"/>
          <w:highlight w:val="none"/>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lang w:eastAsia="zh-CN"/>
          <w14:textFill>
            <w14:solidFill>
              <w14:schemeClr w14:val="tx1"/>
            </w14:solidFill>
          </w14:textFill>
        </w:rPr>
        <w:t>投标人</w:t>
      </w:r>
      <w:r>
        <w:rPr>
          <w:rFonts w:hint="eastAsia" w:ascii="仿宋" w:hAnsi="仿宋" w:eastAsia="仿宋" w:cs="宋体"/>
          <w:b/>
          <w:bCs/>
          <w:color w:val="000000" w:themeColor="text1"/>
          <w:sz w:val="24"/>
          <w:szCs w:val="24"/>
          <w:highlight w:val="none"/>
          <w14:textFill>
            <w14:solidFill>
              <w14:schemeClr w14:val="tx1"/>
            </w14:solidFill>
          </w14:textFill>
        </w:rPr>
        <w:t>名称：（公章）</w:t>
      </w:r>
    </w:p>
    <w:p>
      <w:pPr>
        <w:adjustRightInd w:val="0"/>
        <w:spacing w:line="360" w:lineRule="auto"/>
        <w:jc w:val="center"/>
        <w:textAlignment w:val="baseline"/>
        <w:rPr>
          <w:rFonts w:ascii="仿宋" w:hAnsi="仿宋" w:eastAsia="仿宋"/>
          <w:b/>
          <w:bCs/>
          <w:color w:val="000000" w:themeColor="text1"/>
          <w:sz w:val="24"/>
          <w:szCs w:val="24"/>
          <w:highlight w:val="none"/>
          <w:u w:val="single"/>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法人代表或授权代表：（签字或盖章）</w:t>
      </w: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年</w:t>
      </w: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b/>
          <w:bCs/>
          <w:color w:val="000000" w:themeColor="text1"/>
          <w:sz w:val="24"/>
          <w:szCs w:val="24"/>
          <w:highlight w:val="none"/>
          <w14:textFill>
            <w14:solidFill>
              <w14:schemeClr w14:val="tx1"/>
            </w14:solidFill>
          </w14:textFill>
        </w:rPr>
        <w:t>月</w:t>
      </w: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b/>
          <w:bCs/>
          <w:color w:val="000000" w:themeColor="text1"/>
          <w:sz w:val="24"/>
          <w:szCs w:val="24"/>
          <w:highlight w:val="none"/>
          <w14:textFill>
            <w14:solidFill>
              <w14:schemeClr w14:val="tx1"/>
            </w14:solidFill>
          </w14:textFill>
        </w:rPr>
        <w:t>日</w:t>
      </w:r>
    </w:p>
    <w:p>
      <w:pPr>
        <w:spacing w:line="360" w:lineRule="auto"/>
        <w:ind w:firstLine="482" w:firstLineChars="200"/>
        <w:jc w:val="left"/>
        <w:rPr>
          <w:rFonts w:ascii="仿宋" w:hAnsi="仿宋" w:eastAsia="仿宋" w:cs="宋体"/>
          <w:b/>
          <w:bCs/>
          <w:color w:val="000000" w:themeColor="text1"/>
          <w:kern w:val="0"/>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ind w:firstLine="482" w:firstLineChars="200"/>
        <w:jc w:val="left"/>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2</w:t>
      </w:r>
      <w:r>
        <w:rPr>
          <w:rFonts w:hint="eastAsia" w:ascii="仿宋" w:hAnsi="仿宋" w:eastAsia="仿宋" w:cs="宋体"/>
          <w:b/>
          <w:bCs/>
          <w:color w:val="000000" w:themeColor="text1"/>
          <w:sz w:val="24"/>
          <w:szCs w:val="24"/>
          <w:highlight w:val="none"/>
          <w14:textFill>
            <w14:solidFill>
              <w14:schemeClr w14:val="tx1"/>
            </w14:solidFill>
          </w14:textFill>
        </w:rPr>
        <w:t>、“信用中国”</w:t>
      </w:r>
      <w:r>
        <w:rPr>
          <w:rFonts w:hint="eastAsia" w:ascii="仿宋" w:hAnsi="仿宋" w:eastAsia="仿宋" w:cs="宋体"/>
          <w:b/>
          <w:bCs/>
          <w:color w:val="000000" w:themeColor="text1"/>
          <w:sz w:val="24"/>
          <w:szCs w:val="24"/>
          <w:highlight w:val="none"/>
          <w:lang w:eastAsia="zh-CN"/>
          <w14:textFill>
            <w14:solidFill>
              <w14:schemeClr w14:val="tx1"/>
            </w14:solidFill>
          </w14:textFill>
        </w:rPr>
        <w:t>中国政府采购网</w:t>
      </w:r>
      <w:r>
        <w:rPr>
          <w:rFonts w:hint="eastAsia" w:ascii="仿宋" w:hAnsi="仿宋" w:eastAsia="仿宋" w:cs="宋体"/>
          <w:b/>
          <w:bCs/>
          <w:color w:val="000000" w:themeColor="text1"/>
          <w:sz w:val="24"/>
          <w:szCs w:val="24"/>
          <w:highlight w:val="none"/>
          <w14:textFill>
            <w14:solidFill>
              <w14:schemeClr w14:val="tx1"/>
            </w14:solidFill>
          </w14:textFill>
        </w:rPr>
        <w:t>网站截图</w:t>
      </w: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pStyle w:val="2"/>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p>
    <w:p>
      <w:pPr>
        <w:pStyle w:val="6"/>
        <w:spacing w:before="0" w:after="0" w:line="360" w:lineRule="auto"/>
        <w:rPr>
          <w:rFonts w:ascii="仿宋" w:hAnsi="仿宋" w:eastAsia="仿宋" w:cs="宋体"/>
          <w:color w:val="000000" w:themeColor="text1"/>
          <w:sz w:val="24"/>
          <w:szCs w:val="24"/>
          <w:highlight w:val="none"/>
          <w14:textFill>
            <w14:solidFill>
              <w14:schemeClr w14:val="tx1"/>
            </w14:solidFill>
          </w14:textFill>
        </w:rPr>
      </w:pPr>
      <w:bookmarkStart w:id="632" w:name="_Toc18301"/>
      <w:r>
        <w:rPr>
          <w:rFonts w:hint="eastAsia" w:ascii="仿宋" w:hAnsi="仿宋" w:eastAsia="仿宋" w:cs="宋体"/>
          <w:color w:val="000000" w:themeColor="text1"/>
          <w:sz w:val="24"/>
          <w:szCs w:val="24"/>
          <w:highlight w:val="none"/>
          <w:lang w:eastAsia="zh-CN"/>
          <w14:textFill>
            <w14:solidFill>
              <w14:schemeClr w14:val="tx1"/>
            </w14:solidFill>
          </w14:textFill>
        </w:rPr>
        <w:t>十三、</w:t>
      </w:r>
      <w:r>
        <w:rPr>
          <w:rFonts w:hint="eastAsia" w:ascii="仿宋" w:hAnsi="仿宋" w:eastAsia="仿宋" w:cs="宋体"/>
          <w:color w:val="000000" w:themeColor="text1"/>
          <w:sz w:val="24"/>
          <w:szCs w:val="24"/>
          <w:highlight w:val="none"/>
          <w14:textFill>
            <w14:solidFill>
              <w14:schemeClr w14:val="tx1"/>
            </w14:solidFill>
          </w14:textFill>
        </w:rPr>
        <w:t>投标保证金证明</w:t>
      </w:r>
      <w:bookmarkEnd w:id="632"/>
    </w:p>
    <w:p>
      <w:pPr>
        <w:pStyle w:val="5"/>
        <w:spacing w:before="0" w:after="0" w:line="360" w:lineRule="auto"/>
        <w:rPr>
          <w:rFonts w:ascii="仿宋" w:hAnsi="仿宋" w:eastAsia="仿宋" w:cs="Times New Roman"/>
          <w:color w:val="000000" w:themeColor="text1"/>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b/>
          <w:bCs/>
          <w:color w:val="000000" w:themeColor="text1"/>
          <w:kern w:val="0"/>
          <w:sz w:val="24"/>
          <w:szCs w:val="24"/>
          <w:highlight w:val="none"/>
          <w14:textFill>
            <w14:solidFill>
              <w14:schemeClr w14:val="tx1"/>
            </w14:solidFill>
          </w14:textFill>
        </w:rPr>
      </w:pPr>
    </w:p>
    <w:p>
      <w:pPr>
        <w:autoSpaceDE w:val="0"/>
        <w:autoSpaceDN w:val="0"/>
        <w:adjustRightInd w:val="0"/>
        <w:spacing w:line="400" w:lineRule="exact"/>
        <w:jc w:val="center"/>
        <w:rPr>
          <w:rFonts w:ascii="仿宋" w:hAnsi="仿宋" w:eastAsia="仿宋" w:cs="宋体"/>
          <w:b/>
          <w:bCs/>
          <w:color w:val="000000" w:themeColor="text1"/>
          <w:kern w:val="0"/>
          <w:sz w:val="24"/>
          <w:szCs w:val="24"/>
          <w:highlight w:val="none"/>
          <w14:textFill>
            <w14:solidFill>
              <w14:schemeClr w14:val="tx1"/>
            </w14:solidFill>
          </w14:textFill>
        </w:rPr>
      </w:pPr>
      <w:r>
        <w:rPr>
          <w:rFonts w:hint="eastAsia" w:ascii="仿宋" w:hAnsi="仿宋" w:eastAsia="仿宋" w:cs="宋体"/>
          <w:b/>
          <w:bCs/>
          <w:color w:val="000000" w:themeColor="text1"/>
          <w:kern w:val="0"/>
          <w:sz w:val="24"/>
          <w:szCs w:val="24"/>
          <w:highlight w:val="none"/>
          <w14:textFill>
            <w14:solidFill>
              <w14:schemeClr w14:val="tx1"/>
            </w14:solidFill>
          </w14:textFill>
        </w:rPr>
        <w:t>保证金证明</w:t>
      </w:r>
    </w:p>
    <w:p>
      <w:pPr>
        <w:autoSpaceDE w:val="0"/>
        <w:autoSpaceDN w:val="0"/>
        <w:adjustRightInd w:val="0"/>
        <w:spacing w:line="400" w:lineRule="exact"/>
        <w:rPr>
          <w:rFonts w:ascii="仿宋" w:hAnsi="仿宋" w:eastAsia="仿宋" w:cs="宋体"/>
          <w:b/>
          <w:bCs/>
          <w:color w:val="000000" w:themeColor="text1"/>
          <w:kern w:val="0"/>
          <w:sz w:val="28"/>
          <w:szCs w:val="28"/>
          <w:highlight w:val="none"/>
          <w:lang w:val="zh-CN"/>
          <w14:textFill>
            <w14:solidFill>
              <w14:schemeClr w14:val="tx1"/>
            </w14:solidFill>
          </w14:textFill>
        </w:rPr>
      </w:pPr>
      <w:bookmarkStart w:id="633" w:name="_Toc325726048"/>
      <w:bookmarkEnd w:id="633"/>
    </w:p>
    <w:p>
      <w:pPr>
        <w:autoSpaceDE w:val="0"/>
        <w:autoSpaceDN w:val="0"/>
        <w:adjustRightInd w:val="0"/>
        <w:spacing w:line="400" w:lineRule="exact"/>
        <w:ind w:firstLine="3070" w:firstLineChars="1274"/>
        <w:rPr>
          <w:rFonts w:ascii="仿宋" w:hAnsi="仿宋" w:eastAsia="仿宋" w:cs="宋体"/>
          <w:b/>
          <w:bCs/>
          <w:color w:val="000000" w:themeColor="text1"/>
          <w:sz w:val="24"/>
          <w:szCs w:val="24"/>
          <w:highlight w:val="none"/>
          <w14:textFill>
            <w14:solidFill>
              <w14:schemeClr w14:val="tx1"/>
            </w14:solidFill>
          </w14:textFill>
        </w:rPr>
      </w:pPr>
    </w:p>
    <w:p>
      <w:pPr>
        <w:autoSpaceDE w:val="0"/>
        <w:autoSpaceDN w:val="0"/>
        <w:adjustRightInd w:val="0"/>
        <w:spacing w:line="400" w:lineRule="exact"/>
        <w:ind w:firstLine="3070" w:firstLineChars="1274"/>
        <w:rPr>
          <w:rFonts w:ascii="仿宋" w:hAnsi="仿宋" w:eastAsia="仿宋" w:cs="宋体"/>
          <w:b/>
          <w:bCs/>
          <w:color w:val="000000" w:themeColor="text1"/>
          <w:sz w:val="24"/>
          <w:szCs w:val="24"/>
          <w:highlight w:val="none"/>
          <w14:textFill>
            <w14:solidFill>
              <w14:schemeClr w14:val="tx1"/>
            </w14:solidFill>
          </w14:textFill>
        </w:rPr>
      </w:pPr>
    </w:p>
    <w:p>
      <w:pPr>
        <w:autoSpaceDE w:val="0"/>
        <w:autoSpaceDN w:val="0"/>
        <w:adjustRightInd w:val="0"/>
        <w:spacing w:line="400" w:lineRule="exact"/>
        <w:ind w:firstLine="3070" w:firstLineChars="1274"/>
        <w:rPr>
          <w:rFonts w:ascii="仿宋" w:hAnsi="仿宋" w:eastAsia="仿宋" w:cs="宋体"/>
          <w:b/>
          <w:bCs/>
          <w:color w:val="000000" w:themeColor="text1"/>
          <w:kern w:val="0"/>
          <w:sz w:val="24"/>
          <w:highlight w:val="none"/>
          <w:lang w:val="zh-CN"/>
          <w14:textFill>
            <w14:solidFill>
              <w14:schemeClr w14:val="tx1"/>
            </w14:solidFill>
          </w14:textFill>
        </w:rPr>
      </w:pPr>
    </w:p>
    <w:p>
      <w:pPr>
        <w:adjustRightInd w:val="0"/>
        <w:spacing w:line="360" w:lineRule="auto"/>
        <w:textAlignment w:val="baseline"/>
        <w:rPr>
          <w:rFonts w:ascii="仿宋" w:hAnsi="仿宋" w:eastAsia="仿宋"/>
          <w:b/>
          <w:bCs/>
          <w:color w:val="000000" w:themeColor="text1"/>
          <w:sz w:val="24"/>
          <w:szCs w:val="24"/>
          <w:highlight w:val="none"/>
          <w:u w:val="single"/>
          <w14:textFill>
            <w14:solidFill>
              <w14:schemeClr w14:val="tx1"/>
            </w14:solidFill>
          </w14:textFill>
        </w:rPr>
      </w:pPr>
    </w:p>
    <w:p>
      <w:pPr>
        <w:pStyle w:val="6"/>
        <w:spacing w:before="0" w:after="0" w:line="360" w:lineRule="auto"/>
        <w:rPr>
          <w:rFonts w:ascii="仿宋" w:hAnsi="仿宋" w:eastAsia="仿宋" w:cs="宋体"/>
          <w:color w:val="000000" w:themeColor="text1"/>
          <w:sz w:val="24"/>
          <w:szCs w:val="24"/>
          <w:highlight w:val="none"/>
          <w14:textFill>
            <w14:solidFill>
              <w14:schemeClr w14:val="tx1"/>
            </w14:solidFill>
          </w14:textFill>
        </w:rPr>
      </w:pPr>
      <w:bookmarkStart w:id="634" w:name="_Toc15461"/>
      <w:r>
        <w:rPr>
          <w:rFonts w:hint="eastAsia" w:ascii="仿宋" w:hAnsi="仿宋" w:eastAsia="仿宋" w:cs="宋体"/>
          <w:color w:val="000000" w:themeColor="text1"/>
          <w:sz w:val="24"/>
          <w:szCs w:val="24"/>
          <w:highlight w:val="none"/>
          <w:lang w:eastAsia="zh-CN"/>
          <w14:textFill>
            <w14:solidFill>
              <w14:schemeClr w14:val="tx1"/>
            </w14:solidFill>
          </w14:textFill>
        </w:rPr>
        <w:t>十四、投标人</w:t>
      </w:r>
      <w:r>
        <w:rPr>
          <w:rFonts w:hint="eastAsia" w:ascii="仿宋" w:hAnsi="仿宋" w:eastAsia="仿宋" w:cs="宋体"/>
          <w:color w:val="000000" w:themeColor="text1"/>
          <w:sz w:val="24"/>
          <w:szCs w:val="24"/>
          <w:highlight w:val="none"/>
          <w14:textFill>
            <w14:solidFill>
              <w14:schemeClr w14:val="tx1"/>
            </w14:solidFill>
          </w14:textFill>
        </w:rPr>
        <w:t>认为在其他方面有必要说明的事项</w:t>
      </w:r>
      <w:bookmarkEnd w:id="634"/>
    </w:p>
    <w:p>
      <w:pPr>
        <w:autoSpaceDE w:val="0"/>
        <w:autoSpaceDN w:val="0"/>
        <w:adjustRightInd w:val="0"/>
        <w:spacing w:line="360" w:lineRule="auto"/>
        <w:ind w:firstLine="60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投标人在参加本项目投标中根据询比采购文件的要求认为需要说明的事项，但不做为评标依据。如没有说明事项，此项可忽略。（格式可自定）</w:t>
      </w:r>
    </w:p>
    <w:p>
      <w:pPr>
        <w:autoSpaceDE w:val="0"/>
        <w:autoSpaceDN w:val="0"/>
        <w:adjustRightInd w:val="0"/>
        <w:spacing w:line="360" w:lineRule="auto"/>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bookmarkEnd w:id="622"/>
    <w:bookmarkEnd w:id="623"/>
    <w:bookmarkEnd w:id="624"/>
    <w:bookmarkEnd w:id="625"/>
    <w:bookmarkEnd w:id="626"/>
    <w:p>
      <w:pPr>
        <w:jc w:val="center"/>
        <w:rPr>
          <w:rFonts w:hint="eastAsia" w:ascii="仿宋" w:hAnsi="仿宋" w:eastAsia="仿宋" w:cs="宋体"/>
          <w:b/>
          <w:bCs/>
          <w:color w:val="000000" w:themeColor="text1"/>
          <w:kern w:val="0"/>
          <w:sz w:val="24"/>
          <w:szCs w:val="24"/>
          <w:highlight w:val="none"/>
          <w:lang w:val="zh-CN" w:eastAsia="zh-CN" w:bidi="ar-SA"/>
          <w14:textFill>
            <w14:solidFill>
              <w14:schemeClr w14:val="tx1"/>
            </w14:solidFill>
          </w14:textFill>
        </w:rPr>
      </w:pPr>
      <w:r>
        <w:rPr>
          <w:rFonts w:hint="eastAsia" w:ascii="仿宋" w:hAnsi="仿宋" w:eastAsia="仿宋" w:cs="宋体"/>
          <w:b/>
          <w:bCs/>
          <w:color w:val="000000" w:themeColor="text1"/>
          <w:kern w:val="0"/>
          <w:sz w:val="24"/>
          <w:szCs w:val="24"/>
          <w:highlight w:val="none"/>
          <w:lang w:val="zh-CN" w:eastAsia="zh-CN" w:bidi="ar-SA"/>
          <w14:textFill>
            <w14:solidFill>
              <w14:schemeClr w14:val="tx1"/>
            </w14:solidFill>
          </w14:textFill>
        </w:rPr>
        <w:t>第六部分</w:t>
      </w:r>
      <w:r>
        <w:rPr>
          <w:rFonts w:hint="eastAsia" w:ascii="仿宋" w:hAnsi="仿宋" w:eastAsia="仿宋" w:cs="宋体"/>
          <w:b/>
          <w:bCs/>
          <w:color w:val="000000" w:themeColor="text1"/>
          <w:kern w:val="0"/>
          <w:sz w:val="24"/>
          <w:szCs w:val="24"/>
          <w:highlight w:val="none"/>
          <w:lang w:val="en-US" w:eastAsia="zh-CN" w:bidi="ar-SA"/>
          <w14:textFill>
            <w14:solidFill>
              <w14:schemeClr w14:val="tx1"/>
            </w14:solidFill>
          </w14:textFill>
        </w:rPr>
        <w:t xml:space="preserve"> </w:t>
      </w:r>
      <w:r>
        <w:rPr>
          <w:rFonts w:hint="eastAsia" w:ascii="仿宋" w:hAnsi="仿宋" w:eastAsia="仿宋" w:cs="宋体"/>
          <w:b/>
          <w:bCs/>
          <w:color w:val="000000" w:themeColor="text1"/>
          <w:kern w:val="0"/>
          <w:sz w:val="24"/>
          <w:szCs w:val="24"/>
          <w:highlight w:val="none"/>
          <w:lang w:val="zh-CN" w:eastAsia="zh-CN" w:bidi="ar-SA"/>
          <w14:textFill>
            <w14:solidFill>
              <w14:schemeClr w14:val="tx1"/>
            </w14:solidFill>
          </w14:textFill>
        </w:rPr>
        <w:t>工程量清单</w:t>
      </w:r>
    </w:p>
    <w:p>
      <w:pPr>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rPr>
          <w:rFonts w:ascii="仿宋" w:hAnsi="仿宋" w:eastAsia="仿宋"/>
          <w:color w:val="000000" w:themeColor="text1"/>
          <w:sz w:val="28"/>
          <w:szCs w:val="28"/>
          <w:highlight w:val="none"/>
          <w:lang w:val="zh-CN"/>
          <w14:textFill>
            <w14:solidFill>
              <w14:schemeClr w14:val="tx1"/>
            </w14:solidFill>
          </w14:textFill>
        </w:rPr>
      </w:pPr>
    </w:p>
    <w:p>
      <w:pPr>
        <w:pStyle w:val="43"/>
      </w:pPr>
    </w:p>
    <w:p>
      <w:pPr>
        <w:pStyle w:val="43"/>
      </w:pPr>
    </w:p>
    <w:p>
      <w:pPr>
        <w:pStyle w:val="43"/>
      </w:pPr>
    </w:p>
    <w:p>
      <w:pPr>
        <w:pStyle w:val="43"/>
      </w:pPr>
    </w:p>
    <w:p>
      <w:pPr>
        <w:pStyle w:val="43"/>
      </w:pPr>
    </w:p>
    <w:p>
      <w:pPr>
        <w:pStyle w:val="43"/>
      </w:pPr>
    </w:p>
    <w:p>
      <w:pPr>
        <w:pStyle w:val="43"/>
      </w:pPr>
    </w:p>
    <w:p>
      <w:pPr>
        <w:pStyle w:val="43"/>
      </w:pPr>
    </w:p>
    <w:p>
      <w:pPr>
        <w:pStyle w:val="43"/>
      </w:pPr>
    </w:p>
    <w:p>
      <w:pPr>
        <w:pStyle w:val="43"/>
      </w:pPr>
    </w:p>
    <w:p>
      <w:pPr>
        <w:pStyle w:val="43"/>
      </w:pPr>
    </w:p>
    <w:p>
      <w:pPr>
        <w:pStyle w:val="43"/>
      </w:pPr>
    </w:p>
    <w:p>
      <w:pPr>
        <w:pStyle w:val="43"/>
      </w:pPr>
    </w:p>
    <w:p>
      <w:pPr>
        <w:pStyle w:val="43"/>
      </w:pPr>
    </w:p>
    <w:p>
      <w:pPr>
        <w:pStyle w:val="43"/>
      </w:pPr>
    </w:p>
    <w:p>
      <w:pPr>
        <w:pStyle w:val="43"/>
      </w:pPr>
    </w:p>
    <w:p>
      <w:pPr>
        <w:pStyle w:val="43"/>
      </w:pPr>
    </w:p>
    <w:p>
      <w:pPr>
        <w:pStyle w:val="43"/>
      </w:pPr>
    </w:p>
    <w:p>
      <w:pPr>
        <w:pStyle w:val="43"/>
      </w:pPr>
    </w:p>
    <w:p>
      <w:pPr>
        <w:pStyle w:val="43"/>
      </w:pPr>
    </w:p>
    <w:p>
      <w:pPr>
        <w:pStyle w:val="43"/>
      </w:pPr>
    </w:p>
    <w:p>
      <w:pPr>
        <w:pStyle w:val="43"/>
      </w:pPr>
    </w:p>
    <w:p>
      <w:pPr>
        <w:pStyle w:val="43"/>
      </w:pPr>
    </w:p>
    <w:p>
      <w:pPr>
        <w:pStyle w:val="43"/>
        <w:rPr>
          <w:lang w:val="zh-CN"/>
        </w:rPr>
      </w:pPr>
    </w:p>
    <w:sectPr>
      <w:pgSz w:w="11907" w:h="16840"/>
      <w:pgMar w:top="1440" w:right="1800" w:bottom="1440" w:left="1800"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arial ! important">
    <w:altName w:val="Courier New"/>
    <w:panose1 w:val="00000000000000000000"/>
    <w:charset w:val="00"/>
    <w:family w:val="auto"/>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华文楷体">
    <w:altName w:val="宋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97430"/>
    </w:sdtPr>
    <w:sdtContent>
      <w:p>
        <w:pPr>
          <w:pStyle w:val="17"/>
          <w:jc w:val="center"/>
        </w:pPr>
        <w:r>
          <w:fldChar w:fldCharType="begin"/>
        </w:r>
        <w:r>
          <w:instrText xml:space="preserve"> PAGE   \* MERGEFORMAT </w:instrText>
        </w:r>
        <w:r>
          <w:fldChar w:fldCharType="separate"/>
        </w:r>
        <w:r>
          <w:rPr>
            <w:lang w:val="zh-CN"/>
          </w:rPr>
          <w:t>22</w:t>
        </w:r>
        <w:r>
          <w:rPr>
            <w:lang w:val="zh-CN"/>
          </w:rPr>
          <w:fldChar w:fldCharType="end"/>
        </w:r>
      </w:p>
    </w:sdtContent>
  </w:sdt>
  <w:p>
    <w:pPr>
      <w:pStyle w:val="17"/>
      <w:tabs>
        <w:tab w:val="left" w:pos="4200"/>
        <w:tab w:val="left" w:pos="4620"/>
        <w:tab w:val="left" w:pos="5040"/>
        <w:tab w:val="left" w:pos="5460"/>
        <w:tab w:val="left" w:pos="5880"/>
        <w:tab w:val="left" w:pos="6300"/>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p>
  <w:p>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both"/>
      <w:rPr>
        <w:rFonts w:eastAsia="仿宋"/>
      </w:rPr>
    </w:pPr>
    <w:sdt>
      <w:sdtPr>
        <w:rPr>
          <w:rFonts w:hint="eastAsia" w:ascii="仿宋" w:hAnsi="仿宋" w:eastAsia="仿宋"/>
          <w:sz w:val="21"/>
          <w:szCs w:val="21"/>
        </w:rPr>
        <w:id w:val="-1129701628"/>
        <w:showingPlcHdr/>
      </w:sdtPr>
      <w:sdtEndPr>
        <w:rPr>
          <w:rFonts w:hint="eastAsia" w:ascii="仿宋" w:hAnsi="仿宋" w:eastAsia="仿宋"/>
          <w:sz w:val="21"/>
          <w:szCs w:val="21"/>
        </w:rPr>
      </w:sdtEndPr>
      <w:sdtContent/>
    </w:sdt>
    <w:r>
      <w:rPr>
        <w:rFonts w:hint="eastAsia" w:ascii="仿宋" w:hAnsi="仿宋" w:eastAsia="仿宋" w:cs="仿宋"/>
        <w:sz w:val="24"/>
        <w:szCs w:val="24"/>
        <w:lang w:val="zh-CN"/>
      </w:rPr>
      <w:t>询比采购</w:t>
    </w:r>
    <w:r>
      <w:rPr>
        <w:rFonts w:hint="eastAsia" w:ascii="仿宋" w:hAnsi="仿宋" w:eastAsia="仿宋"/>
        <w:sz w:val="21"/>
        <w:szCs w:val="21"/>
      </w:rPr>
      <w:t xml:space="preserve">                                        </w:t>
    </w:r>
    <w:r>
      <w:rPr>
        <w:rFonts w:ascii="仿宋" w:hAnsi="仿宋" w:eastAsia="仿宋"/>
        <w:sz w:val="21"/>
        <w:szCs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both"/>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50F2DA"/>
    <w:multiLevelType w:val="singleLevel"/>
    <w:tmpl w:val="B450F2DA"/>
    <w:lvl w:ilvl="0" w:tentative="0">
      <w:start w:val="1"/>
      <w:numFmt w:val="chineseCounting"/>
      <w:suff w:val="nothing"/>
      <w:lvlText w:val="（%1）"/>
      <w:lvlJc w:val="left"/>
      <w:rPr>
        <w:rFonts w:hint="eastAsia"/>
      </w:rPr>
    </w:lvl>
  </w:abstractNum>
  <w:abstractNum w:abstractNumId="1">
    <w:nsid w:val="E1CA713C"/>
    <w:multiLevelType w:val="singleLevel"/>
    <w:tmpl w:val="E1CA713C"/>
    <w:lvl w:ilvl="0" w:tentative="0">
      <w:start w:val="1"/>
      <w:numFmt w:val="decimal"/>
      <w:lvlText w:val="%1."/>
      <w:lvlJc w:val="left"/>
      <w:pPr>
        <w:tabs>
          <w:tab w:val="left" w:pos="312"/>
        </w:tabs>
      </w:pPr>
    </w:lvl>
  </w:abstractNum>
  <w:abstractNum w:abstractNumId="2">
    <w:nsid w:val="FAC06E28"/>
    <w:multiLevelType w:val="singleLevel"/>
    <w:tmpl w:val="FAC06E28"/>
    <w:lvl w:ilvl="0" w:tentative="0">
      <w:start w:val="9"/>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1DE0"/>
    <w:rsid w:val="00002CB0"/>
    <w:rsid w:val="0000331E"/>
    <w:rsid w:val="00004360"/>
    <w:rsid w:val="00004E34"/>
    <w:rsid w:val="000057DD"/>
    <w:rsid w:val="00010231"/>
    <w:rsid w:val="000102DD"/>
    <w:rsid w:val="00012F93"/>
    <w:rsid w:val="00013074"/>
    <w:rsid w:val="000130EE"/>
    <w:rsid w:val="000140CE"/>
    <w:rsid w:val="00014721"/>
    <w:rsid w:val="0001596F"/>
    <w:rsid w:val="00015B21"/>
    <w:rsid w:val="000165BA"/>
    <w:rsid w:val="00016B57"/>
    <w:rsid w:val="00020AE2"/>
    <w:rsid w:val="00020F3F"/>
    <w:rsid w:val="000216FA"/>
    <w:rsid w:val="0002685F"/>
    <w:rsid w:val="00030333"/>
    <w:rsid w:val="000349A2"/>
    <w:rsid w:val="00034B16"/>
    <w:rsid w:val="00034DFB"/>
    <w:rsid w:val="00034F5E"/>
    <w:rsid w:val="000369F1"/>
    <w:rsid w:val="000375A6"/>
    <w:rsid w:val="00037943"/>
    <w:rsid w:val="0003797C"/>
    <w:rsid w:val="00037E3E"/>
    <w:rsid w:val="00041623"/>
    <w:rsid w:val="00042D1C"/>
    <w:rsid w:val="0004305C"/>
    <w:rsid w:val="00046564"/>
    <w:rsid w:val="00046D79"/>
    <w:rsid w:val="00046F60"/>
    <w:rsid w:val="00047DF4"/>
    <w:rsid w:val="000509CC"/>
    <w:rsid w:val="00051D15"/>
    <w:rsid w:val="000524C1"/>
    <w:rsid w:val="000526A1"/>
    <w:rsid w:val="000536E7"/>
    <w:rsid w:val="00054F7A"/>
    <w:rsid w:val="000553BE"/>
    <w:rsid w:val="00056917"/>
    <w:rsid w:val="000615D9"/>
    <w:rsid w:val="000635AE"/>
    <w:rsid w:val="000653F1"/>
    <w:rsid w:val="000654B0"/>
    <w:rsid w:val="00065ED0"/>
    <w:rsid w:val="0006698D"/>
    <w:rsid w:val="00067C66"/>
    <w:rsid w:val="0007287D"/>
    <w:rsid w:val="00072BDB"/>
    <w:rsid w:val="00073685"/>
    <w:rsid w:val="000768BB"/>
    <w:rsid w:val="0008144A"/>
    <w:rsid w:val="000845DA"/>
    <w:rsid w:val="00087BD1"/>
    <w:rsid w:val="00090898"/>
    <w:rsid w:val="00090DF0"/>
    <w:rsid w:val="00091336"/>
    <w:rsid w:val="00091818"/>
    <w:rsid w:val="00091A8D"/>
    <w:rsid w:val="00091BB4"/>
    <w:rsid w:val="00091CE6"/>
    <w:rsid w:val="000928BA"/>
    <w:rsid w:val="00094959"/>
    <w:rsid w:val="00095E52"/>
    <w:rsid w:val="000961EC"/>
    <w:rsid w:val="000964D4"/>
    <w:rsid w:val="00096721"/>
    <w:rsid w:val="00096A65"/>
    <w:rsid w:val="00097345"/>
    <w:rsid w:val="000975C2"/>
    <w:rsid w:val="000A1CF7"/>
    <w:rsid w:val="000A22B9"/>
    <w:rsid w:val="000A26D5"/>
    <w:rsid w:val="000A28D7"/>
    <w:rsid w:val="000A59D9"/>
    <w:rsid w:val="000A6056"/>
    <w:rsid w:val="000B0480"/>
    <w:rsid w:val="000B31D6"/>
    <w:rsid w:val="000B4407"/>
    <w:rsid w:val="000B6035"/>
    <w:rsid w:val="000B695E"/>
    <w:rsid w:val="000B6BA4"/>
    <w:rsid w:val="000B7255"/>
    <w:rsid w:val="000C1D33"/>
    <w:rsid w:val="000C2111"/>
    <w:rsid w:val="000C3027"/>
    <w:rsid w:val="000C4D7A"/>
    <w:rsid w:val="000C5836"/>
    <w:rsid w:val="000C77BA"/>
    <w:rsid w:val="000D07E6"/>
    <w:rsid w:val="000D246A"/>
    <w:rsid w:val="000D2AB4"/>
    <w:rsid w:val="000D5099"/>
    <w:rsid w:val="000D513C"/>
    <w:rsid w:val="000D5ACF"/>
    <w:rsid w:val="000E39CF"/>
    <w:rsid w:val="000E3B89"/>
    <w:rsid w:val="000E3C8B"/>
    <w:rsid w:val="000E4672"/>
    <w:rsid w:val="000E48F8"/>
    <w:rsid w:val="000E5200"/>
    <w:rsid w:val="000E6D2A"/>
    <w:rsid w:val="000F1F24"/>
    <w:rsid w:val="000F254E"/>
    <w:rsid w:val="000F3369"/>
    <w:rsid w:val="000F39C2"/>
    <w:rsid w:val="000F47D1"/>
    <w:rsid w:val="000F4FD1"/>
    <w:rsid w:val="000F56F0"/>
    <w:rsid w:val="000F5B33"/>
    <w:rsid w:val="000F7432"/>
    <w:rsid w:val="000F7A3C"/>
    <w:rsid w:val="001068DE"/>
    <w:rsid w:val="00110FBC"/>
    <w:rsid w:val="00111839"/>
    <w:rsid w:val="001131D8"/>
    <w:rsid w:val="00113E24"/>
    <w:rsid w:val="0011497C"/>
    <w:rsid w:val="00114AA9"/>
    <w:rsid w:val="00116286"/>
    <w:rsid w:val="00117374"/>
    <w:rsid w:val="001203A6"/>
    <w:rsid w:val="00121283"/>
    <w:rsid w:val="00123432"/>
    <w:rsid w:val="00123DA8"/>
    <w:rsid w:val="00124AAA"/>
    <w:rsid w:val="00125882"/>
    <w:rsid w:val="00126CE5"/>
    <w:rsid w:val="00130189"/>
    <w:rsid w:val="00130D18"/>
    <w:rsid w:val="00133BE7"/>
    <w:rsid w:val="00134413"/>
    <w:rsid w:val="00134DB7"/>
    <w:rsid w:val="00135683"/>
    <w:rsid w:val="00136D0A"/>
    <w:rsid w:val="00140A8C"/>
    <w:rsid w:val="001419F7"/>
    <w:rsid w:val="00142D98"/>
    <w:rsid w:val="0014342B"/>
    <w:rsid w:val="0014420C"/>
    <w:rsid w:val="00145207"/>
    <w:rsid w:val="00145CFC"/>
    <w:rsid w:val="0014632D"/>
    <w:rsid w:val="001473B0"/>
    <w:rsid w:val="00147CDD"/>
    <w:rsid w:val="001508BC"/>
    <w:rsid w:val="00150A98"/>
    <w:rsid w:val="00150EBE"/>
    <w:rsid w:val="00151E07"/>
    <w:rsid w:val="00152079"/>
    <w:rsid w:val="001536AE"/>
    <w:rsid w:val="00156551"/>
    <w:rsid w:val="00157C89"/>
    <w:rsid w:val="00160C0F"/>
    <w:rsid w:val="001610E5"/>
    <w:rsid w:val="0016143D"/>
    <w:rsid w:val="00161E02"/>
    <w:rsid w:val="001634CC"/>
    <w:rsid w:val="001639BC"/>
    <w:rsid w:val="00170C97"/>
    <w:rsid w:val="001718BB"/>
    <w:rsid w:val="00172A27"/>
    <w:rsid w:val="00174851"/>
    <w:rsid w:val="0017488B"/>
    <w:rsid w:val="00174F01"/>
    <w:rsid w:val="00175F4B"/>
    <w:rsid w:val="00176562"/>
    <w:rsid w:val="00176CFB"/>
    <w:rsid w:val="00177B61"/>
    <w:rsid w:val="001800CD"/>
    <w:rsid w:val="00180906"/>
    <w:rsid w:val="0018271D"/>
    <w:rsid w:val="00182967"/>
    <w:rsid w:val="00184E24"/>
    <w:rsid w:val="00186505"/>
    <w:rsid w:val="0018659C"/>
    <w:rsid w:val="001905AB"/>
    <w:rsid w:val="00190D09"/>
    <w:rsid w:val="00191FCD"/>
    <w:rsid w:val="00192B4F"/>
    <w:rsid w:val="00193B4C"/>
    <w:rsid w:val="00193EA0"/>
    <w:rsid w:val="0019651D"/>
    <w:rsid w:val="00196969"/>
    <w:rsid w:val="00197852"/>
    <w:rsid w:val="001A03B2"/>
    <w:rsid w:val="001A04CD"/>
    <w:rsid w:val="001A0EB0"/>
    <w:rsid w:val="001A1040"/>
    <w:rsid w:val="001A2AD2"/>
    <w:rsid w:val="001A4B77"/>
    <w:rsid w:val="001A62B2"/>
    <w:rsid w:val="001A778D"/>
    <w:rsid w:val="001B297B"/>
    <w:rsid w:val="001B7529"/>
    <w:rsid w:val="001C297B"/>
    <w:rsid w:val="001C2CE4"/>
    <w:rsid w:val="001C3D09"/>
    <w:rsid w:val="001C4B7B"/>
    <w:rsid w:val="001C5B62"/>
    <w:rsid w:val="001C623D"/>
    <w:rsid w:val="001C6ECF"/>
    <w:rsid w:val="001C7096"/>
    <w:rsid w:val="001C73E1"/>
    <w:rsid w:val="001D013E"/>
    <w:rsid w:val="001D0C39"/>
    <w:rsid w:val="001D4E95"/>
    <w:rsid w:val="001D50DB"/>
    <w:rsid w:val="001D571C"/>
    <w:rsid w:val="001E0365"/>
    <w:rsid w:val="001E0E88"/>
    <w:rsid w:val="001E30DE"/>
    <w:rsid w:val="001E336E"/>
    <w:rsid w:val="001E4225"/>
    <w:rsid w:val="001E4BBA"/>
    <w:rsid w:val="001E50BA"/>
    <w:rsid w:val="001E6733"/>
    <w:rsid w:val="001E6814"/>
    <w:rsid w:val="001F4380"/>
    <w:rsid w:val="001F450F"/>
    <w:rsid w:val="001F68EC"/>
    <w:rsid w:val="001F6DF9"/>
    <w:rsid w:val="001F709C"/>
    <w:rsid w:val="001F7299"/>
    <w:rsid w:val="00200A5D"/>
    <w:rsid w:val="0020144B"/>
    <w:rsid w:val="002023BE"/>
    <w:rsid w:val="0020429E"/>
    <w:rsid w:val="00205118"/>
    <w:rsid w:val="00207377"/>
    <w:rsid w:val="002101C1"/>
    <w:rsid w:val="00210247"/>
    <w:rsid w:val="0021077F"/>
    <w:rsid w:val="00211EDB"/>
    <w:rsid w:val="0021224E"/>
    <w:rsid w:val="00212402"/>
    <w:rsid w:val="0021294C"/>
    <w:rsid w:val="002171A3"/>
    <w:rsid w:val="0022142E"/>
    <w:rsid w:val="00221480"/>
    <w:rsid w:val="002221B8"/>
    <w:rsid w:val="0022255F"/>
    <w:rsid w:val="002240E9"/>
    <w:rsid w:val="00225980"/>
    <w:rsid w:val="00225D75"/>
    <w:rsid w:val="00226CA2"/>
    <w:rsid w:val="00227021"/>
    <w:rsid w:val="00230FA0"/>
    <w:rsid w:val="00233337"/>
    <w:rsid w:val="00233338"/>
    <w:rsid w:val="00235FB2"/>
    <w:rsid w:val="00237F5F"/>
    <w:rsid w:val="00240422"/>
    <w:rsid w:val="00240BE4"/>
    <w:rsid w:val="0024141D"/>
    <w:rsid w:val="0024293C"/>
    <w:rsid w:val="0024322F"/>
    <w:rsid w:val="00243CA5"/>
    <w:rsid w:val="0024440E"/>
    <w:rsid w:val="00245EE5"/>
    <w:rsid w:val="00246C23"/>
    <w:rsid w:val="00246DCD"/>
    <w:rsid w:val="00250BAE"/>
    <w:rsid w:val="002523FC"/>
    <w:rsid w:val="002533CC"/>
    <w:rsid w:val="00254A78"/>
    <w:rsid w:val="002566CB"/>
    <w:rsid w:val="002578C5"/>
    <w:rsid w:val="0026068B"/>
    <w:rsid w:val="00260BBA"/>
    <w:rsid w:val="00262837"/>
    <w:rsid w:val="00263E61"/>
    <w:rsid w:val="00264554"/>
    <w:rsid w:val="00265553"/>
    <w:rsid w:val="00265921"/>
    <w:rsid w:val="00270E10"/>
    <w:rsid w:val="00272143"/>
    <w:rsid w:val="00273826"/>
    <w:rsid w:val="00274659"/>
    <w:rsid w:val="002756AE"/>
    <w:rsid w:val="002757DA"/>
    <w:rsid w:val="00277021"/>
    <w:rsid w:val="00277033"/>
    <w:rsid w:val="00280486"/>
    <w:rsid w:val="002818B6"/>
    <w:rsid w:val="0028191C"/>
    <w:rsid w:val="00282976"/>
    <w:rsid w:val="00282DE3"/>
    <w:rsid w:val="002837B7"/>
    <w:rsid w:val="00283CD2"/>
    <w:rsid w:val="00286F59"/>
    <w:rsid w:val="0028701F"/>
    <w:rsid w:val="00287A1C"/>
    <w:rsid w:val="002903B5"/>
    <w:rsid w:val="00293361"/>
    <w:rsid w:val="00293442"/>
    <w:rsid w:val="0029372F"/>
    <w:rsid w:val="00293B7A"/>
    <w:rsid w:val="00294E80"/>
    <w:rsid w:val="0029529C"/>
    <w:rsid w:val="00296A1A"/>
    <w:rsid w:val="00297FC4"/>
    <w:rsid w:val="002A1E7C"/>
    <w:rsid w:val="002A32ED"/>
    <w:rsid w:val="002A3544"/>
    <w:rsid w:val="002A4D41"/>
    <w:rsid w:val="002A60F0"/>
    <w:rsid w:val="002B11E9"/>
    <w:rsid w:val="002B43CB"/>
    <w:rsid w:val="002B59B7"/>
    <w:rsid w:val="002C07B0"/>
    <w:rsid w:val="002C1067"/>
    <w:rsid w:val="002C10C3"/>
    <w:rsid w:val="002C185E"/>
    <w:rsid w:val="002C1946"/>
    <w:rsid w:val="002C2D5A"/>
    <w:rsid w:val="002C36F5"/>
    <w:rsid w:val="002C397F"/>
    <w:rsid w:val="002D099C"/>
    <w:rsid w:val="002D1386"/>
    <w:rsid w:val="002D236E"/>
    <w:rsid w:val="002D3045"/>
    <w:rsid w:val="002D67EE"/>
    <w:rsid w:val="002E09F9"/>
    <w:rsid w:val="002E180F"/>
    <w:rsid w:val="002E1A31"/>
    <w:rsid w:val="002E27A1"/>
    <w:rsid w:val="002E2FEC"/>
    <w:rsid w:val="002E3B26"/>
    <w:rsid w:val="002E5A13"/>
    <w:rsid w:val="002E6E17"/>
    <w:rsid w:val="002E6EE0"/>
    <w:rsid w:val="002E6F99"/>
    <w:rsid w:val="002E7F47"/>
    <w:rsid w:val="002F152E"/>
    <w:rsid w:val="002F1786"/>
    <w:rsid w:val="002F2993"/>
    <w:rsid w:val="002F51A2"/>
    <w:rsid w:val="002F5783"/>
    <w:rsid w:val="002F7418"/>
    <w:rsid w:val="0030236A"/>
    <w:rsid w:val="003038FF"/>
    <w:rsid w:val="00307166"/>
    <w:rsid w:val="0031281C"/>
    <w:rsid w:val="0031520A"/>
    <w:rsid w:val="0031531E"/>
    <w:rsid w:val="003175A1"/>
    <w:rsid w:val="00317932"/>
    <w:rsid w:val="00317B6A"/>
    <w:rsid w:val="0032099B"/>
    <w:rsid w:val="00320E2F"/>
    <w:rsid w:val="003229B0"/>
    <w:rsid w:val="0032504D"/>
    <w:rsid w:val="00325EBA"/>
    <w:rsid w:val="00327C1B"/>
    <w:rsid w:val="003302E2"/>
    <w:rsid w:val="00330D35"/>
    <w:rsid w:val="00332197"/>
    <w:rsid w:val="00333519"/>
    <w:rsid w:val="00334524"/>
    <w:rsid w:val="00335483"/>
    <w:rsid w:val="003358DC"/>
    <w:rsid w:val="00336187"/>
    <w:rsid w:val="003368CB"/>
    <w:rsid w:val="00336AAC"/>
    <w:rsid w:val="003370FA"/>
    <w:rsid w:val="0033718A"/>
    <w:rsid w:val="003423D6"/>
    <w:rsid w:val="00342B67"/>
    <w:rsid w:val="00344D0B"/>
    <w:rsid w:val="003464DA"/>
    <w:rsid w:val="003479C9"/>
    <w:rsid w:val="00347DF5"/>
    <w:rsid w:val="00352A0F"/>
    <w:rsid w:val="00352F72"/>
    <w:rsid w:val="00353128"/>
    <w:rsid w:val="003536C0"/>
    <w:rsid w:val="003538D0"/>
    <w:rsid w:val="00360156"/>
    <w:rsid w:val="003603A2"/>
    <w:rsid w:val="00360A94"/>
    <w:rsid w:val="00361751"/>
    <w:rsid w:val="00364AFD"/>
    <w:rsid w:val="003656FC"/>
    <w:rsid w:val="00366213"/>
    <w:rsid w:val="00366620"/>
    <w:rsid w:val="00366AD4"/>
    <w:rsid w:val="00370FA1"/>
    <w:rsid w:val="00373799"/>
    <w:rsid w:val="0037438C"/>
    <w:rsid w:val="00374878"/>
    <w:rsid w:val="00375A77"/>
    <w:rsid w:val="00375C27"/>
    <w:rsid w:val="00375DFC"/>
    <w:rsid w:val="00375E4E"/>
    <w:rsid w:val="00375E82"/>
    <w:rsid w:val="00376234"/>
    <w:rsid w:val="003776A5"/>
    <w:rsid w:val="00377F07"/>
    <w:rsid w:val="0038045C"/>
    <w:rsid w:val="00381778"/>
    <w:rsid w:val="00381A42"/>
    <w:rsid w:val="00382858"/>
    <w:rsid w:val="00383454"/>
    <w:rsid w:val="00384302"/>
    <w:rsid w:val="00384D95"/>
    <w:rsid w:val="00385A60"/>
    <w:rsid w:val="00386484"/>
    <w:rsid w:val="00390F00"/>
    <w:rsid w:val="00393D0E"/>
    <w:rsid w:val="003965F6"/>
    <w:rsid w:val="003A1288"/>
    <w:rsid w:val="003A2D37"/>
    <w:rsid w:val="003A39EF"/>
    <w:rsid w:val="003A43CF"/>
    <w:rsid w:val="003A4659"/>
    <w:rsid w:val="003A55A0"/>
    <w:rsid w:val="003A5F3B"/>
    <w:rsid w:val="003A6CE0"/>
    <w:rsid w:val="003B0A44"/>
    <w:rsid w:val="003B16B9"/>
    <w:rsid w:val="003B402D"/>
    <w:rsid w:val="003B468A"/>
    <w:rsid w:val="003B5024"/>
    <w:rsid w:val="003B6CB6"/>
    <w:rsid w:val="003B7875"/>
    <w:rsid w:val="003C0291"/>
    <w:rsid w:val="003C1053"/>
    <w:rsid w:val="003C3014"/>
    <w:rsid w:val="003C3579"/>
    <w:rsid w:val="003C3C97"/>
    <w:rsid w:val="003C5F23"/>
    <w:rsid w:val="003C641B"/>
    <w:rsid w:val="003C6C07"/>
    <w:rsid w:val="003C6D15"/>
    <w:rsid w:val="003D0D94"/>
    <w:rsid w:val="003D0F5F"/>
    <w:rsid w:val="003D1148"/>
    <w:rsid w:val="003D18C1"/>
    <w:rsid w:val="003D3734"/>
    <w:rsid w:val="003D4C61"/>
    <w:rsid w:val="003D5E2C"/>
    <w:rsid w:val="003D7B89"/>
    <w:rsid w:val="003E02B2"/>
    <w:rsid w:val="003E102E"/>
    <w:rsid w:val="003E1D6E"/>
    <w:rsid w:val="003E2B1C"/>
    <w:rsid w:val="003E34FB"/>
    <w:rsid w:val="003E3B4B"/>
    <w:rsid w:val="003E4980"/>
    <w:rsid w:val="003E69D5"/>
    <w:rsid w:val="003E6E6D"/>
    <w:rsid w:val="003E6E98"/>
    <w:rsid w:val="003F0EA3"/>
    <w:rsid w:val="003F112E"/>
    <w:rsid w:val="003F135E"/>
    <w:rsid w:val="003F20FE"/>
    <w:rsid w:val="003F27EB"/>
    <w:rsid w:val="003F297A"/>
    <w:rsid w:val="003F33EE"/>
    <w:rsid w:val="003F5D66"/>
    <w:rsid w:val="00400FA8"/>
    <w:rsid w:val="0040175C"/>
    <w:rsid w:val="0040334A"/>
    <w:rsid w:val="00403764"/>
    <w:rsid w:val="00405514"/>
    <w:rsid w:val="00410D57"/>
    <w:rsid w:val="00411CEC"/>
    <w:rsid w:val="00412F77"/>
    <w:rsid w:val="004134E7"/>
    <w:rsid w:val="00413F1A"/>
    <w:rsid w:val="00414282"/>
    <w:rsid w:val="00414C53"/>
    <w:rsid w:val="00415C96"/>
    <w:rsid w:val="0041752B"/>
    <w:rsid w:val="00420352"/>
    <w:rsid w:val="0042103E"/>
    <w:rsid w:val="004216E7"/>
    <w:rsid w:val="004221CB"/>
    <w:rsid w:val="00423262"/>
    <w:rsid w:val="00424AA2"/>
    <w:rsid w:val="0043130C"/>
    <w:rsid w:val="00431E4A"/>
    <w:rsid w:val="0043258B"/>
    <w:rsid w:val="00433794"/>
    <w:rsid w:val="004344B6"/>
    <w:rsid w:val="0043492B"/>
    <w:rsid w:val="00434F02"/>
    <w:rsid w:val="0043725E"/>
    <w:rsid w:val="0043757A"/>
    <w:rsid w:val="0044023B"/>
    <w:rsid w:val="004408B9"/>
    <w:rsid w:val="004411AB"/>
    <w:rsid w:val="00441B1B"/>
    <w:rsid w:val="00444786"/>
    <w:rsid w:val="00445443"/>
    <w:rsid w:val="00446945"/>
    <w:rsid w:val="004511C8"/>
    <w:rsid w:val="004520D7"/>
    <w:rsid w:val="004529CD"/>
    <w:rsid w:val="00453A20"/>
    <w:rsid w:val="00454AFB"/>
    <w:rsid w:val="004558D7"/>
    <w:rsid w:val="00456223"/>
    <w:rsid w:val="00460545"/>
    <w:rsid w:val="0046350D"/>
    <w:rsid w:val="004635D3"/>
    <w:rsid w:val="004703FA"/>
    <w:rsid w:val="00471C3D"/>
    <w:rsid w:val="00472C1F"/>
    <w:rsid w:val="0047448D"/>
    <w:rsid w:val="0047543B"/>
    <w:rsid w:val="00477F4E"/>
    <w:rsid w:val="00480979"/>
    <w:rsid w:val="00481EC7"/>
    <w:rsid w:val="0048261E"/>
    <w:rsid w:val="004838ED"/>
    <w:rsid w:val="0048512D"/>
    <w:rsid w:val="00485392"/>
    <w:rsid w:val="00485B8C"/>
    <w:rsid w:val="00487002"/>
    <w:rsid w:val="0049160E"/>
    <w:rsid w:val="0049208D"/>
    <w:rsid w:val="00493C6C"/>
    <w:rsid w:val="00495E65"/>
    <w:rsid w:val="00497064"/>
    <w:rsid w:val="00497F20"/>
    <w:rsid w:val="004A0DB9"/>
    <w:rsid w:val="004A1529"/>
    <w:rsid w:val="004A4E60"/>
    <w:rsid w:val="004A6EB8"/>
    <w:rsid w:val="004B18EE"/>
    <w:rsid w:val="004B2792"/>
    <w:rsid w:val="004B3335"/>
    <w:rsid w:val="004B4AA9"/>
    <w:rsid w:val="004B71B7"/>
    <w:rsid w:val="004B7B81"/>
    <w:rsid w:val="004C1E77"/>
    <w:rsid w:val="004C3226"/>
    <w:rsid w:val="004C539E"/>
    <w:rsid w:val="004C567D"/>
    <w:rsid w:val="004C7038"/>
    <w:rsid w:val="004D05EE"/>
    <w:rsid w:val="004D1604"/>
    <w:rsid w:val="004D1732"/>
    <w:rsid w:val="004D2419"/>
    <w:rsid w:val="004D704E"/>
    <w:rsid w:val="004D7A10"/>
    <w:rsid w:val="004E0778"/>
    <w:rsid w:val="004E163D"/>
    <w:rsid w:val="004E1FC1"/>
    <w:rsid w:val="004E26C1"/>
    <w:rsid w:val="004E3393"/>
    <w:rsid w:val="004E4D00"/>
    <w:rsid w:val="004E7DB2"/>
    <w:rsid w:val="004F02F9"/>
    <w:rsid w:val="004F114E"/>
    <w:rsid w:val="004F1423"/>
    <w:rsid w:val="004F2B49"/>
    <w:rsid w:val="004F37D0"/>
    <w:rsid w:val="004F43DC"/>
    <w:rsid w:val="004F4456"/>
    <w:rsid w:val="004F54C5"/>
    <w:rsid w:val="004F5E64"/>
    <w:rsid w:val="00503B23"/>
    <w:rsid w:val="00505365"/>
    <w:rsid w:val="005056F6"/>
    <w:rsid w:val="00505AD3"/>
    <w:rsid w:val="005064CB"/>
    <w:rsid w:val="00510F32"/>
    <w:rsid w:val="005116B0"/>
    <w:rsid w:val="00514046"/>
    <w:rsid w:val="00515A11"/>
    <w:rsid w:val="005174DF"/>
    <w:rsid w:val="0052098E"/>
    <w:rsid w:val="00521313"/>
    <w:rsid w:val="00521B00"/>
    <w:rsid w:val="0052243A"/>
    <w:rsid w:val="00522934"/>
    <w:rsid w:val="00522A1E"/>
    <w:rsid w:val="0052498E"/>
    <w:rsid w:val="00525D4E"/>
    <w:rsid w:val="00533305"/>
    <w:rsid w:val="005347F6"/>
    <w:rsid w:val="00535AA8"/>
    <w:rsid w:val="00536497"/>
    <w:rsid w:val="00542071"/>
    <w:rsid w:val="005424E1"/>
    <w:rsid w:val="0054279C"/>
    <w:rsid w:val="005430A8"/>
    <w:rsid w:val="005453BD"/>
    <w:rsid w:val="00545F52"/>
    <w:rsid w:val="005471F1"/>
    <w:rsid w:val="00547B0B"/>
    <w:rsid w:val="00550B4F"/>
    <w:rsid w:val="00550EC5"/>
    <w:rsid w:val="0055230F"/>
    <w:rsid w:val="00553CE4"/>
    <w:rsid w:val="00554AE3"/>
    <w:rsid w:val="00554EC2"/>
    <w:rsid w:val="005565EA"/>
    <w:rsid w:val="005566FD"/>
    <w:rsid w:val="00557632"/>
    <w:rsid w:val="00560788"/>
    <w:rsid w:val="00560AB3"/>
    <w:rsid w:val="0056228D"/>
    <w:rsid w:val="005635D3"/>
    <w:rsid w:val="00563C8E"/>
    <w:rsid w:val="005650EA"/>
    <w:rsid w:val="0057105E"/>
    <w:rsid w:val="005767BA"/>
    <w:rsid w:val="0057744A"/>
    <w:rsid w:val="00577E95"/>
    <w:rsid w:val="00577F5F"/>
    <w:rsid w:val="005817E9"/>
    <w:rsid w:val="00584386"/>
    <w:rsid w:val="00584656"/>
    <w:rsid w:val="00584B8D"/>
    <w:rsid w:val="005865D6"/>
    <w:rsid w:val="00587745"/>
    <w:rsid w:val="00587F8D"/>
    <w:rsid w:val="005903EB"/>
    <w:rsid w:val="00591EEA"/>
    <w:rsid w:val="00592B92"/>
    <w:rsid w:val="005933E3"/>
    <w:rsid w:val="00593442"/>
    <w:rsid w:val="00593A10"/>
    <w:rsid w:val="00593E3C"/>
    <w:rsid w:val="00594398"/>
    <w:rsid w:val="0059453C"/>
    <w:rsid w:val="005A0DF7"/>
    <w:rsid w:val="005A1E13"/>
    <w:rsid w:val="005A1FA0"/>
    <w:rsid w:val="005A45BA"/>
    <w:rsid w:val="005A47CC"/>
    <w:rsid w:val="005A4EDF"/>
    <w:rsid w:val="005A748D"/>
    <w:rsid w:val="005A7886"/>
    <w:rsid w:val="005B036F"/>
    <w:rsid w:val="005B15A1"/>
    <w:rsid w:val="005B1E6F"/>
    <w:rsid w:val="005B42BC"/>
    <w:rsid w:val="005B431D"/>
    <w:rsid w:val="005B5B71"/>
    <w:rsid w:val="005B6061"/>
    <w:rsid w:val="005B6A26"/>
    <w:rsid w:val="005B6B3A"/>
    <w:rsid w:val="005B731C"/>
    <w:rsid w:val="005B794E"/>
    <w:rsid w:val="005B79C3"/>
    <w:rsid w:val="005B7C9E"/>
    <w:rsid w:val="005C10BB"/>
    <w:rsid w:val="005C127F"/>
    <w:rsid w:val="005C187F"/>
    <w:rsid w:val="005C1B49"/>
    <w:rsid w:val="005C2658"/>
    <w:rsid w:val="005C2EF9"/>
    <w:rsid w:val="005C3DAE"/>
    <w:rsid w:val="005C4E53"/>
    <w:rsid w:val="005C6129"/>
    <w:rsid w:val="005C6F1C"/>
    <w:rsid w:val="005C7DF7"/>
    <w:rsid w:val="005D16CE"/>
    <w:rsid w:val="005D2F3B"/>
    <w:rsid w:val="005D3054"/>
    <w:rsid w:val="005D30E3"/>
    <w:rsid w:val="005D34F8"/>
    <w:rsid w:val="005D3F43"/>
    <w:rsid w:val="005D4403"/>
    <w:rsid w:val="005D641B"/>
    <w:rsid w:val="005D6D39"/>
    <w:rsid w:val="005D7854"/>
    <w:rsid w:val="005D7EA9"/>
    <w:rsid w:val="005E183F"/>
    <w:rsid w:val="005E25D5"/>
    <w:rsid w:val="005E41B0"/>
    <w:rsid w:val="005E58CD"/>
    <w:rsid w:val="005E5FE6"/>
    <w:rsid w:val="005E74B5"/>
    <w:rsid w:val="005F2FE0"/>
    <w:rsid w:val="005F3151"/>
    <w:rsid w:val="005F356E"/>
    <w:rsid w:val="005F35A2"/>
    <w:rsid w:val="005F36EB"/>
    <w:rsid w:val="005F4DC8"/>
    <w:rsid w:val="005F521F"/>
    <w:rsid w:val="005F6A8B"/>
    <w:rsid w:val="006011F9"/>
    <w:rsid w:val="00601666"/>
    <w:rsid w:val="006020A2"/>
    <w:rsid w:val="0060262A"/>
    <w:rsid w:val="006043C8"/>
    <w:rsid w:val="006065ED"/>
    <w:rsid w:val="00610339"/>
    <w:rsid w:val="006117C6"/>
    <w:rsid w:val="00612142"/>
    <w:rsid w:val="006151DF"/>
    <w:rsid w:val="00617760"/>
    <w:rsid w:val="00617B6A"/>
    <w:rsid w:val="00617BEB"/>
    <w:rsid w:val="00620E2C"/>
    <w:rsid w:val="00621441"/>
    <w:rsid w:val="006227D9"/>
    <w:rsid w:val="00622914"/>
    <w:rsid w:val="00622F6E"/>
    <w:rsid w:val="00623958"/>
    <w:rsid w:val="0062572A"/>
    <w:rsid w:val="006257C2"/>
    <w:rsid w:val="006266FD"/>
    <w:rsid w:val="00630A10"/>
    <w:rsid w:val="00632BF9"/>
    <w:rsid w:val="006344AA"/>
    <w:rsid w:val="0063525F"/>
    <w:rsid w:val="006366C6"/>
    <w:rsid w:val="00640A52"/>
    <w:rsid w:val="00641718"/>
    <w:rsid w:val="00641A70"/>
    <w:rsid w:val="00642CB9"/>
    <w:rsid w:val="00643299"/>
    <w:rsid w:val="0064346D"/>
    <w:rsid w:val="00644A8F"/>
    <w:rsid w:val="006451E7"/>
    <w:rsid w:val="006457FB"/>
    <w:rsid w:val="006529CA"/>
    <w:rsid w:val="00652AFF"/>
    <w:rsid w:val="0065645B"/>
    <w:rsid w:val="006565E6"/>
    <w:rsid w:val="00657E65"/>
    <w:rsid w:val="00662C43"/>
    <w:rsid w:val="006631F1"/>
    <w:rsid w:val="00663286"/>
    <w:rsid w:val="00664662"/>
    <w:rsid w:val="00666358"/>
    <w:rsid w:val="00666E57"/>
    <w:rsid w:val="00671828"/>
    <w:rsid w:val="00671962"/>
    <w:rsid w:val="00671ED1"/>
    <w:rsid w:val="00672B8E"/>
    <w:rsid w:val="00672B97"/>
    <w:rsid w:val="00672BE0"/>
    <w:rsid w:val="00673FB1"/>
    <w:rsid w:val="00674AA6"/>
    <w:rsid w:val="00674EFA"/>
    <w:rsid w:val="00675487"/>
    <w:rsid w:val="006778C6"/>
    <w:rsid w:val="00680106"/>
    <w:rsid w:val="00680DC5"/>
    <w:rsid w:val="006817D1"/>
    <w:rsid w:val="00682DE0"/>
    <w:rsid w:val="00686480"/>
    <w:rsid w:val="00686506"/>
    <w:rsid w:val="0068754E"/>
    <w:rsid w:val="00690647"/>
    <w:rsid w:val="0069095D"/>
    <w:rsid w:val="00692A29"/>
    <w:rsid w:val="00695015"/>
    <w:rsid w:val="00695D70"/>
    <w:rsid w:val="0069601A"/>
    <w:rsid w:val="006A0273"/>
    <w:rsid w:val="006A3D5E"/>
    <w:rsid w:val="006A5BD8"/>
    <w:rsid w:val="006A5EB2"/>
    <w:rsid w:val="006B0008"/>
    <w:rsid w:val="006B0345"/>
    <w:rsid w:val="006B75F8"/>
    <w:rsid w:val="006B7C2E"/>
    <w:rsid w:val="006C013E"/>
    <w:rsid w:val="006C0EE1"/>
    <w:rsid w:val="006C0EE5"/>
    <w:rsid w:val="006C1C39"/>
    <w:rsid w:val="006C1E2E"/>
    <w:rsid w:val="006C415B"/>
    <w:rsid w:val="006C4612"/>
    <w:rsid w:val="006C65BC"/>
    <w:rsid w:val="006C66E6"/>
    <w:rsid w:val="006C7787"/>
    <w:rsid w:val="006D29CF"/>
    <w:rsid w:val="006D2F11"/>
    <w:rsid w:val="006D3FCE"/>
    <w:rsid w:val="006D59CD"/>
    <w:rsid w:val="006D5E4E"/>
    <w:rsid w:val="006D7D29"/>
    <w:rsid w:val="006E06B1"/>
    <w:rsid w:val="006E41D1"/>
    <w:rsid w:val="006E664E"/>
    <w:rsid w:val="006F0142"/>
    <w:rsid w:val="006F1416"/>
    <w:rsid w:val="006F1929"/>
    <w:rsid w:val="006F1BEE"/>
    <w:rsid w:val="006F3B82"/>
    <w:rsid w:val="006F3BFE"/>
    <w:rsid w:val="006F3D59"/>
    <w:rsid w:val="006F52BB"/>
    <w:rsid w:val="006F56A0"/>
    <w:rsid w:val="006F7B42"/>
    <w:rsid w:val="006F7DF8"/>
    <w:rsid w:val="00700211"/>
    <w:rsid w:val="00700A56"/>
    <w:rsid w:val="00700F64"/>
    <w:rsid w:val="007047A1"/>
    <w:rsid w:val="0070485A"/>
    <w:rsid w:val="00705B32"/>
    <w:rsid w:val="00705B7A"/>
    <w:rsid w:val="007065C7"/>
    <w:rsid w:val="00706CB4"/>
    <w:rsid w:val="00712A72"/>
    <w:rsid w:val="00715314"/>
    <w:rsid w:val="00720D56"/>
    <w:rsid w:val="00721B55"/>
    <w:rsid w:val="00722B03"/>
    <w:rsid w:val="007242B3"/>
    <w:rsid w:val="00724D61"/>
    <w:rsid w:val="00727EC5"/>
    <w:rsid w:val="00730AE9"/>
    <w:rsid w:val="00731A7B"/>
    <w:rsid w:val="0073235B"/>
    <w:rsid w:val="00732AA4"/>
    <w:rsid w:val="0073448A"/>
    <w:rsid w:val="00735FAF"/>
    <w:rsid w:val="0074043F"/>
    <w:rsid w:val="00740709"/>
    <w:rsid w:val="00740BE7"/>
    <w:rsid w:val="00740D92"/>
    <w:rsid w:val="00741469"/>
    <w:rsid w:val="0074191E"/>
    <w:rsid w:val="00741AF2"/>
    <w:rsid w:val="00743066"/>
    <w:rsid w:val="00743566"/>
    <w:rsid w:val="00744F87"/>
    <w:rsid w:val="00745028"/>
    <w:rsid w:val="00747D7F"/>
    <w:rsid w:val="00750B35"/>
    <w:rsid w:val="00751B2E"/>
    <w:rsid w:val="00752D10"/>
    <w:rsid w:val="00753FC1"/>
    <w:rsid w:val="00755363"/>
    <w:rsid w:val="00756C2F"/>
    <w:rsid w:val="0075753A"/>
    <w:rsid w:val="0076138D"/>
    <w:rsid w:val="00761606"/>
    <w:rsid w:val="0076607C"/>
    <w:rsid w:val="00766E48"/>
    <w:rsid w:val="00767154"/>
    <w:rsid w:val="0076736F"/>
    <w:rsid w:val="00767853"/>
    <w:rsid w:val="00767C05"/>
    <w:rsid w:val="00770E31"/>
    <w:rsid w:val="007719A7"/>
    <w:rsid w:val="00774C30"/>
    <w:rsid w:val="00775473"/>
    <w:rsid w:val="00775888"/>
    <w:rsid w:val="00776756"/>
    <w:rsid w:val="0078005E"/>
    <w:rsid w:val="00780D1C"/>
    <w:rsid w:val="0078164A"/>
    <w:rsid w:val="00781830"/>
    <w:rsid w:val="00781B96"/>
    <w:rsid w:val="00783AF4"/>
    <w:rsid w:val="00783D52"/>
    <w:rsid w:val="00783F0B"/>
    <w:rsid w:val="00785793"/>
    <w:rsid w:val="0079017B"/>
    <w:rsid w:val="00790754"/>
    <w:rsid w:val="00790D0A"/>
    <w:rsid w:val="00792A0D"/>
    <w:rsid w:val="00792A46"/>
    <w:rsid w:val="00793146"/>
    <w:rsid w:val="00794025"/>
    <w:rsid w:val="00794D08"/>
    <w:rsid w:val="00794FD2"/>
    <w:rsid w:val="00795172"/>
    <w:rsid w:val="0079523C"/>
    <w:rsid w:val="007A046F"/>
    <w:rsid w:val="007A0949"/>
    <w:rsid w:val="007A0966"/>
    <w:rsid w:val="007A112E"/>
    <w:rsid w:val="007A16C6"/>
    <w:rsid w:val="007A1DB4"/>
    <w:rsid w:val="007A1EF2"/>
    <w:rsid w:val="007A230E"/>
    <w:rsid w:val="007A2AAE"/>
    <w:rsid w:val="007A3DC1"/>
    <w:rsid w:val="007A4020"/>
    <w:rsid w:val="007A418A"/>
    <w:rsid w:val="007A5573"/>
    <w:rsid w:val="007A5E18"/>
    <w:rsid w:val="007B03F3"/>
    <w:rsid w:val="007B4D20"/>
    <w:rsid w:val="007C1379"/>
    <w:rsid w:val="007C1DB9"/>
    <w:rsid w:val="007C29A5"/>
    <w:rsid w:val="007C2D9E"/>
    <w:rsid w:val="007C34E3"/>
    <w:rsid w:val="007C3C9E"/>
    <w:rsid w:val="007C521D"/>
    <w:rsid w:val="007C5482"/>
    <w:rsid w:val="007C78CF"/>
    <w:rsid w:val="007D2A59"/>
    <w:rsid w:val="007D4989"/>
    <w:rsid w:val="007E0960"/>
    <w:rsid w:val="007E2666"/>
    <w:rsid w:val="007E4B1C"/>
    <w:rsid w:val="007E4EA5"/>
    <w:rsid w:val="007E512A"/>
    <w:rsid w:val="007E61C1"/>
    <w:rsid w:val="007E676D"/>
    <w:rsid w:val="007E7903"/>
    <w:rsid w:val="007E7FF1"/>
    <w:rsid w:val="007F137B"/>
    <w:rsid w:val="007F1B40"/>
    <w:rsid w:val="007F1DDC"/>
    <w:rsid w:val="007F2010"/>
    <w:rsid w:val="007F4CE6"/>
    <w:rsid w:val="007F57F6"/>
    <w:rsid w:val="007F5BA4"/>
    <w:rsid w:val="007F67A2"/>
    <w:rsid w:val="007F67FC"/>
    <w:rsid w:val="007F6CF9"/>
    <w:rsid w:val="00801739"/>
    <w:rsid w:val="00801D7B"/>
    <w:rsid w:val="0080202D"/>
    <w:rsid w:val="008021B6"/>
    <w:rsid w:val="0080388E"/>
    <w:rsid w:val="0080389A"/>
    <w:rsid w:val="00805F50"/>
    <w:rsid w:val="00806502"/>
    <w:rsid w:val="00807098"/>
    <w:rsid w:val="008070CB"/>
    <w:rsid w:val="00810674"/>
    <w:rsid w:val="008114A5"/>
    <w:rsid w:val="008120A8"/>
    <w:rsid w:val="00812ACC"/>
    <w:rsid w:val="008136E0"/>
    <w:rsid w:val="008149E4"/>
    <w:rsid w:val="00814F17"/>
    <w:rsid w:val="00815B17"/>
    <w:rsid w:val="00815F49"/>
    <w:rsid w:val="008172DB"/>
    <w:rsid w:val="0082116A"/>
    <w:rsid w:val="00821F2F"/>
    <w:rsid w:val="00822B21"/>
    <w:rsid w:val="00823B26"/>
    <w:rsid w:val="0082400F"/>
    <w:rsid w:val="00826F1B"/>
    <w:rsid w:val="00830153"/>
    <w:rsid w:val="008305D7"/>
    <w:rsid w:val="00832418"/>
    <w:rsid w:val="008329E6"/>
    <w:rsid w:val="00833E38"/>
    <w:rsid w:val="00841AF8"/>
    <w:rsid w:val="00841B6B"/>
    <w:rsid w:val="00844547"/>
    <w:rsid w:val="00844EB4"/>
    <w:rsid w:val="00845411"/>
    <w:rsid w:val="008460C6"/>
    <w:rsid w:val="00853456"/>
    <w:rsid w:val="0085357A"/>
    <w:rsid w:val="00854000"/>
    <w:rsid w:val="00856567"/>
    <w:rsid w:val="00856A4E"/>
    <w:rsid w:val="00856E4C"/>
    <w:rsid w:val="0085725D"/>
    <w:rsid w:val="008573FF"/>
    <w:rsid w:val="00857683"/>
    <w:rsid w:val="008579A0"/>
    <w:rsid w:val="00857D62"/>
    <w:rsid w:val="00860A6D"/>
    <w:rsid w:val="00862098"/>
    <w:rsid w:val="0086294D"/>
    <w:rsid w:val="00867097"/>
    <w:rsid w:val="00867336"/>
    <w:rsid w:val="008708F9"/>
    <w:rsid w:val="00872C10"/>
    <w:rsid w:val="00872EA8"/>
    <w:rsid w:val="00875AA5"/>
    <w:rsid w:val="0087635A"/>
    <w:rsid w:val="008779FA"/>
    <w:rsid w:val="00877A80"/>
    <w:rsid w:val="0088029B"/>
    <w:rsid w:val="00881E6C"/>
    <w:rsid w:val="008820DF"/>
    <w:rsid w:val="00882B4A"/>
    <w:rsid w:val="00882D9E"/>
    <w:rsid w:val="00883702"/>
    <w:rsid w:val="00885F1B"/>
    <w:rsid w:val="00886464"/>
    <w:rsid w:val="0088709C"/>
    <w:rsid w:val="008904E1"/>
    <w:rsid w:val="00891BBA"/>
    <w:rsid w:val="00892631"/>
    <w:rsid w:val="00892AF7"/>
    <w:rsid w:val="00892D3E"/>
    <w:rsid w:val="00894541"/>
    <w:rsid w:val="008970F1"/>
    <w:rsid w:val="008974E7"/>
    <w:rsid w:val="008A02C0"/>
    <w:rsid w:val="008A1673"/>
    <w:rsid w:val="008A16E6"/>
    <w:rsid w:val="008A3321"/>
    <w:rsid w:val="008A5A21"/>
    <w:rsid w:val="008A6270"/>
    <w:rsid w:val="008B1B33"/>
    <w:rsid w:val="008B3E15"/>
    <w:rsid w:val="008B56B8"/>
    <w:rsid w:val="008B7DCC"/>
    <w:rsid w:val="008C2B4E"/>
    <w:rsid w:val="008C42D7"/>
    <w:rsid w:val="008C53D4"/>
    <w:rsid w:val="008C544B"/>
    <w:rsid w:val="008C58BD"/>
    <w:rsid w:val="008C6CEA"/>
    <w:rsid w:val="008D00A2"/>
    <w:rsid w:val="008D05A3"/>
    <w:rsid w:val="008D0B6A"/>
    <w:rsid w:val="008D13D5"/>
    <w:rsid w:val="008D1E99"/>
    <w:rsid w:val="008D2AB2"/>
    <w:rsid w:val="008D3029"/>
    <w:rsid w:val="008D4C5C"/>
    <w:rsid w:val="008D705B"/>
    <w:rsid w:val="008D73C0"/>
    <w:rsid w:val="008D78ED"/>
    <w:rsid w:val="008D7AEF"/>
    <w:rsid w:val="008D7DD7"/>
    <w:rsid w:val="008E0AFE"/>
    <w:rsid w:val="008E0EF0"/>
    <w:rsid w:val="008E1B09"/>
    <w:rsid w:val="008E28EB"/>
    <w:rsid w:val="008E3B26"/>
    <w:rsid w:val="008E5A69"/>
    <w:rsid w:val="008E635C"/>
    <w:rsid w:val="008E6D70"/>
    <w:rsid w:val="008E782F"/>
    <w:rsid w:val="008F04C3"/>
    <w:rsid w:val="008F19B7"/>
    <w:rsid w:val="008F2833"/>
    <w:rsid w:val="008F2DB8"/>
    <w:rsid w:val="008F55F0"/>
    <w:rsid w:val="008F67F0"/>
    <w:rsid w:val="00903B26"/>
    <w:rsid w:val="0090452F"/>
    <w:rsid w:val="009046BE"/>
    <w:rsid w:val="00905153"/>
    <w:rsid w:val="00912C67"/>
    <w:rsid w:val="00913DFF"/>
    <w:rsid w:val="00915C0F"/>
    <w:rsid w:val="00916713"/>
    <w:rsid w:val="009168FE"/>
    <w:rsid w:val="00920FE7"/>
    <w:rsid w:val="00921CC6"/>
    <w:rsid w:val="00922A07"/>
    <w:rsid w:val="00922AE8"/>
    <w:rsid w:val="00924AE1"/>
    <w:rsid w:val="00925D96"/>
    <w:rsid w:val="00925E52"/>
    <w:rsid w:val="00926254"/>
    <w:rsid w:val="00926535"/>
    <w:rsid w:val="00926635"/>
    <w:rsid w:val="009268E3"/>
    <w:rsid w:val="009274AA"/>
    <w:rsid w:val="009304D6"/>
    <w:rsid w:val="00930C73"/>
    <w:rsid w:val="00931354"/>
    <w:rsid w:val="0093194B"/>
    <w:rsid w:val="00932AC5"/>
    <w:rsid w:val="0093321A"/>
    <w:rsid w:val="00933D38"/>
    <w:rsid w:val="00934A54"/>
    <w:rsid w:val="00934A8D"/>
    <w:rsid w:val="00936D20"/>
    <w:rsid w:val="00937165"/>
    <w:rsid w:val="00940B8F"/>
    <w:rsid w:val="00941490"/>
    <w:rsid w:val="00941F01"/>
    <w:rsid w:val="00942CEE"/>
    <w:rsid w:val="009444F9"/>
    <w:rsid w:val="00945F09"/>
    <w:rsid w:val="0094668A"/>
    <w:rsid w:val="00946E3F"/>
    <w:rsid w:val="009506CD"/>
    <w:rsid w:val="00953F71"/>
    <w:rsid w:val="00955743"/>
    <w:rsid w:val="00956849"/>
    <w:rsid w:val="00956F53"/>
    <w:rsid w:val="009578EE"/>
    <w:rsid w:val="009605C1"/>
    <w:rsid w:val="00962573"/>
    <w:rsid w:val="009626D4"/>
    <w:rsid w:val="00963A47"/>
    <w:rsid w:val="0096417E"/>
    <w:rsid w:val="00964CB1"/>
    <w:rsid w:val="00966A03"/>
    <w:rsid w:val="009678CA"/>
    <w:rsid w:val="00967E76"/>
    <w:rsid w:val="009708FB"/>
    <w:rsid w:val="00970A31"/>
    <w:rsid w:val="00971110"/>
    <w:rsid w:val="00972A22"/>
    <w:rsid w:val="00972CFB"/>
    <w:rsid w:val="00972EC8"/>
    <w:rsid w:val="00973020"/>
    <w:rsid w:val="00973FC3"/>
    <w:rsid w:val="0097633A"/>
    <w:rsid w:val="009765CE"/>
    <w:rsid w:val="00980282"/>
    <w:rsid w:val="00981266"/>
    <w:rsid w:val="009819FD"/>
    <w:rsid w:val="009837DB"/>
    <w:rsid w:val="00983CEC"/>
    <w:rsid w:val="00985679"/>
    <w:rsid w:val="009861CD"/>
    <w:rsid w:val="00986510"/>
    <w:rsid w:val="009903E0"/>
    <w:rsid w:val="009915CA"/>
    <w:rsid w:val="00991786"/>
    <w:rsid w:val="00991AE7"/>
    <w:rsid w:val="00991B34"/>
    <w:rsid w:val="009926D3"/>
    <w:rsid w:val="00992A60"/>
    <w:rsid w:val="00993495"/>
    <w:rsid w:val="00994191"/>
    <w:rsid w:val="0099439E"/>
    <w:rsid w:val="00995253"/>
    <w:rsid w:val="009A05FF"/>
    <w:rsid w:val="009A0C11"/>
    <w:rsid w:val="009A5293"/>
    <w:rsid w:val="009B1345"/>
    <w:rsid w:val="009B1856"/>
    <w:rsid w:val="009B2E42"/>
    <w:rsid w:val="009B30FE"/>
    <w:rsid w:val="009B4830"/>
    <w:rsid w:val="009B589C"/>
    <w:rsid w:val="009B5D73"/>
    <w:rsid w:val="009B62CF"/>
    <w:rsid w:val="009B744D"/>
    <w:rsid w:val="009B7640"/>
    <w:rsid w:val="009C1730"/>
    <w:rsid w:val="009C6DA9"/>
    <w:rsid w:val="009D0CB7"/>
    <w:rsid w:val="009D1BC5"/>
    <w:rsid w:val="009D3281"/>
    <w:rsid w:val="009D7458"/>
    <w:rsid w:val="009D7695"/>
    <w:rsid w:val="009E2612"/>
    <w:rsid w:val="009E3908"/>
    <w:rsid w:val="009E40FA"/>
    <w:rsid w:val="009E427D"/>
    <w:rsid w:val="009E48BB"/>
    <w:rsid w:val="009E586E"/>
    <w:rsid w:val="009E69C2"/>
    <w:rsid w:val="009F1FFA"/>
    <w:rsid w:val="009F22D7"/>
    <w:rsid w:val="009F296F"/>
    <w:rsid w:val="009F39BB"/>
    <w:rsid w:val="009F4412"/>
    <w:rsid w:val="009F557F"/>
    <w:rsid w:val="009F55B8"/>
    <w:rsid w:val="009F5662"/>
    <w:rsid w:val="009F683B"/>
    <w:rsid w:val="009F79C6"/>
    <w:rsid w:val="00A01810"/>
    <w:rsid w:val="00A01F0E"/>
    <w:rsid w:val="00A0223C"/>
    <w:rsid w:val="00A0489B"/>
    <w:rsid w:val="00A06281"/>
    <w:rsid w:val="00A06530"/>
    <w:rsid w:val="00A06FE9"/>
    <w:rsid w:val="00A07FE4"/>
    <w:rsid w:val="00A1013C"/>
    <w:rsid w:val="00A10C6A"/>
    <w:rsid w:val="00A11D36"/>
    <w:rsid w:val="00A128E3"/>
    <w:rsid w:val="00A13006"/>
    <w:rsid w:val="00A1342B"/>
    <w:rsid w:val="00A146E5"/>
    <w:rsid w:val="00A14A89"/>
    <w:rsid w:val="00A16193"/>
    <w:rsid w:val="00A17DC2"/>
    <w:rsid w:val="00A206CB"/>
    <w:rsid w:val="00A22AC5"/>
    <w:rsid w:val="00A2348F"/>
    <w:rsid w:val="00A236D8"/>
    <w:rsid w:val="00A23B4D"/>
    <w:rsid w:val="00A24AAD"/>
    <w:rsid w:val="00A24B97"/>
    <w:rsid w:val="00A24F88"/>
    <w:rsid w:val="00A24FA8"/>
    <w:rsid w:val="00A251BF"/>
    <w:rsid w:val="00A25D25"/>
    <w:rsid w:val="00A27377"/>
    <w:rsid w:val="00A277CD"/>
    <w:rsid w:val="00A30165"/>
    <w:rsid w:val="00A30242"/>
    <w:rsid w:val="00A320B4"/>
    <w:rsid w:val="00A325D9"/>
    <w:rsid w:val="00A33DE4"/>
    <w:rsid w:val="00A340C0"/>
    <w:rsid w:val="00A35335"/>
    <w:rsid w:val="00A35DBB"/>
    <w:rsid w:val="00A365E2"/>
    <w:rsid w:val="00A372AF"/>
    <w:rsid w:val="00A373A3"/>
    <w:rsid w:val="00A40BA8"/>
    <w:rsid w:val="00A40C5C"/>
    <w:rsid w:val="00A40F8A"/>
    <w:rsid w:val="00A42843"/>
    <w:rsid w:val="00A42A53"/>
    <w:rsid w:val="00A4615E"/>
    <w:rsid w:val="00A4663E"/>
    <w:rsid w:val="00A475DD"/>
    <w:rsid w:val="00A51042"/>
    <w:rsid w:val="00A54229"/>
    <w:rsid w:val="00A5712B"/>
    <w:rsid w:val="00A57DE6"/>
    <w:rsid w:val="00A6074E"/>
    <w:rsid w:val="00A60C03"/>
    <w:rsid w:val="00A614E1"/>
    <w:rsid w:val="00A63B6C"/>
    <w:rsid w:val="00A64857"/>
    <w:rsid w:val="00A64E10"/>
    <w:rsid w:val="00A655BE"/>
    <w:rsid w:val="00A667CD"/>
    <w:rsid w:val="00A66CBE"/>
    <w:rsid w:val="00A7173C"/>
    <w:rsid w:val="00A71E02"/>
    <w:rsid w:val="00A72B71"/>
    <w:rsid w:val="00A7363C"/>
    <w:rsid w:val="00A749E7"/>
    <w:rsid w:val="00A74D2F"/>
    <w:rsid w:val="00A75FA2"/>
    <w:rsid w:val="00A80016"/>
    <w:rsid w:val="00A81355"/>
    <w:rsid w:val="00A83338"/>
    <w:rsid w:val="00A83801"/>
    <w:rsid w:val="00A83963"/>
    <w:rsid w:val="00A8570B"/>
    <w:rsid w:val="00A85D76"/>
    <w:rsid w:val="00A87137"/>
    <w:rsid w:val="00A87536"/>
    <w:rsid w:val="00A921F5"/>
    <w:rsid w:val="00A9356B"/>
    <w:rsid w:val="00A93CEE"/>
    <w:rsid w:val="00A93D55"/>
    <w:rsid w:val="00AA0C45"/>
    <w:rsid w:val="00AA181B"/>
    <w:rsid w:val="00AA1D43"/>
    <w:rsid w:val="00AA34A3"/>
    <w:rsid w:val="00AA58F5"/>
    <w:rsid w:val="00AB14E4"/>
    <w:rsid w:val="00AB2F96"/>
    <w:rsid w:val="00AB323C"/>
    <w:rsid w:val="00AB43F0"/>
    <w:rsid w:val="00AB46C5"/>
    <w:rsid w:val="00AB48F3"/>
    <w:rsid w:val="00AB5527"/>
    <w:rsid w:val="00AC1BAE"/>
    <w:rsid w:val="00AC32FF"/>
    <w:rsid w:val="00AC5D8C"/>
    <w:rsid w:val="00AC7C63"/>
    <w:rsid w:val="00AD2D3D"/>
    <w:rsid w:val="00AD4379"/>
    <w:rsid w:val="00AD55BC"/>
    <w:rsid w:val="00AD580C"/>
    <w:rsid w:val="00AD5F26"/>
    <w:rsid w:val="00AD5FA3"/>
    <w:rsid w:val="00AD6050"/>
    <w:rsid w:val="00AD6912"/>
    <w:rsid w:val="00AE04E4"/>
    <w:rsid w:val="00AE1055"/>
    <w:rsid w:val="00AE14A5"/>
    <w:rsid w:val="00AE2321"/>
    <w:rsid w:val="00AE2AF3"/>
    <w:rsid w:val="00AE4143"/>
    <w:rsid w:val="00AE4766"/>
    <w:rsid w:val="00AE5761"/>
    <w:rsid w:val="00AE6025"/>
    <w:rsid w:val="00AE6E38"/>
    <w:rsid w:val="00AE7822"/>
    <w:rsid w:val="00AF2B81"/>
    <w:rsid w:val="00AF3101"/>
    <w:rsid w:val="00AF3DC8"/>
    <w:rsid w:val="00AF46E4"/>
    <w:rsid w:val="00AF51D5"/>
    <w:rsid w:val="00AF7302"/>
    <w:rsid w:val="00AF7608"/>
    <w:rsid w:val="00AF7C12"/>
    <w:rsid w:val="00B00AC4"/>
    <w:rsid w:val="00B00C65"/>
    <w:rsid w:val="00B02539"/>
    <w:rsid w:val="00B03022"/>
    <w:rsid w:val="00B03C1F"/>
    <w:rsid w:val="00B03C52"/>
    <w:rsid w:val="00B04608"/>
    <w:rsid w:val="00B05AA5"/>
    <w:rsid w:val="00B068FD"/>
    <w:rsid w:val="00B076CF"/>
    <w:rsid w:val="00B1019A"/>
    <w:rsid w:val="00B10FDF"/>
    <w:rsid w:val="00B12225"/>
    <w:rsid w:val="00B12B37"/>
    <w:rsid w:val="00B135F0"/>
    <w:rsid w:val="00B13E92"/>
    <w:rsid w:val="00B14618"/>
    <w:rsid w:val="00B1598E"/>
    <w:rsid w:val="00B15F13"/>
    <w:rsid w:val="00B17636"/>
    <w:rsid w:val="00B17FE7"/>
    <w:rsid w:val="00B224BD"/>
    <w:rsid w:val="00B23FEF"/>
    <w:rsid w:val="00B2441A"/>
    <w:rsid w:val="00B30B76"/>
    <w:rsid w:val="00B31192"/>
    <w:rsid w:val="00B31207"/>
    <w:rsid w:val="00B324FF"/>
    <w:rsid w:val="00B32E61"/>
    <w:rsid w:val="00B3788D"/>
    <w:rsid w:val="00B40AF5"/>
    <w:rsid w:val="00B41021"/>
    <w:rsid w:val="00B415B4"/>
    <w:rsid w:val="00B41B16"/>
    <w:rsid w:val="00B422B6"/>
    <w:rsid w:val="00B428D4"/>
    <w:rsid w:val="00B42AB2"/>
    <w:rsid w:val="00B46456"/>
    <w:rsid w:val="00B50645"/>
    <w:rsid w:val="00B50855"/>
    <w:rsid w:val="00B5121C"/>
    <w:rsid w:val="00B516A0"/>
    <w:rsid w:val="00B519D9"/>
    <w:rsid w:val="00B52823"/>
    <w:rsid w:val="00B52D9F"/>
    <w:rsid w:val="00B56CAD"/>
    <w:rsid w:val="00B56EC5"/>
    <w:rsid w:val="00B570F1"/>
    <w:rsid w:val="00B57495"/>
    <w:rsid w:val="00B60976"/>
    <w:rsid w:val="00B611A2"/>
    <w:rsid w:val="00B67786"/>
    <w:rsid w:val="00B67AC7"/>
    <w:rsid w:val="00B67C21"/>
    <w:rsid w:val="00B71A4E"/>
    <w:rsid w:val="00B72793"/>
    <w:rsid w:val="00B7336C"/>
    <w:rsid w:val="00B73B6D"/>
    <w:rsid w:val="00B753B0"/>
    <w:rsid w:val="00B777A6"/>
    <w:rsid w:val="00B77C90"/>
    <w:rsid w:val="00B83133"/>
    <w:rsid w:val="00B83E44"/>
    <w:rsid w:val="00B83E4F"/>
    <w:rsid w:val="00B842E9"/>
    <w:rsid w:val="00B849E6"/>
    <w:rsid w:val="00B84A4C"/>
    <w:rsid w:val="00B84BC1"/>
    <w:rsid w:val="00B84EB8"/>
    <w:rsid w:val="00B86DED"/>
    <w:rsid w:val="00B9036E"/>
    <w:rsid w:val="00B91B52"/>
    <w:rsid w:val="00B944F0"/>
    <w:rsid w:val="00B95518"/>
    <w:rsid w:val="00B95601"/>
    <w:rsid w:val="00BA2790"/>
    <w:rsid w:val="00BA3C6E"/>
    <w:rsid w:val="00BA54B5"/>
    <w:rsid w:val="00BA59B8"/>
    <w:rsid w:val="00BA5F2F"/>
    <w:rsid w:val="00BA5F31"/>
    <w:rsid w:val="00BA6149"/>
    <w:rsid w:val="00BA7218"/>
    <w:rsid w:val="00BA7647"/>
    <w:rsid w:val="00BA7CE7"/>
    <w:rsid w:val="00BB0D0D"/>
    <w:rsid w:val="00BB11E5"/>
    <w:rsid w:val="00BB2778"/>
    <w:rsid w:val="00BB2836"/>
    <w:rsid w:val="00BB3188"/>
    <w:rsid w:val="00BB4068"/>
    <w:rsid w:val="00BB448B"/>
    <w:rsid w:val="00BB487F"/>
    <w:rsid w:val="00BB4CDE"/>
    <w:rsid w:val="00BB6707"/>
    <w:rsid w:val="00BB7F3F"/>
    <w:rsid w:val="00BC1B92"/>
    <w:rsid w:val="00BC49E6"/>
    <w:rsid w:val="00BC5922"/>
    <w:rsid w:val="00BC6F43"/>
    <w:rsid w:val="00BD06A5"/>
    <w:rsid w:val="00BD08D3"/>
    <w:rsid w:val="00BD1213"/>
    <w:rsid w:val="00BD200C"/>
    <w:rsid w:val="00BD2C2B"/>
    <w:rsid w:val="00BD4B7B"/>
    <w:rsid w:val="00BD4F35"/>
    <w:rsid w:val="00BD71AC"/>
    <w:rsid w:val="00BD7607"/>
    <w:rsid w:val="00BD7B2B"/>
    <w:rsid w:val="00BE003E"/>
    <w:rsid w:val="00BE12A5"/>
    <w:rsid w:val="00BE1BF9"/>
    <w:rsid w:val="00BE2479"/>
    <w:rsid w:val="00BE2967"/>
    <w:rsid w:val="00BE2F59"/>
    <w:rsid w:val="00BE346A"/>
    <w:rsid w:val="00BE78E1"/>
    <w:rsid w:val="00BE7FD6"/>
    <w:rsid w:val="00BF0C7D"/>
    <w:rsid w:val="00BF0D63"/>
    <w:rsid w:val="00BF0FE3"/>
    <w:rsid w:val="00BF1584"/>
    <w:rsid w:val="00BF17A8"/>
    <w:rsid w:val="00BF4178"/>
    <w:rsid w:val="00BF604D"/>
    <w:rsid w:val="00C00E70"/>
    <w:rsid w:val="00C060B3"/>
    <w:rsid w:val="00C07893"/>
    <w:rsid w:val="00C07EB9"/>
    <w:rsid w:val="00C07F31"/>
    <w:rsid w:val="00C121C0"/>
    <w:rsid w:val="00C14E59"/>
    <w:rsid w:val="00C16678"/>
    <w:rsid w:val="00C16FAB"/>
    <w:rsid w:val="00C1737F"/>
    <w:rsid w:val="00C179A4"/>
    <w:rsid w:val="00C20676"/>
    <w:rsid w:val="00C20C96"/>
    <w:rsid w:val="00C20D06"/>
    <w:rsid w:val="00C20EF0"/>
    <w:rsid w:val="00C21D7C"/>
    <w:rsid w:val="00C227F2"/>
    <w:rsid w:val="00C2356C"/>
    <w:rsid w:val="00C23677"/>
    <w:rsid w:val="00C23B77"/>
    <w:rsid w:val="00C24F83"/>
    <w:rsid w:val="00C25281"/>
    <w:rsid w:val="00C2630F"/>
    <w:rsid w:val="00C2669F"/>
    <w:rsid w:val="00C266A4"/>
    <w:rsid w:val="00C26ED8"/>
    <w:rsid w:val="00C27085"/>
    <w:rsid w:val="00C27541"/>
    <w:rsid w:val="00C27BF0"/>
    <w:rsid w:val="00C3033C"/>
    <w:rsid w:val="00C30C0D"/>
    <w:rsid w:val="00C322AE"/>
    <w:rsid w:val="00C324E5"/>
    <w:rsid w:val="00C334B0"/>
    <w:rsid w:val="00C34187"/>
    <w:rsid w:val="00C415E8"/>
    <w:rsid w:val="00C42332"/>
    <w:rsid w:val="00C42444"/>
    <w:rsid w:val="00C4487B"/>
    <w:rsid w:val="00C44B79"/>
    <w:rsid w:val="00C45B22"/>
    <w:rsid w:val="00C46EFB"/>
    <w:rsid w:val="00C47D44"/>
    <w:rsid w:val="00C51816"/>
    <w:rsid w:val="00C51DEF"/>
    <w:rsid w:val="00C51FD7"/>
    <w:rsid w:val="00C5377C"/>
    <w:rsid w:val="00C538BD"/>
    <w:rsid w:val="00C53A72"/>
    <w:rsid w:val="00C56FE3"/>
    <w:rsid w:val="00C5765F"/>
    <w:rsid w:val="00C57A94"/>
    <w:rsid w:val="00C57C1C"/>
    <w:rsid w:val="00C60795"/>
    <w:rsid w:val="00C6174B"/>
    <w:rsid w:val="00C67051"/>
    <w:rsid w:val="00C671B0"/>
    <w:rsid w:val="00C7051B"/>
    <w:rsid w:val="00C711E3"/>
    <w:rsid w:val="00C71C1C"/>
    <w:rsid w:val="00C732B9"/>
    <w:rsid w:val="00C736C5"/>
    <w:rsid w:val="00C7475D"/>
    <w:rsid w:val="00C7550C"/>
    <w:rsid w:val="00C75FA3"/>
    <w:rsid w:val="00C7632D"/>
    <w:rsid w:val="00C76D2B"/>
    <w:rsid w:val="00C8014B"/>
    <w:rsid w:val="00C805ED"/>
    <w:rsid w:val="00C815DF"/>
    <w:rsid w:val="00C81A4D"/>
    <w:rsid w:val="00C8299B"/>
    <w:rsid w:val="00C82D7D"/>
    <w:rsid w:val="00C83967"/>
    <w:rsid w:val="00C847CE"/>
    <w:rsid w:val="00C90A2F"/>
    <w:rsid w:val="00C90EC9"/>
    <w:rsid w:val="00C918C7"/>
    <w:rsid w:val="00C92B5E"/>
    <w:rsid w:val="00C9332B"/>
    <w:rsid w:val="00C93522"/>
    <w:rsid w:val="00C954E1"/>
    <w:rsid w:val="00C95798"/>
    <w:rsid w:val="00C9689A"/>
    <w:rsid w:val="00C977A4"/>
    <w:rsid w:val="00C9795D"/>
    <w:rsid w:val="00C979C5"/>
    <w:rsid w:val="00C97C79"/>
    <w:rsid w:val="00CA2B28"/>
    <w:rsid w:val="00CA3F5C"/>
    <w:rsid w:val="00CA505B"/>
    <w:rsid w:val="00CA5893"/>
    <w:rsid w:val="00CA5E6C"/>
    <w:rsid w:val="00CA5F0E"/>
    <w:rsid w:val="00CA63ED"/>
    <w:rsid w:val="00CA6420"/>
    <w:rsid w:val="00CA68CD"/>
    <w:rsid w:val="00CA78B2"/>
    <w:rsid w:val="00CA7CEE"/>
    <w:rsid w:val="00CB14FF"/>
    <w:rsid w:val="00CB2D8D"/>
    <w:rsid w:val="00CB3E1C"/>
    <w:rsid w:val="00CB4885"/>
    <w:rsid w:val="00CB6F6F"/>
    <w:rsid w:val="00CC01BB"/>
    <w:rsid w:val="00CC3613"/>
    <w:rsid w:val="00CC3811"/>
    <w:rsid w:val="00CC45CA"/>
    <w:rsid w:val="00CC5548"/>
    <w:rsid w:val="00CC6E09"/>
    <w:rsid w:val="00CD1B20"/>
    <w:rsid w:val="00CD4075"/>
    <w:rsid w:val="00CD5018"/>
    <w:rsid w:val="00CD5402"/>
    <w:rsid w:val="00CD606A"/>
    <w:rsid w:val="00CD7087"/>
    <w:rsid w:val="00CE02CB"/>
    <w:rsid w:val="00CE3489"/>
    <w:rsid w:val="00CE468C"/>
    <w:rsid w:val="00CE5711"/>
    <w:rsid w:val="00CE5D21"/>
    <w:rsid w:val="00CE6184"/>
    <w:rsid w:val="00CE6448"/>
    <w:rsid w:val="00CE70A1"/>
    <w:rsid w:val="00CE7D9F"/>
    <w:rsid w:val="00CF13EC"/>
    <w:rsid w:val="00CF2B36"/>
    <w:rsid w:val="00CF4B06"/>
    <w:rsid w:val="00CF4B9D"/>
    <w:rsid w:val="00CF5120"/>
    <w:rsid w:val="00CF5C8E"/>
    <w:rsid w:val="00CF6277"/>
    <w:rsid w:val="00CF6FC5"/>
    <w:rsid w:val="00CF7B5F"/>
    <w:rsid w:val="00D002D2"/>
    <w:rsid w:val="00D0084A"/>
    <w:rsid w:val="00D01F01"/>
    <w:rsid w:val="00D132DF"/>
    <w:rsid w:val="00D14B48"/>
    <w:rsid w:val="00D15A6C"/>
    <w:rsid w:val="00D16780"/>
    <w:rsid w:val="00D16F4F"/>
    <w:rsid w:val="00D172F3"/>
    <w:rsid w:val="00D20986"/>
    <w:rsid w:val="00D20BC7"/>
    <w:rsid w:val="00D21C18"/>
    <w:rsid w:val="00D23D95"/>
    <w:rsid w:val="00D2530B"/>
    <w:rsid w:val="00D25E0B"/>
    <w:rsid w:val="00D276AE"/>
    <w:rsid w:val="00D31266"/>
    <w:rsid w:val="00D3198A"/>
    <w:rsid w:val="00D3205A"/>
    <w:rsid w:val="00D41860"/>
    <w:rsid w:val="00D438EC"/>
    <w:rsid w:val="00D44CC7"/>
    <w:rsid w:val="00D45223"/>
    <w:rsid w:val="00D45810"/>
    <w:rsid w:val="00D46CFC"/>
    <w:rsid w:val="00D53ECB"/>
    <w:rsid w:val="00D54FEB"/>
    <w:rsid w:val="00D5518B"/>
    <w:rsid w:val="00D5693C"/>
    <w:rsid w:val="00D56D56"/>
    <w:rsid w:val="00D608CF"/>
    <w:rsid w:val="00D6239E"/>
    <w:rsid w:val="00D62ADD"/>
    <w:rsid w:val="00D63789"/>
    <w:rsid w:val="00D637DF"/>
    <w:rsid w:val="00D667D8"/>
    <w:rsid w:val="00D66DED"/>
    <w:rsid w:val="00D74503"/>
    <w:rsid w:val="00D75527"/>
    <w:rsid w:val="00D76512"/>
    <w:rsid w:val="00D7658C"/>
    <w:rsid w:val="00D76D45"/>
    <w:rsid w:val="00D818D9"/>
    <w:rsid w:val="00D819AE"/>
    <w:rsid w:val="00D82DAF"/>
    <w:rsid w:val="00D82DDD"/>
    <w:rsid w:val="00D837E3"/>
    <w:rsid w:val="00D863C0"/>
    <w:rsid w:val="00D864B2"/>
    <w:rsid w:val="00D9150A"/>
    <w:rsid w:val="00D927C9"/>
    <w:rsid w:val="00D94C7A"/>
    <w:rsid w:val="00D966FD"/>
    <w:rsid w:val="00D967BC"/>
    <w:rsid w:val="00D96EB4"/>
    <w:rsid w:val="00DA04CB"/>
    <w:rsid w:val="00DA0540"/>
    <w:rsid w:val="00DA0C27"/>
    <w:rsid w:val="00DA4F55"/>
    <w:rsid w:val="00DA5016"/>
    <w:rsid w:val="00DA6CAE"/>
    <w:rsid w:val="00DA7B5B"/>
    <w:rsid w:val="00DB3705"/>
    <w:rsid w:val="00DB4D48"/>
    <w:rsid w:val="00DB598F"/>
    <w:rsid w:val="00DB5B8F"/>
    <w:rsid w:val="00DB6297"/>
    <w:rsid w:val="00DB7221"/>
    <w:rsid w:val="00DB7E36"/>
    <w:rsid w:val="00DC0738"/>
    <w:rsid w:val="00DC0FEF"/>
    <w:rsid w:val="00DC1C44"/>
    <w:rsid w:val="00DC3394"/>
    <w:rsid w:val="00DC3E75"/>
    <w:rsid w:val="00DC4571"/>
    <w:rsid w:val="00DC4B39"/>
    <w:rsid w:val="00DC5DCF"/>
    <w:rsid w:val="00DC6B0A"/>
    <w:rsid w:val="00DC7A1C"/>
    <w:rsid w:val="00DC7EDB"/>
    <w:rsid w:val="00DD1DC7"/>
    <w:rsid w:val="00DD3A9A"/>
    <w:rsid w:val="00DD5398"/>
    <w:rsid w:val="00DD5D05"/>
    <w:rsid w:val="00DD63B0"/>
    <w:rsid w:val="00DD68FD"/>
    <w:rsid w:val="00DD7E0A"/>
    <w:rsid w:val="00DE1223"/>
    <w:rsid w:val="00DE1B5B"/>
    <w:rsid w:val="00DE2D06"/>
    <w:rsid w:val="00DE2DB7"/>
    <w:rsid w:val="00DE4B85"/>
    <w:rsid w:val="00DE514B"/>
    <w:rsid w:val="00DE66BC"/>
    <w:rsid w:val="00DF082B"/>
    <w:rsid w:val="00DF092F"/>
    <w:rsid w:val="00DF1646"/>
    <w:rsid w:val="00DF1B22"/>
    <w:rsid w:val="00DF2621"/>
    <w:rsid w:val="00DF2CD7"/>
    <w:rsid w:val="00DF39CD"/>
    <w:rsid w:val="00DF50A4"/>
    <w:rsid w:val="00DF5465"/>
    <w:rsid w:val="00E003A1"/>
    <w:rsid w:val="00E02358"/>
    <w:rsid w:val="00E0239E"/>
    <w:rsid w:val="00E02F70"/>
    <w:rsid w:val="00E03295"/>
    <w:rsid w:val="00E04B0D"/>
    <w:rsid w:val="00E04E80"/>
    <w:rsid w:val="00E05541"/>
    <w:rsid w:val="00E06F66"/>
    <w:rsid w:val="00E1048A"/>
    <w:rsid w:val="00E10A7F"/>
    <w:rsid w:val="00E11845"/>
    <w:rsid w:val="00E14ABB"/>
    <w:rsid w:val="00E1706A"/>
    <w:rsid w:val="00E215D2"/>
    <w:rsid w:val="00E22708"/>
    <w:rsid w:val="00E22805"/>
    <w:rsid w:val="00E2400D"/>
    <w:rsid w:val="00E24348"/>
    <w:rsid w:val="00E25B86"/>
    <w:rsid w:val="00E25F7D"/>
    <w:rsid w:val="00E26F4B"/>
    <w:rsid w:val="00E271C2"/>
    <w:rsid w:val="00E27A11"/>
    <w:rsid w:val="00E301A6"/>
    <w:rsid w:val="00E30BFE"/>
    <w:rsid w:val="00E32863"/>
    <w:rsid w:val="00E32932"/>
    <w:rsid w:val="00E33171"/>
    <w:rsid w:val="00E33B1B"/>
    <w:rsid w:val="00E34960"/>
    <w:rsid w:val="00E3607E"/>
    <w:rsid w:val="00E36852"/>
    <w:rsid w:val="00E37543"/>
    <w:rsid w:val="00E37EBB"/>
    <w:rsid w:val="00E40133"/>
    <w:rsid w:val="00E40BEE"/>
    <w:rsid w:val="00E41DDE"/>
    <w:rsid w:val="00E420A6"/>
    <w:rsid w:val="00E42432"/>
    <w:rsid w:val="00E4253F"/>
    <w:rsid w:val="00E430FB"/>
    <w:rsid w:val="00E4446E"/>
    <w:rsid w:val="00E44634"/>
    <w:rsid w:val="00E44D9E"/>
    <w:rsid w:val="00E44DAA"/>
    <w:rsid w:val="00E4597A"/>
    <w:rsid w:val="00E45F97"/>
    <w:rsid w:val="00E4635C"/>
    <w:rsid w:val="00E50F49"/>
    <w:rsid w:val="00E52C3A"/>
    <w:rsid w:val="00E537B3"/>
    <w:rsid w:val="00E60560"/>
    <w:rsid w:val="00E62F75"/>
    <w:rsid w:val="00E64508"/>
    <w:rsid w:val="00E64F36"/>
    <w:rsid w:val="00E665D8"/>
    <w:rsid w:val="00E66C66"/>
    <w:rsid w:val="00E673F5"/>
    <w:rsid w:val="00E67613"/>
    <w:rsid w:val="00E67A5F"/>
    <w:rsid w:val="00E706E7"/>
    <w:rsid w:val="00E7102E"/>
    <w:rsid w:val="00E71826"/>
    <w:rsid w:val="00E72994"/>
    <w:rsid w:val="00E73882"/>
    <w:rsid w:val="00E76E07"/>
    <w:rsid w:val="00E80F05"/>
    <w:rsid w:val="00E847E8"/>
    <w:rsid w:val="00E84DEC"/>
    <w:rsid w:val="00E85211"/>
    <w:rsid w:val="00E85312"/>
    <w:rsid w:val="00E90139"/>
    <w:rsid w:val="00E91130"/>
    <w:rsid w:val="00E9122C"/>
    <w:rsid w:val="00E92520"/>
    <w:rsid w:val="00E92927"/>
    <w:rsid w:val="00E937ED"/>
    <w:rsid w:val="00E9440B"/>
    <w:rsid w:val="00E94B8B"/>
    <w:rsid w:val="00E95302"/>
    <w:rsid w:val="00E95EED"/>
    <w:rsid w:val="00E97ED8"/>
    <w:rsid w:val="00EA37E2"/>
    <w:rsid w:val="00EA4242"/>
    <w:rsid w:val="00EA6D2E"/>
    <w:rsid w:val="00EA7253"/>
    <w:rsid w:val="00EB169F"/>
    <w:rsid w:val="00EB4F42"/>
    <w:rsid w:val="00EB6BC3"/>
    <w:rsid w:val="00EC4363"/>
    <w:rsid w:val="00EC7F0D"/>
    <w:rsid w:val="00ED2BB3"/>
    <w:rsid w:val="00ED2F61"/>
    <w:rsid w:val="00ED318F"/>
    <w:rsid w:val="00ED3664"/>
    <w:rsid w:val="00ED4325"/>
    <w:rsid w:val="00ED4B96"/>
    <w:rsid w:val="00ED5C76"/>
    <w:rsid w:val="00ED698C"/>
    <w:rsid w:val="00ED7698"/>
    <w:rsid w:val="00EE080C"/>
    <w:rsid w:val="00EE199A"/>
    <w:rsid w:val="00EE2DE1"/>
    <w:rsid w:val="00EE619A"/>
    <w:rsid w:val="00EE7109"/>
    <w:rsid w:val="00EF1AA1"/>
    <w:rsid w:val="00EF1C7D"/>
    <w:rsid w:val="00EF3061"/>
    <w:rsid w:val="00EF3214"/>
    <w:rsid w:val="00EF39E7"/>
    <w:rsid w:val="00EF740E"/>
    <w:rsid w:val="00EF74F0"/>
    <w:rsid w:val="00F0062F"/>
    <w:rsid w:val="00F007FB"/>
    <w:rsid w:val="00F04D52"/>
    <w:rsid w:val="00F05FF0"/>
    <w:rsid w:val="00F06546"/>
    <w:rsid w:val="00F06DB0"/>
    <w:rsid w:val="00F07CA9"/>
    <w:rsid w:val="00F11B15"/>
    <w:rsid w:val="00F137EE"/>
    <w:rsid w:val="00F13835"/>
    <w:rsid w:val="00F15BC7"/>
    <w:rsid w:val="00F206C0"/>
    <w:rsid w:val="00F24CAF"/>
    <w:rsid w:val="00F2547B"/>
    <w:rsid w:val="00F263FD"/>
    <w:rsid w:val="00F30A34"/>
    <w:rsid w:val="00F3164B"/>
    <w:rsid w:val="00F33452"/>
    <w:rsid w:val="00F33825"/>
    <w:rsid w:val="00F34502"/>
    <w:rsid w:val="00F361B6"/>
    <w:rsid w:val="00F370DA"/>
    <w:rsid w:val="00F37413"/>
    <w:rsid w:val="00F408A9"/>
    <w:rsid w:val="00F4304D"/>
    <w:rsid w:val="00F447E6"/>
    <w:rsid w:val="00F45172"/>
    <w:rsid w:val="00F50CDA"/>
    <w:rsid w:val="00F510C5"/>
    <w:rsid w:val="00F51622"/>
    <w:rsid w:val="00F537B7"/>
    <w:rsid w:val="00F55874"/>
    <w:rsid w:val="00F56F0A"/>
    <w:rsid w:val="00F576AD"/>
    <w:rsid w:val="00F600E4"/>
    <w:rsid w:val="00F607C2"/>
    <w:rsid w:val="00F61228"/>
    <w:rsid w:val="00F614DF"/>
    <w:rsid w:val="00F61BEA"/>
    <w:rsid w:val="00F62857"/>
    <w:rsid w:val="00F64826"/>
    <w:rsid w:val="00F653A7"/>
    <w:rsid w:val="00F66113"/>
    <w:rsid w:val="00F6613D"/>
    <w:rsid w:val="00F6667E"/>
    <w:rsid w:val="00F66C9A"/>
    <w:rsid w:val="00F67A99"/>
    <w:rsid w:val="00F67B72"/>
    <w:rsid w:val="00F70819"/>
    <w:rsid w:val="00F717FD"/>
    <w:rsid w:val="00F719C9"/>
    <w:rsid w:val="00F71C59"/>
    <w:rsid w:val="00F73915"/>
    <w:rsid w:val="00F76176"/>
    <w:rsid w:val="00F8219E"/>
    <w:rsid w:val="00F8280E"/>
    <w:rsid w:val="00F83CAA"/>
    <w:rsid w:val="00F84585"/>
    <w:rsid w:val="00F90382"/>
    <w:rsid w:val="00F90CCD"/>
    <w:rsid w:val="00F916C8"/>
    <w:rsid w:val="00F91FA4"/>
    <w:rsid w:val="00F930DC"/>
    <w:rsid w:val="00F93B9A"/>
    <w:rsid w:val="00F93F9C"/>
    <w:rsid w:val="00F942DE"/>
    <w:rsid w:val="00F94B0B"/>
    <w:rsid w:val="00F95EB6"/>
    <w:rsid w:val="00F96D9D"/>
    <w:rsid w:val="00F974EF"/>
    <w:rsid w:val="00F975D2"/>
    <w:rsid w:val="00FA11E6"/>
    <w:rsid w:val="00FA1EA4"/>
    <w:rsid w:val="00FA45DD"/>
    <w:rsid w:val="00FA4AE9"/>
    <w:rsid w:val="00FA54F9"/>
    <w:rsid w:val="00FA6509"/>
    <w:rsid w:val="00FB3D81"/>
    <w:rsid w:val="00FB3F74"/>
    <w:rsid w:val="00FB482E"/>
    <w:rsid w:val="00FB55E0"/>
    <w:rsid w:val="00FB578F"/>
    <w:rsid w:val="00FB5C0F"/>
    <w:rsid w:val="00FB5E2F"/>
    <w:rsid w:val="00FC0416"/>
    <w:rsid w:val="00FC2B98"/>
    <w:rsid w:val="00FC3765"/>
    <w:rsid w:val="00FC6A06"/>
    <w:rsid w:val="00FD0CBB"/>
    <w:rsid w:val="00FD5714"/>
    <w:rsid w:val="00FD5D2C"/>
    <w:rsid w:val="00FD62D6"/>
    <w:rsid w:val="00FE0636"/>
    <w:rsid w:val="00FE22BE"/>
    <w:rsid w:val="00FE282C"/>
    <w:rsid w:val="00FE3DA1"/>
    <w:rsid w:val="00FF1358"/>
    <w:rsid w:val="00FF2003"/>
    <w:rsid w:val="00FF248F"/>
    <w:rsid w:val="00FF2DEE"/>
    <w:rsid w:val="00FF2E48"/>
    <w:rsid w:val="00FF38C3"/>
    <w:rsid w:val="00FF52DB"/>
    <w:rsid w:val="01167F49"/>
    <w:rsid w:val="01191C37"/>
    <w:rsid w:val="011D0AFB"/>
    <w:rsid w:val="015A20A2"/>
    <w:rsid w:val="015A389C"/>
    <w:rsid w:val="01E712DD"/>
    <w:rsid w:val="020B1D5B"/>
    <w:rsid w:val="022E5EC1"/>
    <w:rsid w:val="02462906"/>
    <w:rsid w:val="02680136"/>
    <w:rsid w:val="027E390A"/>
    <w:rsid w:val="028367ED"/>
    <w:rsid w:val="028F69D6"/>
    <w:rsid w:val="029B0DEA"/>
    <w:rsid w:val="029C5847"/>
    <w:rsid w:val="02BB7B09"/>
    <w:rsid w:val="02C017D4"/>
    <w:rsid w:val="02C01E0B"/>
    <w:rsid w:val="032E6F22"/>
    <w:rsid w:val="03455EDE"/>
    <w:rsid w:val="03834A23"/>
    <w:rsid w:val="03F72750"/>
    <w:rsid w:val="040268C3"/>
    <w:rsid w:val="045E332E"/>
    <w:rsid w:val="04C377F0"/>
    <w:rsid w:val="05335EAB"/>
    <w:rsid w:val="05730968"/>
    <w:rsid w:val="05831A65"/>
    <w:rsid w:val="05A30180"/>
    <w:rsid w:val="05FE46B8"/>
    <w:rsid w:val="062D10A8"/>
    <w:rsid w:val="064545AB"/>
    <w:rsid w:val="067568F3"/>
    <w:rsid w:val="06C85A7A"/>
    <w:rsid w:val="06D16D19"/>
    <w:rsid w:val="06E54C20"/>
    <w:rsid w:val="06F240D3"/>
    <w:rsid w:val="06FE4291"/>
    <w:rsid w:val="07023CEC"/>
    <w:rsid w:val="070E28C6"/>
    <w:rsid w:val="076A02CC"/>
    <w:rsid w:val="077965F4"/>
    <w:rsid w:val="07B470BD"/>
    <w:rsid w:val="07BC508E"/>
    <w:rsid w:val="07E34E3C"/>
    <w:rsid w:val="07FB3445"/>
    <w:rsid w:val="08615BAB"/>
    <w:rsid w:val="08804C2B"/>
    <w:rsid w:val="08963CD8"/>
    <w:rsid w:val="090F576C"/>
    <w:rsid w:val="092C5720"/>
    <w:rsid w:val="093E7C4D"/>
    <w:rsid w:val="09484E79"/>
    <w:rsid w:val="095442E7"/>
    <w:rsid w:val="0974186B"/>
    <w:rsid w:val="097863E1"/>
    <w:rsid w:val="09950FE0"/>
    <w:rsid w:val="09B76543"/>
    <w:rsid w:val="09CF444B"/>
    <w:rsid w:val="0A1B275F"/>
    <w:rsid w:val="0A37148D"/>
    <w:rsid w:val="0A374DED"/>
    <w:rsid w:val="0A421118"/>
    <w:rsid w:val="0A846E36"/>
    <w:rsid w:val="0AAD10C0"/>
    <w:rsid w:val="0AC43052"/>
    <w:rsid w:val="0B061877"/>
    <w:rsid w:val="0B0B5FD0"/>
    <w:rsid w:val="0B296E23"/>
    <w:rsid w:val="0B696862"/>
    <w:rsid w:val="0B6D3805"/>
    <w:rsid w:val="0BB24626"/>
    <w:rsid w:val="0BE430C1"/>
    <w:rsid w:val="0BF63739"/>
    <w:rsid w:val="0BF931AE"/>
    <w:rsid w:val="0C061CF8"/>
    <w:rsid w:val="0C132CCA"/>
    <w:rsid w:val="0C317854"/>
    <w:rsid w:val="0C7039EF"/>
    <w:rsid w:val="0C7129F2"/>
    <w:rsid w:val="0C782801"/>
    <w:rsid w:val="0CAC39E8"/>
    <w:rsid w:val="0CAC7B67"/>
    <w:rsid w:val="0CAF495E"/>
    <w:rsid w:val="0CD620DB"/>
    <w:rsid w:val="0CE247A6"/>
    <w:rsid w:val="0D1C3E79"/>
    <w:rsid w:val="0D274C94"/>
    <w:rsid w:val="0D3513B4"/>
    <w:rsid w:val="0D575B29"/>
    <w:rsid w:val="0DB84134"/>
    <w:rsid w:val="0DFD4C55"/>
    <w:rsid w:val="0E1A2767"/>
    <w:rsid w:val="0E3F1FBC"/>
    <w:rsid w:val="0E4A5E75"/>
    <w:rsid w:val="0E4D5176"/>
    <w:rsid w:val="0E7E1118"/>
    <w:rsid w:val="0EB8357A"/>
    <w:rsid w:val="0ECA0F16"/>
    <w:rsid w:val="0EDB0C06"/>
    <w:rsid w:val="0EDB5F9D"/>
    <w:rsid w:val="0EDD2C14"/>
    <w:rsid w:val="0EE019F9"/>
    <w:rsid w:val="0EE44D9B"/>
    <w:rsid w:val="0EE52B37"/>
    <w:rsid w:val="0F026AC4"/>
    <w:rsid w:val="0F276480"/>
    <w:rsid w:val="0F305109"/>
    <w:rsid w:val="0F730BB3"/>
    <w:rsid w:val="0F76688C"/>
    <w:rsid w:val="0FBA3635"/>
    <w:rsid w:val="0FBB5110"/>
    <w:rsid w:val="10172A5B"/>
    <w:rsid w:val="102563DA"/>
    <w:rsid w:val="106C520F"/>
    <w:rsid w:val="109209A1"/>
    <w:rsid w:val="10D4496B"/>
    <w:rsid w:val="10F01BCB"/>
    <w:rsid w:val="11001905"/>
    <w:rsid w:val="11055F80"/>
    <w:rsid w:val="112273AB"/>
    <w:rsid w:val="114F5ADD"/>
    <w:rsid w:val="11A17C7A"/>
    <w:rsid w:val="11A21EE2"/>
    <w:rsid w:val="11A74A3F"/>
    <w:rsid w:val="121746BD"/>
    <w:rsid w:val="121A54BA"/>
    <w:rsid w:val="121D7BE7"/>
    <w:rsid w:val="1258257C"/>
    <w:rsid w:val="12C911AF"/>
    <w:rsid w:val="13022E20"/>
    <w:rsid w:val="130D3DC6"/>
    <w:rsid w:val="13141BFE"/>
    <w:rsid w:val="13272635"/>
    <w:rsid w:val="133A0DB0"/>
    <w:rsid w:val="13455ABC"/>
    <w:rsid w:val="13555204"/>
    <w:rsid w:val="13610A89"/>
    <w:rsid w:val="1381010B"/>
    <w:rsid w:val="1448060E"/>
    <w:rsid w:val="14D77D29"/>
    <w:rsid w:val="155F33E8"/>
    <w:rsid w:val="15B371AA"/>
    <w:rsid w:val="15CD341E"/>
    <w:rsid w:val="15DD5ED1"/>
    <w:rsid w:val="160D4998"/>
    <w:rsid w:val="162D4664"/>
    <w:rsid w:val="163A6DF5"/>
    <w:rsid w:val="163B2586"/>
    <w:rsid w:val="1649511F"/>
    <w:rsid w:val="167F7C51"/>
    <w:rsid w:val="16AF46B6"/>
    <w:rsid w:val="16D93CF0"/>
    <w:rsid w:val="16E45CB1"/>
    <w:rsid w:val="16F66DB5"/>
    <w:rsid w:val="1723592E"/>
    <w:rsid w:val="174926EF"/>
    <w:rsid w:val="176A1BE1"/>
    <w:rsid w:val="17894D08"/>
    <w:rsid w:val="18542035"/>
    <w:rsid w:val="18D91DEE"/>
    <w:rsid w:val="19256237"/>
    <w:rsid w:val="198267F9"/>
    <w:rsid w:val="198B0560"/>
    <w:rsid w:val="19E13771"/>
    <w:rsid w:val="19FA38DE"/>
    <w:rsid w:val="1A2E5D1C"/>
    <w:rsid w:val="1A892FBA"/>
    <w:rsid w:val="1AC12D98"/>
    <w:rsid w:val="1B013CD0"/>
    <w:rsid w:val="1B341008"/>
    <w:rsid w:val="1B515B22"/>
    <w:rsid w:val="1B9A34AE"/>
    <w:rsid w:val="1BAD4578"/>
    <w:rsid w:val="1BB1406B"/>
    <w:rsid w:val="1BE66A30"/>
    <w:rsid w:val="1BE964FB"/>
    <w:rsid w:val="1C4B1EBB"/>
    <w:rsid w:val="1C856DC9"/>
    <w:rsid w:val="1CBC7DB3"/>
    <w:rsid w:val="1CD10C4B"/>
    <w:rsid w:val="1D226351"/>
    <w:rsid w:val="1D352455"/>
    <w:rsid w:val="1D391CB7"/>
    <w:rsid w:val="1D590039"/>
    <w:rsid w:val="1D5C2961"/>
    <w:rsid w:val="1D9C5376"/>
    <w:rsid w:val="1DCC680B"/>
    <w:rsid w:val="1DFD79E3"/>
    <w:rsid w:val="1E4F4732"/>
    <w:rsid w:val="1E547ADC"/>
    <w:rsid w:val="1EA71A2B"/>
    <w:rsid w:val="1F1F0D96"/>
    <w:rsid w:val="1FA43A8E"/>
    <w:rsid w:val="1FB70442"/>
    <w:rsid w:val="20651F6F"/>
    <w:rsid w:val="208911A5"/>
    <w:rsid w:val="20A01E84"/>
    <w:rsid w:val="20BA6133"/>
    <w:rsid w:val="20E976EB"/>
    <w:rsid w:val="20F922DB"/>
    <w:rsid w:val="210871B0"/>
    <w:rsid w:val="211039C6"/>
    <w:rsid w:val="211921B0"/>
    <w:rsid w:val="21212DC2"/>
    <w:rsid w:val="216A394E"/>
    <w:rsid w:val="21BF7E6D"/>
    <w:rsid w:val="21F8754A"/>
    <w:rsid w:val="2201318B"/>
    <w:rsid w:val="221E4ADF"/>
    <w:rsid w:val="224E4CAB"/>
    <w:rsid w:val="225F6439"/>
    <w:rsid w:val="228C7BD5"/>
    <w:rsid w:val="229D2E32"/>
    <w:rsid w:val="22A0020D"/>
    <w:rsid w:val="22AB1C4F"/>
    <w:rsid w:val="22F63AA8"/>
    <w:rsid w:val="233C68DC"/>
    <w:rsid w:val="23526D7F"/>
    <w:rsid w:val="235E0819"/>
    <w:rsid w:val="23AA7C08"/>
    <w:rsid w:val="23C95058"/>
    <w:rsid w:val="23CB6047"/>
    <w:rsid w:val="23D1759E"/>
    <w:rsid w:val="240F5E04"/>
    <w:rsid w:val="246823B0"/>
    <w:rsid w:val="24841885"/>
    <w:rsid w:val="25016C8A"/>
    <w:rsid w:val="25020B2E"/>
    <w:rsid w:val="2525756A"/>
    <w:rsid w:val="25533B5F"/>
    <w:rsid w:val="25F10798"/>
    <w:rsid w:val="260C2B02"/>
    <w:rsid w:val="26156FFE"/>
    <w:rsid w:val="262C162E"/>
    <w:rsid w:val="2631264C"/>
    <w:rsid w:val="266758E6"/>
    <w:rsid w:val="26734D9B"/>
    <w:rsid w:val="268E1B82"/>
    <w:rsid w:val="269042F5"/>
    <w:rsid w:val="26C80844"/>
    <w:rsid w:val="26C848AF"/>
    <w:rsid w:val="26E719A1"/>
    <w:rsid w:val="26F97F8F"/>
    <w:rsid w:val="26FE1A9A"/>
    <w:rsid w:val="270A2994"/>
    <w:rsid w:val="271A75CC"/>
    <w:rsid w:val="274F2A7B"/>
    <w:rsid w:val="277D1697"/>
    <w:rsid w:val="27CA28C2"/>
    <w:rsid w:val="27D0564B"/>
    <w:rsid w:val="27F864EF"/>
    <w:rsid w:val="282112BD"/>
    <w:rsid w:val="282F4EFB"/>
    <w:rsid w:val="283F6FD9"/>
    <w:rsid w:val="2849739C"/>
    <w:rsid w:val="28682E87"/>
    <w:rsid w:val="28773AE5"/>
    <w:rsid w:val="28983825"/>
    <w:rsid w:val="289B6E68"/>
    <w:rsid w:val="289F1214"/>
    <w:rsid w:val="28C31739"/>
    <w:rsid w:val="28C45726"/>
    <w:rsid w:val="290F1FDC"/>
    <w:rsid w:val="29156C85"/>
    <w:rsid w:val="29233F32"/>
    <w:rsid w:val="29B41B86"/>
    <w:rsid w:val="2A026FA4"/>
    <w:rsid w:val="2A04150E"/>
    <w:rsid w:val="2A5F5938"/>
    <w:rsid w:val="2A64509A"/>
    <w:rsid w:val="2A9B4C3A"/>
    <w:rsid w:val="2AA028E3"/>
    <w:rsid w:val="2AAC7709"/>
    <w:rsid w:val="2AF07E5B"/>
    <w:rsid w:val="2B05769B"/>
    <w:rsid w:val="2B190340"/>
    <w:rsid w:val="2B2423B5"/>
    <w:rsid w:val="2B7E24B3"/>
    <w:rsid w:val="2BD049E0"/>
    <w:rsid w:val="2C5150D9"/>
    <w:rsid w:val="2C5234B2"/>
    <w:rsid w:val="2CA96872"/>
    <w:rsid w:val="2CC514CE"/>
    <w:rsid w:val="2CF110A5"/>
    <w:rsid w:val="2CFA43B7"/>
    <w:rsid w:val="2D093501"/>
    <w:rsid w:val="2D141C8B"/>
    <w:rsid w:val="2D3E44E0"/>
    <w:rsid w:val="2D4D1AEB"/>
    <w:rsid w:val="2D73707A"/>
    <w:rsid w:val="2D806420"/>
    <w:rsid w:val="2D8C11BF"/>
    <w:rsid w:val="2D930E5E"/>
    <w:rsid w:val="2DA361A3"/>
    <w:rsid w:val="2DAF3A12"/>
    <w:rsid w:val="2DCD0867"/>
    <w:rsid w:val="2E093334"/>
    <w:rsid w:val="2E3B22DB"/>
    <w:rsid w:val="2F32147B"/>
    <w:rsid w:val="2F53618B"/>
    <w:rsid w:val="2F72307F"/>
    <w:rsid w:val="2F8114C3"/>
    <w:rsid w:val="2F8A5D61"/>
    <w:rsid w:val="2FBD7494"/>
    <w:rsid w:val="2FC04343"/>
    <w:rsid w:val="303D0055"/>
    <w:rsid w:val="303F26AA"/>
    <w:rsid w:val="30D96334"/>
    <w:rsid w:val="30DA35ED"/>
    <w:rsid w:val="30E7288D"/>
    <w:rsid w:val="312C68A9"/>
    <w:rsid w:val="312E48B6"/>
    <w:rsid w:val="31357BEF"/>
    <w:rsid w:val="3152388E"/>
    <w:rsid w:val="315B7F23"/>
    <w:rsid w:val="3165331F"/>
    <w:rsid w:val="31856100"/>
    <w:rsid w:val="31B1767A"/>
    <w:rsid w:val="31BB376C"/>
    <w:rsid w:val="31D03048"/>
    <w:rsid w:val="32347DCA"/>
    <w:rsid w:val="326B04D7"/>
    <w:rsid w:val="32742CF7"/>
    <w:rsid w:val="32750692"/>
    <w:rsid w:val="32BC3C54"/>
    <w:rsid w:val="330C6F3C"/>
    <w:rsid w:val="33120ADF"/>
    <w:rsid w:val="3312340E"/>
    <w:rsid w:val="33230DB2"/>
    <w:rsid w:val="33315544"/>
    <w:rsid w:val="33323751"/>
    <w:rsid w:val="33333441"/>
    <w:rsid w:val="33464BD3"/>
    <w:rsid w:val="3379525D"/>
    <w:rsid w:val="339A5CDC"/>
    <w:rsid w:val="33A77E9F"/>
    <w:rsid w:val="33E612A1"/>
    <w:rsid w:val="34022694"/>
    <w:rsid w:val="3463793C"/>
    <w:rsid w:val="346B7602"/>
    <w:rsid w:val="3485408C"/>
    <w:rsid w:val="34981520"/>
    <w:rsid w:val="351B4485"/>
    <w:rsid w:val="351F7EDF"/>
    <w:rsid w:val="352152C3"/>
    <w:rsid w:val="35252D7C"/>
    <w:rsid w:val="3526734C"/>
    <w:rsid w:val="353C6297"/>
    <w:rsid w:val="355307FC"/>
    <w:rsid w:val="35654962"/>
    <w:rsid w:val="35BE6AF0"/>
    <w:rsid w:val="35D75B47"/>
    <w:rsid w:val="35E11574"/>
    <w:rsid w:val="36187819"/>
    <w:rsid w:val="364D4822"/>
    <w:rsid w:val="3660753A"/>
    <w:rsid w:val="36B2787B"/>
    <w:rsid w:val="36DB16A5"/>
    <w:rsid w:val="371862BA"/>
    <w:rsid w:val="373F74DE"/>
    <w:rsid w:val="37586EF3"/>
    <w:rsid w:val="37CE0E69"/>
    <w:rsid w:val="382C4431"/>
    <w:rsid w:val="384038E4"/>
    <w:rsid w:val="385C09F3"/>
    <w:rsid w:val="387725E6"/>
    <w:rsid w:val="38780C8A"/>
    <w:rsid w:val="38835BD3"/>
    <w:rsid w:val="38886AC1"/>
    <w:rsid w:val="388F4E06"/>
    <w:rsid w:val="38A23918"/>
    <w:rsid w:val="38EB1305"/>
    <w:rsid w:val="38EB669A"/>
    <w:rsid w:val="38F2240D"/>
    <w:rsid w:val="39121F8A"/>
    <w:rsid w:val="391C09C8"/>
    <w:rsid w:val="392633D6"/>
    <w:rsid w:val="39307447"/>
    <w:rsid w:val="39631EDA"/>
    <w:rsid w:val="396724F7"/>
    <w:rsid w:val="39F77392"/>
    <w:rsid w:val="39FB2100"/>
    <w:rsid w:val="39FD3AC9"/>
    <w:rsid w:val="3A0E2E8F"/>
    <w:rsid w:val="3A207CDA"/>
    <w:rsid w:val="3A41360B"/>
    <w:rsid w:val="3A5646F6"/>
    <w:rsid w:val="3A615A7C"/>
    <w:rsid w:val="3A6A4A81"/>
    <w:rsid w:val="3AC47C3C"/>
    <w:rsid w:val="3AC63F9D"/>
    <w:rsid w:val="3AD9091A"/>
    <w:rsid w:val="3AE36F87"/>
    <w:rsid w:val="3AFC41D4"/>
    <w:rsid w:val="3B48364A"/>
    <w:rsid w:val="3B77755E"/>
    <w:rsid w:val="3B974EDA"/>
    <w:rsid w:val="3BAF66B3"/>
    <w:rsid w:val="3BB36905"/>
    <w:rsid w:val="3BE4399C"/>
    <w:rsid w:val="3C182998"/>
    <w:rsid w:val="3C23240E"/>
    <w:rsid w:val="3C464471"/>
    <w:rsid w:val="3C7A4F95"/>
    <w:rsid w:val="3C8B7ABC"/>
    <w:rsid w:val="3C9F777B"/>
    <w:rsid w:val="3CFA2C6C"/>
    <w:rsid w:val="3D4422DB"/>
    <w:rsid w:val="3D7B3AF4"/>
    <w:rsid w:val="3DEE6ED1"/>
    <w:rsid w:val="3E0C29C6"/>
    <w:rsid w:val="3E3F3F0D"/>
    <w:rsid w:val="3E4A4F46"/>
    <w:rsid w:val="3E8D10E3"/>
    <w:rsid w:val="3E9D0AAA"/>
    <w:rsid w:val="3EF8158D"/>
    <w:rsid w:val="3F1C0397"/>
    <w:rsid w:val="3F5F6D7A"/>
    <w:rsid w:val="3F9E012F"/>
    <w:rsid w:val="3FA318F5"/>
    <w:rsid w:val="3FB57923"/>
    <w:rsid w:val="3FB91F9D"/>
    <w:rsid w:val="3FDA2B5D"/>
    <w:rsid w:val="3FFA1A7E"/>
    <w:rsid w:val="404D772F"/>
    <w:rsid w:val="404E3793"/>
    <w:rsid w:val="4084383B"/>
    <w:rsid w:val="40A307E7"/>
    <w:rsid w:val="40C470C2"/>
    <w:rsid w:val="4138499C"/>
    <w:rsid w:val="41385ED7"/>
    <w:rsid w:val="413C67FA"/>
    <w:rsid w:val="4164728F"/>
    <w:rsid w:val="41727194"/>
    <w:rsid w:val="41795B4A"/>
    <w:rsid w:val="41B115AA"/>
    <w:rsid w:val="41BF73F7"/>
    <w:rsid w:val="41CA2FAC"/>
    <w:rsid w:val="41F34CCE"/>
    <w:rsid w:val="41F734CE"/>
    <w:rsid w:val="42A601F5"/>
    <w:rsid w:val="42E6751A"/>
    <w:rsid w:val="42E97D32"/>
    <w:rsid w:val="42EA2A23"/>
    <w:rsid w:val="42F60BB9"/>
    <w:rsid w:val="42F95FEB"/>
    <w:rsid w:val="43060A3E"/>
    <w:rsid w:val="43412397"/>
    <w:rsid w:val="43443989"/>
    <w:rsid w:val="43FD56CD"/>
    <w:rsid w:val="4411789B"/>
    <w:rsid w:val="44121CF8"/>
    <w:rsid w:val="449119A0"/>
    <w:rsid w:val="44B773D9"/>
    <w:rsid w:val="44C10185"/>
    <w:rsid w:val="45110CD0"/>
    <w:rsid w:val="4512439B"/>
    <w:rsid w:val="451E10C8"/>
    <w:rsid w:val="45283286"/>
    <w:rsid w:val="45457106"/>
    <w:rsid w:val="45476F09"/>
    <w:rsid w:val="457123B2"/>
    <w:rsid w:val="457D2024"/>
    <w:rsid w:val="45852467"/>
    <w:rsid w:val="458F61D3"/>
    <w:rsid w:val="45B36EC7"/>
    <w:rsid w:val="45D3232D"/>
    <w:rsid w:val="46057650"/>
    <w:rsid w:val="46080E7D"/>
    <w:rsid w:val="462204A6"/>
    <w:rsid w:val="468936FA"/>
    <w:rsid w:val="469A0DDA"/>
    <w:rsid w:val="470847E7"/>
    <w:rsid w:val="47095F71"/>
    <w:rsid w:val="472E1786"/>
    <w:rsid w:val="47703B83"/>
    <w:rsid w:val="47C15140"/>
    <w:rsid w:val="47F06512"/>
    <w:rsid w:val="48386AB0"/>
    <w:rsid w:val="48397A65"/>
    <w:rsid w:val="4848454F"/>
    <w:rsid w:val="48612F5F"/>
    <w:rsid w:val="48917B2D"/>
    <w:rsid w:val="48CD7098"/>
    <w:rsid w:val="48E32A23"/>
    <w:rsid w:val="48E40E71"/>
    <w:rsid w:val="492206A8"/>
    <w:rsid w:val="49477DF0"/>
    <w:rsid w:val="49CA14A0"/>
    <w:rsid w:val="49EE55B3"/>
    <w:rsid w:val="4A062EEC"/>
    <w:rsid w:val="4A2324DB"/>
    <w:rsid w:val="4A650686"/>
    <w:rsid w:val="4A9C5F27"/>
    <w:rsid w:val="4ABF133E"/>
    <w:rsid w:val="4B024458"/>
    <w:rsid w:val="4B0615E6"/>
    <w:rsid w:val="4B7D39CF"/>
    <w:rsid w:val="4B825DB8"/>
    <w:rsid w:val="4BA71FCC"/>
    <w:rsid w:val="4C216D76"/>
    <w:rsid w:val="4C2365F6"/>
    <w:rsid w:val="4C3D2C5E"/>
    <w:rsid w:val="4C42444F"/>
    <w:rsid w:val="4C813B21"/>
    <w:rsid w:val="4CA51E7B"/>
    <w:rsid w:val="4CC76271"/>
    <w:rsid w:val="4CFB4BEC"/>
    <w:rsid w:val="4D152A86"/>
    <w:rsid w:val="4D3313FD"/>
    <w:rsid w:val="4DF745DF"/>
    <w:rsid w:val="4E1B7E6D"/>
    <w:rsid w:val="4E426A41"/>
    <w:rsid w:val="4E497F86"/>
    <w:rsid w:val="4E552E42"/>
    <w:rsid w:val="4E8367B4"/>
    <w:rsid w:val="4E9F66CB"/>
    <w:rsid w:val="4EA67682"/>
    <w:rsid w:val="4EC51148"/>
    <w:rsid w:val="4ECB51D7"/>
    <w:rsid w:val="4ED262E1"/>
    <w:rsid w:val="4F5B2904"/>
    <w:rsid w:val="4F746363"/>
    <w:rsid w:val="4F95694D"/>
    <w:rsid w:val="4FBD44B9"/>
    <w:rsid w:val="4FCA1919"/>
    <w:rsid w:val="50445BF1"/>
    <w:rsid w:val="5060529F"/>
    <w:rsid w:val="50803FFA"/>
    <w:rsid w:val="50935D5E"/>
    <w:rsid w:val="50A00E75"/>
    <w:rsid w:val="50EC7C25"/>
    <w:rsid w:val="50F05D35"/>
    <w:rsid w:val="50F2185F"/>
    <w:rsid w:val="50FA101C"/>
    <w:rsid w:val="50FE380E"/>
    <w:rsid w:val="513C5FF2"/>
    <w:rsid w:val="514A5EFF"/>
    <w:rsid w:val="519071CD"/>
    <w:rsid w:val="519343FC"/>
    <w:rsid w:val="51B17835"/>
    <w:rsid w:val="51EF7485"/>
    <w:rsid w:val="51F277BD"/>
    <w:rsid w:val="52675048"/>
    <w:rsid w:val="52B03819"/>
    <w:rsid w:val="52D87759"/>
    <w:rsid w:val="531B4E6C"/>
    <w:rsid w:val="53307867"/>
    <w:rsid w:val="535138CF"/>
    <w:rsid w:val="537C77A0"/>
    <w:rsid w:val="538153BF"/>
    <w:rsid w:val="53ED22C7"/>
    <w:rsid w:val="54027325"/>
    <w:rsid w:val="54050CC4"/>
    <w:rsid w:val="54483D87"/>
    <w:rsid w:val="547A60C4"/>
    <w:rsid w:val="547C11E8"/>
    <w:rsid w:val="54A12E03"/>
    <w:rsid w:val="54C5579D"/>
    <w:rsid w:val="54CD1B37"/>
    <w:rsid w:val="54D13AA3"/>
    <w:rsid w:val="54E87510"/>
    <w:rsid w:val="54F62871"/>
    <w:rsid w:val="553B5C06"/>
    <w:rsid w:val="556131CF"/>
    <w:rsid w:val="556F4B55"/>
    <w:rsid w:val="55BC49E1"/>
    <w:rsid w:val="55C12A11"/>
    <w:rsid w:val="563F7112"/>
    <w:rsid w:val="564750C3"/>
    <w:rsid w:val="567F120C"/>
    <w:rsid w:val="57A005D2"/>
    <w:rsid w:val="57CD0141"/>
    <w:rsid w:val="57F841D5"/>
    <w:rsid w:val="584424BB"/>
    <w:rsid w:val="584B3D94"/>
    <w:rsid w:val="5887504C"/>
    <w:rsid w:val="58B1337A"/>
    <w:rsid w:val="58CF62AB"/>
    <w:rsid w:val="59147BEB"/>
    <w:rsid w:val="592324A6"/>
    <w:rsid w:val="59284BD5"/>
    <w:rsid w:val="597A5C5D"/>
    <w:rsid w:val="5A3A169D"/>
    <w:rsid w:val="5A3D4A56"/>
    <w:rsid w:val="5A4603E0"/>
    <w:rsid w:val="5A595CF3"/>
    <w:rsid w:val="5A73189B"/>
    <w:rsid w:val="5AA54F7C"/>
    <w:rsid w:val="5AC238FE"/>
    <w:rsid w:val="5B343845"/>
    <w:rsid w:val="5B4E191B"/>
    <w:rsid w:val="5BAA4CE2"/>
    <w:rsid w:val="5C2E0852"/>
    <w:rsid w:val="5C3D4B84"/>
    <w:rsid w:val="5C4355C6"/>
    <w:rsid w:val="5C8B3F62"/>
    <w:rsid w:val="5CB0457E"/>
    <w:rsid w:val="5CB7073B"/>
    <w:rsid w:val="5D1107F4"/>
    <w:rsid w:val="5D3709FD"/>
    <w:rsid w:val="5D453128"/>
    <w:rsid w:val="5D54142D"/>
    <w:rsid w:val="5DE61528"/>
    <w:rsid w:val="5DF525E4"/>
    <w:rsid w:val="5E0A5C0C"/>
    <w:rsid w:val="5E145375"/>
    <w:rsid w:val="5E1C4ACE"/>
    <w:rsid w:val="5E706955"/>
    <w:rsid w:val="5E7B75AD"/>
    <w:rsid w:val="5EBF15BA"/>
    <w:rsid w:val="5EF276BF"/>
    <w:rsid w:val="5F1E1D1D"/>
    <w:rsid w:val="5F6C401A"/>
    <w:rsid w:val="5F863224"/>
    <w:rsid w:val="5F875AA4"/>
    <w:rsid w:val="5FA13F6F"/>
    <w:rsid w:val="5FF063ED"/>
    <w:rsid w:val="5FF417D0"/>
    <w:rsid w:val="600B2376"/>
    <w:rsid w:val="600B74AD"/>
    <w:rsid w:val="60173FAE"/>
    <w:rsid w:val="60294AC6"/>
    <w:rsid w:val="602A3B2D"/>
    <w:rsid w:val="60D73021"/>
    <w:rsid w:val="610A5C87"/>
    <w:rsid w:val="613232CD"/>
    <w:rsid w:val="61525D8D"/>
    <w:rsid w:val="61C12799"/>
    <w:rsid w:val="61C360AE"/>
    <w:rsid w:val="61D15DCC"/>
    <w:rsid w:val="620D0D62"/>
    <w:rsid w:val="628F0FB0"/>
    <w:rsid w:val="62C71388"/>
    <w:rsid w:val="630B068A"/>
    <w:rsid w:val="633F0454"/>
    <w:rsid w:val="633F30D0"/>
    <w:rsid w:val="63E276C0"/>
    <w:rsid w:val="63E37B17"/>
    <w:rsid w:val="63F6448F"/>
    <w:rsid w:val="64256960"/>
    <w:rsid w:val="64260ABA"/>
    <w:rsid w:val="644460E7"/>
    <w:rsid w:val="6446752F"/>
    <w:rsid w:val="650F4923"/>
    <w:rsid w:val="654D38A3"/>
    <w:rsid w:val="6586582F"/>
    <w:rsid w:val="65EA0E19"/>
    <w:rsid w:val="660C5E38"/>
    <w:rsid w:val="66190B85"/>
    <w:rsid w:val="661B1ACF"/>
    <w:rsid w:val="666C24FD"/>
    <w:rsid w:val="66D8546F"/>
    <w:rsid w:val="66EA788F"/>
    <w:rsid w:val="66F80AD4"/>
    <w:rsid w:val="67344E26"/>
    <w:rsid w:val="6765023F"/>
    <w:rsid w:val="67C85D00"/>
    <w:rsid w:val="67CC6334"/>
    <w:rsid w:val="68392CA3"/>
    <w:rsid w:val="683D21D0"/>
    <w:rsid w:val="68866FFB"/>
    <w:rsid w:val="68A57B5D"/>
    <w:rsid w:val="68E01266"/>
    <w:rsid w:val="691B150A"/>
    <w:rsid w:val="69266D3A"/>
    <w:rsid w:val="69362122"/>
    <w:rsid w:val="693C3E2E"/>
    <w:rsid w:val="69C0582F"/>
    <w:rsid w:val="69CE1B8E"/>
    <w:rsid w:val="6A0976B3"/>
    <w:rsid w:val="6A9D6D82"/>
    <w:rsid w:val="6AB22724"/>
    <w:rsid w:val="6AE228D7"/>
    <w:rsid w:val="6B1F6488"/>
    <w:rsid w:val="6B2022C7"/>
    <w:rsid w:val="6B4D2175"/>
    <w:rsid w:val="6B623099"/>
    <w:rsid w:val="6B796316"/>
    <w:rsid w:val="6B800264"/>
    <w:rsid w:val="6BB749E4"/>
    <w:rsid w:val="6BC473AA"/>
    <w:rsid w:val="6BCA3E94"/>
    <w:rsid w:val="6C255FD4"/>
    <w:rsid w:val="6C5F32E0"/>
    <w:rsid w:val="6C7641FA"/>
    <w:rsid w:val="6C8114A7"/>
    <w:rsid w:val="6CB04436"/>
    <w:rsid w:val="6CC13B63"/>
    <w:rsid w:val="6CFD363C"/>
    <w:rsid w:val="6D2F79ED"/>
    <w:rsid w:val="6D46766B"/>
    <w:rsid w:val="6D503E66"/>
    <w:rsid w:val="6D863A56"/>
    <w:rsid w:val="6DC55901"/>
    <w:rsid w:val="6DD53D3E"/>
    <w:rsid w:val="6E210437"/>
    <w:rsid w:val="6E2C7E45"/>
    <w:rsid w:val="6E6B149B"/>
    <w:rsid w:val="6EBA416B"/>
    <w:rsid w:val="6ED25F27"/>
    <w:rsid w:val="6F1640D8"/>
    <w:rsid w:val="6F1D56DB"/>
    <w:rsid w:val="6F1F5F71"/>
    <w:rsid w:val="6F255E42"/>
    <w:rsid w:val="6F410BF7"/>
    <w:rsid w:val="6F8140A8"/>
    <w:rsid w:val="6FD37854"/>
    <w:rsid w:val="6FD816EA"/>
    <w:rsid w:val="701438CF"/>
    <w:rsid w:val="702808DE"/>
    <w:rsid w:val="703534F4"/>
    <w:rsid w:val="704915C5"/>
    <w:rsid w:val="70D64C76"/>
    <w:rsid w:val="70D6655C"/>
    <w:rsid w:val="70FB5052"/>
    <w:rsid w:val="712A08C8"/>
    <w:rsid w:val="71555177"/>
    <w:rsid w:val="71674C33"/>
    <w:rsid w:val="71676CDD"/>
    <w:rsid w:val="71961B07"/>
    <w:rsid w:val="71A51E57"/>
    <w:rsid w:val="71ED7A78"/>
    <w:rsid w:val="71F03600"/>
    <w:rsid w:val="72034883"/>
    <w:rsid w:val="720458EE"/>
    <w:rsid w:val="72534B1B"/>
    <w:rsid w:val="72587B7A"/>
    <w:rsid w:val="726006A1"/>
    <w:rsid w:val="7266503D"/>
    <w:rsid w:val="72A30A8E"/>
    <w:rsid w:val="72B12EEC"/>
    <w:rsid w:val="72C403DC"/>
    <w:rsid w:val="72D556FD"/>
    <w:rsid w:val="72E75041"/>
    <w:rsid w:val="730F268D"/>
    <w:rsid w:val="731547F3"/>
    <w:rsid w:val="7320011C"/>
    <w:rsid w:val="736808BA"/>
    <w:rsid w:val="7382472E"/>
    <w:rsid w:val="73A50C04"/>
    <w:rsid w:val="73B1227F"/>
    <w:rsid w:val="73B20F95"/>
    <w:rsid w:val="73E75393"/>
    <w:rsid w:val="744C11FB"/>
    <w:rsid w:val="7465479E"/>
    <w:rsid w:val="746F69B0"/>
    <w:rsid w:val="74AB40B8"/>
    <w:rsid w:val="74F61149"/>
    <w:rsid w:val="75015C75"/>
    <w:rsid w:val="750219C7"/>
    <w:rsid w:val="75037819"/>
    <w:rsid w:val="75390595"/>
    <w:rsid w:val="75442DC9"/>
    <w:rsid w:val="754E5232"/>
    <w:rsid w:val="75757A2A"/>
    <w:rsid w:val="758C211A"/>
    <w:rsid w:val="75C41D13"/>
    <w:rsid w:val="75DA3FA9"/>
    <w:rsid w:val="760D1128"/>
    <w:rsid w:val="765318AA"/>
    <w:rsid w:val="767848B7"/>
    <w:rsid w:val="769F1D45"/>
    <w:rsid w:val="76AC5F47"/>
    <w:rsid w:val="76B53D10"/>
    <w:rsid w:val="76D66C95"/>
    <w:rsid w:val="77276A67"/>
    <w:rsid w:val="776C791A"/>
    <w:rsid w:val="777D3F52"/>
    <w:rsid w:val="77C97102"/>
    <w:rsid w:val="77CE3CD9"/>
    <w:rsid w:val="78040E54"/>
    <w:rsid w:val="78086786"/>
    <w:rsid w:val="7813790D"/>
    <w:rsid w:val="786B7181"/>
    <w:rsid w:val="78742221"/>
    <w:rsid w:val="787A7737"/>
    <w:rsid w:val="78860A56"/>
    <w:rsid w:val="788A19D8"/>
    <w:rsid w:val="789E67A9"/>
    <w:rsid w:val="78A42A63"/>
    <w:rsid w:val="78C12DAE"/>
    <w:rsid w:val="791A48BC"/>
    <w:rsid w:val="792B50A8"/>
    <w:rsid w:val="797524C7"/>
    <w:rsid w:val="798058E5"/>
    <w:rsid w:val="79BC4B24"/>
    <w:rsid w:val="79BD556C"/>
    <w:rsid w:val="79C9315F"/>
    <w:rsid w:val="7A0A2BB0"/>
    <w:rsid w:val="7A441735"/>
    <w:rsid w:val="7A5316C1"/>
    <w:rsid w:val="7A9F0BC7"/>
    <w:rsid w:val="7AC76090"/>
    <w:rsid w:val="7AEC230E"/>
    <w:rsid w:val="7AFC3CA8"/>
    <w:rsid w:val="7B2C52F0"/>
    <w:rsid w:val="7B465ECE"/>
    <w:rsid w:val="7B7C4426"/>
    <w:rsid w:val="7BC65CF5"/>
    <w:rsid w:val="7BC71C2C"/>
    <w:rsid w:val="7C5B7AFF"/>
    <w:rsid w:val="7CA11664"/>
    <w:rsid w:val="7CC47544"/>
    <w:rsid w:val="7CF17FF8"/>
    <w:rsid w:val="7D1C0F77"/>
    <w:rsid w:val="7D380ED3"/>
    <w:rsid w:val="7D5A4724"/>
    <w:rsid w:val="7D8B26E0"/>
    <w:rsid w:val="7D8D0F32"/>
    <w:rsid w:val="7D8D59DE"/>
    <w:rsid w:val="7DE030E3"/>
    <w:rsid w:val="7E2D1A30"/>
    <w:rsid w:val="7E5907F4"/>
    <w:rsid w:val="7EBB4521"/>
    <w:rsid w:val="7F01767F"/>
    <w:rsid w:val="7F2B57C9"/>
    <w:rsid w:val="7F2C421C"/>
    <w:rsid w:val="7F605AF4"/>
    <w:rsid w:val="7FA7650E"/>
    <w:rsid w:val="7FAE1BBF"/>
    <w:rsid w:val="7FD35A36"/>
    <w:rsid w:val="7FD8656D"/>
    <w:rsid w:val="7FF04141"/>
    <w:rsid w:val="7FFC521D"/>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99" w:semiHidden="0" w:name="Normal Indent"/>
    <w:lsdException w:uiPriority="99" w:name="footnote text" w:locked="1"/>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99" w:semiHidden="0"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qFormat="1" w:unhideWhenUsed="0" w:uiPriority="99" w:semiHidden="0" w:name="Body Text First Indent"/>
    <w:lsdException w:uiPriority="99" w:name="Body Text First Indent 2" w:locked="1"/>
    <w:lsdException w:uiPriority="99" w:name="Note Heading" w:locked="1"/>
    <w:lsdException w:uiPriority="99" w:name="Body Text 2" w:locked="1"/>
    <w:lsdException w:qFormat="1" w:unhideWhenUsed="0" w:uiPriority="99" w:semiHidden="0" w:name="Body Text 3"/>
    <w:lsdException w:qFormat="1" w:unhideWhenUsed="0" w:uiPriority="99" w:semiHidden="0" w:name="Body Text Indent 2"/>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iPriority="99" w:name="Document Map" w:locked="1"/>
    <w:lsdException w:qFormat="1" w:unhideWhenUsed="0" w:uiPriority="0" w:semiHidden="0" w:name="Plain Text"/>
    <w:lsdException w:uiPriority="99" w:name="E-mail Signature" w:locked="1"/>
    <w:lsdException w:qFormat="1" w:unhideWhenUsed="0" w:uiPriority="99" w:semiHidden="0" w:name="Normal (Web)"/>
    <w:lsdException w:qFormat="1" w:uiPriority="99" w:name="HTML Acronym" w:locked="1"/>
    <w:lsdException w:uiPriority="99" w:name="HTML Address" w:locked="1"/>
    <w:lsdException w:qFormat="1" w:uiPriority="99" w:name="HTML Cite" w:locked="1"/>
    <w:lsdException w:qFormat="1" w:uiPriority="99" w:name="HTML Code" w:locked="1"/>
    <w:lsdException w:qFormat="1" w:uiPriority="99" w:name="HTML Definition" w:locked="1"/>
    <w:lsdException w:qFormat="1" w:uiPriority="99" w:name="HTML Keyboard" w:locked="1"/>
    <w:lsdException w:unhideWhenUsed="0" w:uiPriority="0" w:semiHidden="0" w:name="HTML Preformatted" w:locked="1"/>
    <w:lsdException w:qFormat="1" w:uiPriority="99" w:name="HTML Sample" w:locked="1"/>
    <w:lsdException w:qFormat="1" w:uiPriority="99" w:name="HTML Typewriter" w:locked="1"/>
    <w:lsdException w:qFormat="1"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5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link w:val="50"/>
    <w:qFormat/>
    <w:uiPriority w:val="99"/>
    <w:pPr>
      <w:keepNext/>
      <w:keepLines/>
      <w:spacing w:before="340" w:after="330" w:line="576" w:lineRule="auto"/>
      <w:outlineLvl w:val="0"/>
    </w:pPr>
    <w:rPr>
      <w:b/>
      <w:bCs/>
      <w:kern w:val="44"/>
      <w:sz w:val="44"/>
      <w:szCs w:val="44"/>
    </w:rPr>
  </w:style>
  <w:style w:type="paragraph" w:styleId="5">
    <w:name w:val="heading 2"/>
    <w:basedOn w:val="1"/>
    <w:next w:val="1"/>
    <w:link w:val="51"/>
    <w:qFormat/>
    <w:uiPriority w:val="99"/>
    <w:pPr>
      <w:keepNext/>
      <w:keepLines/>
      <w:spacing w:before="260" w:after="260" w:line="413" w:lineRule="auto"/>
      <w:outlineLvl w:val="1"/>
    </w:pPr>
    <w:rPr>
      <w:rFonts w:ascii="Arial" w:hAnsi="Arial" w:eastAsia="黑体" w:cs="Arial"/>
      <w:b/>
      <w:bCs/>
      <w:kern w:val="0"/>
      <w:sz w:val="32"/>
      <w:szCs w:val="32"/>
    </w:rPr>
  </w:style>
  <w:style w:type="paragraph" w:styleId="6">
    <w:name w:val="heading 3"/>
    <w:basedOn w:val="1"/>
    <w:next w:val="1"/>
    <w:link w:val="115"/>
    <w:qFormat/>
    <w:uiPriority w:val="99"/>
    <w:pPr>
      <w:keepNext/>
      <w:keepLines/>
      <w:spacing w:before="260" w:after="260" w:line="413" w:lineRule="auto"/>
      <w:outlineLvl w:val="2"/>
    </w:pPr>
    <w:rPr>
      <w:b/>
      <w:bCs/>
      <w:kern w:val="0"/>
      <w:sz w:val="32"/>
      <w:szCs w:val="32"/>
    </w:rPr>
  </w:style>
  <w:style w:type="paragraph" w:styleId="7">
    <w:name w:val="heading 4"/>
    <w:basedOn w:val="1"/>
    <w:next w:val="1"/>
    <w:link w:val="112"/>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5"/>
    <w:basedOn w:val="1"/>
    <w:next w:val="1"/>
    <w:qFormat/>
    <w:uiPriority w:val="0"/>
    <w:pPr>
      <w:spacing w:before="240" w:after="60"/>
      <w:outlineLvl w:val="4"/>
    </w:pPr>
    <w:rPr>
      <w:b/>
      <w:bCs/>
      <w:i/>
      <w:iCs/>
      <w:sz w:val="26"/>
      <w:szCs w:val="26"/>
    </w:rPr>
  </w:style>
  <w:style w:type="character" w:default="1" w:styleId="27">
    <w:name w:val="Default Paragraph Font"/>
    <w:link w:val="28"/>
    <w:semiHidden/>
    <w:unhideWhenUsed/>
    <w:qFormat/>
    <w:uiPriority w:val="1"/>
    <w:rPr>
      <w:szCs w:val="20"/>
    </w:rPr>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55"/>
    <w:qFormat/>
    <w:uiPriority w:val="99"/>
    <w:pPr>
      <w:spacing w:after="120"/>
    </w:pPr>
  </w:style>
  <w:style w:type="paragraph" w:styleId="3">
    <w:name w:val="Body Text Indent"/>
    <w:basedOn w:val="1"/>
    <w:next w:val="1"/>
    <w:link w:val="58"/>
    <w:qFormat/>
    <w:uiPriority w:val="99"/>
    <w:pPr>
      <w:ind w:firstLine="480"/>
    </w:pPr>
    <w:rPr>
      <w:rFonts w:ascii="宋体" w:hAnsi="宋体" w:cs="宋体"/>
    </w:rPr>
  </w:style>
  <w:style w:type="paragraph" w:styleId="9">
    <w:name w:val="Normal Indent"/>
    <w:basedOn w:val="1"/>
    <w:next w:val="1"/>
    <w:link w:val="72"/>
    <w:qFormat/>
    <w:uiPriority w:val="99"/>
    <w:pPr>
      <w:spacing w:line="400" w:lineRule="exact"/>
      <w:ind w:firstLine="420" w:firstLineChars="200"/>
    </w:pPr>
    <w:rPr>
      <w:kern w:val="0"/>
      <w:sz w:val="24"/>
      <w:szCs w:val="24"/>
    </w:rPr>
  </w:style>
  <w:style w:type="paragraph" w:styleId="10">
    <w:name w:val="Document Map"/>
    <w:basedOn w:val="1"/>
    <w:link w:val="113"/>
    <w:semiHidden/>
    <w:unhideWhenUsed/>
    <w:qFormat/>
    <w:locked/>
    <w:uiPriority w:val="99"/>
    <w:rPr>
      <w:rFonts w:ascii="宋体"/>
      <w:sz w:val="18"/>
      <w:szCs w:val="18"/>
    </w:rPr>
  </w:style>
  <w:style w:type="paragraph" w:styleId="11">
    <w:name w:val="annotation text"/>
    <w:basedOn w:val="1"/>
    <w:link w:val="53"/>
    <w:qFormat/>
    <w:uiPriority w:val="0"/>
    <w:pPr>
      <w:jc w:val="left"/>
    </w:pPr>
  </w:style>
  <w:style w:type="paragraph" w:styleId="12">
    <w:name w:val="Body Text 3"/>
    <w:basedOn w:val="1"/>
    <w:link w:val="57"/>
    <w:qFormat/>
    <w:uiPriority w:val="99"/>
    <w:pPr>
      <w:spacing w:after="120"/>
    </w:pPr>
    <w:rPr>
      <w:sz w:val="16"/>
      <w:szCs w:val="16"/>
    </w:rPr>
  </w:style>
  <w:style w:type="paragraph" w:styleId="13">
    <w:name w:val="toc 3"/>
    <w:basedOn w:val="1"/>
    <w:next w:val="1"/>
    <w:qFormat/>
    <w:uiPriority w:val="39"/>
    <w:pPr>
      <w:ind w:left="840" w:leftChars="400"/>
    </w:pPr>
  </w:style>
  <w:style w:type="paragraph" w:styleId="14">
    <w:name w:val="Plain Text"/>
    <w:basedOn w:val="1"/>
    <w:link w:val="59"/>
    <w:qFormat/>
    <w:uiPriority w:val="0"/>
    <w:rPr>
      <w:rFonts w:ascii="宋体" w:hAnsi="Courier New" w:cs="宋体"/>
      <w:kern w:val="0"/>
      <w:sz w:val="20"/>
      <w:szCs w:val="20"/>
    </w:rPr>
  </w:style>
  <w:style w:type="paragraph" w:styleId="15">
    <w:name w:val="Body Text Indent 2"/>
    <w:basedOn w:val="1"/>
    <w:link w:val="60"/>
    <w:qFormat/>
    <w:uiPriority w:val="99"/>
    <w:pPr>
      <w:spacing w:after="120" w:line="480" w:lineRule="auto"/>
      <w:ind w:left="420" w:leftChars="200"/>
    </w:pPr>
  </w:style>
  <w:style w:type="paragraph" w:styleId="16">
    <w:name w:val="Balloon Text"/>
    <w:basedOn w:val="1"/>
    <w:link w:val="61"/>
    <w:semiHidden/>
    <w:qFormat/>
    <w:uiPriority w:val="99"/>
    <w:rPr>
      <w:sz w:val="18"/>
      <w:szCs w:val="18"/>
    </w:rPr>
  </w:style>
  <w:style w:type="paragraph" w:styleId="17">
    <w:name w:val="footer"/>
    <w:basedOn w:val="1"/>
    <w:link w:val="62"/>
    <w:qFormat/>
    <w:uiPriority w:val="99"/>
    <w:pPr>
      <w:tabs>
        <w:tab w:val="center" w:pos="4153"/>
        <w:tab w:val="right" w:pos="8306"/>
      </w:tabs>
      <w:snapToGrid w:val="0"/>
      <w:jc w:val="left"/>
    </w:pPr>
    <w:rPr>
      <w:kern w:val="0"/>
      <w:sz w:val="18"/>
      <w:szCs w:val="18"/>
    </w:rPr>
  </w:style>
  <w:style w:type="paragraph" w:styleId="18">
    <w:name w:val="header"/>
    <w:basedOn w:val="1"/>
    <w:link w:val="63"/>
    <w:qFormat/>
    <w:uiPriority w:val="99"/>
    <w:pPr>
      <w:pBdr>
        <w:bottom w:val="single" w:color="auto" w:sz="6" w:space="1"/>
      </w:pBdr>
      <w:tabs>
        <w:tab w:val="center" w:pos="4153"/>
        <w:tab w:val="right" w:pos="8306"/>
      </w:tabs>
      <w:snapToGrid w:val="0"/>
      <w:jc w:val="center"/>
    </w:pPr>
    <w:rPr>
      <w:kern w:val="0"/>
      <w:sz w:val="18"/>
      <w:szCs w:val="18"/>
    </w:rPr>
  </w:style>
  <w:style w:type="paragraph" w:styleId="19">
    <w:name w:val="toc 1"/>
    <w:basedOn w:val="1"/>
    <w:next w:val="1"/>
    <w:qFormat/>
    <w:uiPriority w:val="39"/>
    <w:pPr>
      <w:tabs>
        <w:tab w:val="right" w:leader="dot" w:pos="8720"/>
      </w:tabs>
      <w:spacing w:line="440" w:lineRule="exact"/>
      <w:jc w:val="left"/>
    </w:pPr>
    <w:rPr>
      <w:rFonts w:hAnsi="宋体"/>
      <w:caps/>
      <w:sz w:val="24"/>
      <w:szCs w:val="24"/>
    </w:rPr>
  </w:style>
  <w:style w:type="paragraph" w:styleId="20">
    <w:name w:val="toc 2"/>
    <w:basedOn w:val="1"/>
    <w:next w:val="1"/>
    <w:qFormat/>
    <w:uiPriority w:val="39"/>
    <w:pPr>
      <w:ind w:left="420" w:leftChars="200"/>
    </w:pPr>
  </w:style>
  <w:style w:type="paragraph" w:styleId="21">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2">
    <w:name w:val="Title"/>
    <w:basedOn w:val="1"/>
    <w:next w:val="1"/>
    <w:link w:val="64"/>
    <w:qFormat/>
    <w:uiPriority w:val="0"/>
    <w:pPr>
      <w:spacing w:before="240" w:after="60"/>
      <w:jc w:val="center"/>
      <w:outlineLvl w:val="0"/>
    </w:pPr>
    <w:rPr>
      <w:rFonts w:ascii="Cambria" w:hAnsi="Cambria" w:cs="Cambria"/>
      <w:b/>
      <w:bCs/>
      <w:sz w:val="36"/>
      <w:szCs w:val="36"/>
    </w:rPr>
  </w:style>
  <w:style w:type="paragraph" w:styleId="23">
    <w:name w:val="annotation subject"/>
    <w:basedOn w:val="11"/>
    <w:next w:val="11"/>
    <w:link w:val="54"/>
    <w:semiHidden/>
    <w:qFormat/>
    <w:uiPriority w:val="99"/>
    <w:rPr>
      <w:b/>
      <w:bCs/>
    </w:rPr>
  </w:style>
  <w:style w:type="paragraph" w:styleId="24">
    <w:name w:val="Body Text First Indent"/>
    <w:basedOn w:val="2"/>
    <w:link w:val="56"/>
    <w:qFormat/>
    <w:uiPriority w:val="99"/>
    <w:pPr>
      <w:ind w:firstLine="420" w:firstLineChars="100"/>
    </w:pPr>
  </w:style>
  <w:style w:type="table" w:styleId="26">
    <w:name w:val="Table Grid"/>
    <w:basedOn w:val="2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8">
    <w:name w:val=" 字元 字元1 字元 字元 字元 字元 字元 字元 字元 Char Char 字元 字元 字元 字元 字元 字元 字元 字元 字元 字元"/>
    <w:basedOn w:val="1"/>
    <w:link w:val="27"/>
    <w:qFormat/>
    <w:uiPriority w:val="0"/>
    <w:pPr>
      <w:widowControl/>
      <w:spacing w:after="160" w:afterLines="0" w:line="240" w:lineRule="exact"/>
      <w:ind w:firstLine="200" w:firstLineChars="200"/>
    </w:pPr>
    <w:rPr>
      <w:szCs w:val="20"/>
    </w:rPr>
  </w:style>
  <w:style w:type="character" w:styleId="29">
    <w:name w:val="Strong"/>
    <w:basedOn w:val="27"/>
    <w:qFormat/>
    <w:uiPriority w:val="99"/>
    <w:rPr>
      <w:b/>
      <w:bCs/>
    </w:rPr>
  </w:style>
  <w:style w:type="character" w:styleId="30">
    <w:name w:val="page number"/>
    <w:basedOn w:val="27"/>
    <w:qFormat/>
    <w:uiPriority w:val="99"/>
  </w:style>
  <w:style w:type="character" w:styleId="31">
    <w:name w:val="FollowedHyperlink"/>
    <w:basedOn w:val="27"/>
    <w:qFormat/>
    <w:uiPriority w:val="99"/>
    <w:rPr>
      <w:color w:val="3250A0"/>
      <w:u w:val="none"/>
    </w:rPr>
  </w:style>
  <w:style w:type="character" w:styleId="32">
    <w:name w:val="Emphasis"/>
    <w:basedOn w:val="27"/>
    <w:qFormat/>
    <w:uiPriority w:val="99"/>
    <w:rPr>
      <w:i/>
      <w:iCs/>
    </w:rPr>
  </w:style>
  <w:style w:type="character" w:styleId="33">
    <w:name w:val="HTML Definition"/>
    <w:basedOn w:val="27"/>
    <w:semiHidden/>
    <w:unhideWhenUsed/>
    <w:qFormat/>
    <w:locked/>
    <w:uiPriority w:val="99"/>
  </w:style>
  <w:style w:type="character" w:styleId="34">
    <w:name w:val="HTML Typewriter"/>
    <w:basedOn w:val="27"/>
    <w:semiHidden/>
    <w:unhideWhenUsed/>
    <w:qFormat/>
    <w:locked/>
    <w:uiPriority w:val="99"/>
    <w:rPr>
      <w:rFonts w:hint="default" w:ascii="monospace" w:hAnsi="monospace" w:eastAsia="monospace" w:cs="monospace"/>
      <w:sz w:val="20"/>
    </w:rPr>
  </w:style>
  <w:style w:type="character" w:styleId="35">
    <w:name w:val="HTML Acronym"/>
    <w:basedOn w:val="27"/>
    <w:semiHidden/>
    <w:unhideWhenUsed/>
    <w:qFormat/>
    <w:locked/>
    <w:uiPriority w:val="99"/>
  </w:style>
  <w:style w:type="character" w:styleId="36">
    <w:name w:val="HTML Variable"/>
    <w:basedOn w:val="27"/>
    <w:semiHidden/>
    <w:unhideWhenUsed/>
    <w:qFormat/>
    <w:locked/>
    <w:uiPriority w:val="99"/>
  </w:style>
  <w:style w:type="character" w:styleId="37">
    <w:name w:val="Hyperlink"/>
    <w:basedOn w:val="27"/>
    <w:qFormat/>
    <w:uiPriority w:val="99"/>
    <w:rPr>
      <w:color w:val="3250A0"/>
      <w:u w:val="none"/>
    </w:rPr>
  </w:style>
  <w:style w:type="character" w:styleId="38">
    <w:name w:val="HTML Code"/>
    <w:basedOn w:val="27"/>
    <w:semiHidden/>
    <w:unhideWhenUsed/>
    <w:qFormat/>
    <w:locked/>
    <w:uiPriority w:val="99"/>
    <w:rPr>
      <w:rFonts w:ascii="monospace" w:hAnsi="monospace" w:eastAsia="monospace" w:cs="monospace"/>
      <w:sz w:val="20"/>
    </w:rPr>
  </w:style>
  <w:style w:type="character" w:styleId="39">
    <w:name w:val="annotation reference"/>
    <w:basedOn w:val="27"/>
    <w:semiHidden/>
    <w:qFormat/>
    <w:uiPriority w:val="99"/>
    <w:rPr>
      <w:sz w:val="21"/>
      <w:szCs w:val="21"/>
    </w:rPr>
  </w:style>
  <w:style w:type="character" w:styleId="40">
    <w:name w:val="HTML Cite"/>
    <w:basedOn w:val="27"/>
    <w:semiHidden/>
    <w:unhideWhenUsed/>
    <w:qFormat/>
    <w:locked/>
    <w:uiPriority w:val="99"/>
  </w:style>
  <w:style w:type="character" w:styleId="41">
    <w:name w:val="HTML Keyboard"/>
    <w:basedOn w:val="27"/>
    <w:semiHidden/>
    <w:unhideWhenUsed/>
    <w:qFormat/>
    <w:locked/>
    <w:uiPriority w:val="99"/>
    <w:rPr>
      <w:rFonts w:hint="default" w:ascii="monospace" w:hAnsi="monospace" w:eastAsia="monospace" w:cs="monospace"/>
      <w:sz w:val="20"/>
    </w:rPr>
  </w:style>
  <w:style w:type="character" w:styleId="42">
    <w:name w:val="HTML Sample"/>
    <w:basedOn w:val="27"/>
    <w:semiHidden/>
    <w:unhideWhenUsed/>
    <w:qFormat/>
    <w:locked/>
    <w:uiPriority w:val="99"/>
    <w:rPr>
      <w:rFonts w:hint="default" w:ascii="monospace" w:hAnsi="monospace" w:eastAsia="monospace" w:cs="monospace"/>
    </w:rPr>
  </w:style>
  <w:style w:type="paragraph" w:customStyle="1" w:styleId="43">
    <w:name w:val="Default"/>
    <w:qFormat/>
    <w:uiPriority w:val="0"/>
    <w:pPr>
      <w:widowControl w:val="0"/>
      <w:autoSpaceDE w:val="0"/>
      <w:autoSpaceDN w:val="0"/>
      <w:adjustRightInd w:val="0"/>
    </w:pPr>
    <w:rPr>
      <w:rFonts w:ascii="宋体" w:hAnsi="宋体" w:eastAsia="宋体" w:cs="宋体"/>
      <w:color w:val="000000"/>
      <w:kern w:val="0"/>
      <w:sz w:val="24"/>
      <w:szCs w:val="24"/>
      <w:lang w:val="en-US" w:eastAsia="zh-CN" w:bidi="ar-SA"/>
    </w:rPr>
  </w:style>
  <w:style w:type="paragraph" w:customStyle="1" w:styleId="44">
    <w:name w:val="一级条标题"/>
    <w:basedOn w:val="45"/>
    <w:next w:val="46"/>
    <w:qFormat/>
    <w:uiPriority w:val="0"/>
    <w:pPr>
      <w:spacing w:line="240" w:lineRule="auto"/>
      <w:ind w:left="420"/>
      <w:outlineLvl w:val="2"/>
    </w:pPr>
  </w:style>
  <w:style w:type="paragraph" w:customStyle="1" w:styleId="45">
    <w:name w:val="章标题"/>
    <w:next w:val="1"/>
    <w:qFormat/>
    <w:uiPriority w:val="0"/>
    <w:pPr>
      <w:spacing w:line="360" w:lineRule="auto"/>
      <w:jc w:val="both"/>
      <w:outlineLvl w:val="1"/>
    </w:pPr>
    <w:rPr>
      <w:rFonts w:ascii="黑体" w:hAnsi="Calibri" w:eastAsia="黑体" w:cs="黑体"/>
      <w:sz w:val="21"/>
      <w:szCs w:val="21"/>
      <w:lang w:val="en-US" w:eastAsia="zh-CN" w:bidi="ar-SA"/>
    </w:rPr>
  </w:style>
  <w:style w:type="paragraph" w:customStyle="1" w:styleId="46">
    <w:name w:val="段"/>
    <w:next w:val="1"/>
    <w:qFormat/>
    <w:uiPriority w:val="0"/>
    <w:pPr>
      <w:autoSpaceDE w:val="0"/>
      <w:autoSpaceDN w:val="0"/>
      <w:ind w:firstLine="200" w:firstLineChars="200"/>
      <w:jc w:val="both"/>
    </w:pPr>
    <w:rPr>
      <w:rFonts w:ascii="宋体" w:hAnsi="Calibri" w:eastAsia="宋体" w:cs="宋体"/>
      <w:sz w:val="21"/>
      <w:szCs w:val="21"/>
      <w:lang w:val="en-US" w:eastAsia="zh-CN" w:bidi="ar-SA"/>
    </w:rPr>
  </w:style>
  <w:style w:type="paragraph" w:customStyle="1" w:styleId="47">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48">
    <w:name w:val="1"/>
    <w:basedOn w:val="49"/>
    <w:next w:val="3"/>
    <w:qFormat/>
    <w:uiPriority w:val="0"/>
    <w:rPr>
      <w:sz w:val="21"/>
    </w:rPr>
  </w:style>
  <w:style w:type="paragraph" w:customStyle="1" w:styleId="49">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0">
    <w:name w:val="标题 1 字符"/>
    <w:basedOn w:val="27"/>
    <w:link w:val="4"/>
    <w:qFormat/>
    <w:locked/>
    <w:uiPriority w:val="99"/>
    <w:rPr>
      <w:rFonts w:ascii="Times New Roman" w:hAnsi="Times New Roman" w:eastAsia="宋体" w:cs="Times New Roman"/>
      <w:b/>
      <w:bCs/>
      <w:kern w:val="44"/>
      <w:sz w:val="44"/>
      <w:szCs w:val="44"/>
    </w:rPr>
  </w:style>
  <w:style w:type="character" w:customStyle="1" w:styleId="51">
    <w:name w:val="标题 2 字符"/>
    <w:basedOn w:val="27"/>
    <w:link w:val="5"/>
    <w:qFormat/>
    <w:locked/>
    <w:uiPriority w:val="99"/>
    <w:rPr>
      <w:rFonts w:ascii="Arial" w:hAnsi="Arial" w:eastAsia="黑体" w:cs="Arial"/>
      <w:b/>
      <w:bCs/>
      <w:sz w:val="32"/>
      <w:szCs w:val="32"/>
    </w:rPr>
  </w:style>
  <w:style w:type="character" w:customStyle="1" w:styleId="52">
    <w:name w:val="标题 3 字符"/>
    <w:basedOn w:val="27"/>
    <w:link w:val="6"/>
    <w:qFormat/>
    <w:locked/>
    <w:uiPriority w:val="99"/>
    <w:rPr>
      <w:rFonts w:ascii="Times New Roman" w:hAnsi="Times New Roman" w:eastAsia="宋体" w:cs="Times New Roman"/>
      <w:b/>
      <w:bCs/>
      <w:sz w:val="32"/>
      <w:szCs w:val="32"/>
    </w:rPr>
  </w:style>
  <w:style w:type="character" w:customStyle="1" w:styleId="53">
    <w:name w:val="批注文字 字符"/>
    <w:basedOn w:val="27"/>
    <w:link w:val="11"/>
    <w:qFormat/>
    <w:locked/>
    <w:uiPriority w:val="0"/>
    <w:rPr>
      <w:sz w:val="21"/>
      <w:szCs w:val="21"/>
    </w:rPr>
  </w:style>
  <w:style w:type="character" w:customStyle="1" w:styleId="54">
    <w:name w:val="批注主题 字符"/>
    <w:basedOn w:val="53"/>
    <w:link w:val="23"/>
    <w:semiHidden/>
    <w:qFormat/>
    <w:locked/>
    <w:uiPriority w:val="99"/>
    <w:rPr>
      <w:b/>
      <w:bCs/>
      <w:sz w:val="21"/>
      <w:szCs w:val="21"/>
    </w:rPr>
  </w:style>
  <w:style w:type="character" w:customStyle="1" w:styleId="55">
    <w:name w:val="正文文本 字符"/>
    <w:basedOn w:val="27"/>
    <w:link w:val="2"/>
    <w:semiHidden/>
    <w:qFormat/>
    <w:locked/>
    <w:uiPriority w:val="99"/>
    <w:rPr>
      <w:kern w:val="2"/>
      <w:sz w:val="22"/>
      <w:szCs w:val="22"/>
    </w:rPr>
  </w:style>
  <w:style w:type="character" w:customStyle="1" w:styleId="56">
    <w:name w:val="正文首行缩进 字符"/>
    <w:basedOn w:val="55"/>
    <w:link w:val="24"/>
    <w:semiHidden/>
    <w:qFormat/>
    <w:locked/>
    <w:uiPriority w:val="99"/>
    <w:rPr>
      <w:kern w:val="2"/>
      <w:sz w:val="22"/>
      <w:szCs w:val="22"/>
    </w:rPr>
  </w:style>
  <w:style w:type="character" w:customStyle="1" w:styleId="57">
    <w:name w:val="正文文本 3 字符"/>
    <w:basedOn w:val="27"/>
    <w:link w:val="12"/>
    <w:qFormat/>
    <w:locked/>
    <w:uiPriority w:val="99"/>
    <w:rPr>
      <w:kern w:val="2"/>
      <w:sz w:val="16"/>
      <w:szCs w:val="16"/>
    </w:rPr>
  </w:style>
  <w:style w:type="character" w:customStyle="1" w:styleId="58">
    <w:name w:val="正文文本缩进 字符"/>
    <w:basedOn w:val="27"/>
    <w:link w:val="3"/>
    <w:semiHidden/>
    <w:qFormat/>
    <w:locked/>
    <w:uiPriority w:val="99"/>
    <w:rPr>
      <w:sz w:val="21"/>
      <w:szCs w:val="21"/>
    </w:rPr>
  </w:style>
  <w:style w:type="character" w:customStyle="1" w:styleId="59">
    <w:name w:val="纯文本 字符"/>
    <w:basedOn w:val="27"/>
    <w:link w:val="14"/>
    <w:qFormat/>
    <w:locked/>
    <w:uiPriority w:val="0"/>
    <w:rPr>
      <w:rFonts w:ascii="宋体" w:hAnsi="Courier New" w:eastAsia="宋体" w:cs="宋体"/>
      <w:sz w:val="21"/>
      <w:szCs w:val="21"/>
    </w:rPr>
  </w:style>
  <w:style w:type="character" w:customStyle="1" w:styleId="60">
    <w:name w:val="正文文本缩进 2 字符"/>
    <w:basedOn w:val="27"/>
    <w:link w:val="15"/>
    <w:semiHidden/>
    <w:qFormat/>
    <w:locked/>
    <w:uiPriority w:val="99"/>
    <w:rPr>
      <w:sz w:val="21"/>
      <w:szCs w:val="21"/>
    </w:rPr>
  </w:style>
  <w:style w:type="character" w:customStyle="1" w:styleId="61">
    <w:name w:val="批注框文本 字符"/>
    <w:basedOn w:val="27"/>
    <w:link w:val="16"/>
    <w:semiHidden/>
    <w:qFormat/>
    <w:locked/>
    <w:uiPriority w:val="99"/>
    <w:rPr>
      <w:sz w:val="2"/>
      <w:szCs w:val="2"/>
    </w:rPr>
  </w:style>
  <w:style w:type="character" w:customStyle="1" w:styleId="62">
    <w:name w:val="页脚 字符"/>
    <w:basedOn w:val="27"/>
    <w:link w:val="17"/>
    <w:qFormat/>
    <w:locked/>
    <w:uiPriority w:val="99"/>
    <w:rPr>
      <w:sz w:val="18"/>
      <w:szCs w:val="18"/>
    </w:rPr>
  </w:style>
  <w:style w:type="character" w:customStyle="1" w:styleId="63">
    <w:name w:val="页眉 字符"/>
    <w:basedOn w:val="27"/>
    <w:link w:val="18"/>
    <w:qFormat/>
    <w:locked/>
    <w:uiPriority w:val="99"/>
    <w:rPr>
      <w:sz w:val="18"/>
      <w:szCs w:val="18"/>
    </w:rPr>
  </w:style>
  <w:style w:type="character" w:customStyle="1" w:styleId="64">
    <w:name w:val="标题 字符"/>
    <w:basedOn w:val="27"/>
    <w:link w:val="22"/>
    <w:qFormat/>
    <w:locked/>
    <w:uiPriority w:val="0"/>
    <w:rPr>
      <w:rFonts w:ascii="Cambria" w:hAnsi="Cambria" w:cs="Cambria"/>
      <w:b/>
      <w:bCs/>
      <w:sz w:val="32"/>
      <w:szCs w:val="32"/>
    </w:rPr>
  </w:style>
  <w:style w:type="character" w:customStyle="1" w:styleId="65">
    <w:name w:val="font11"/>
    <w:qFormat/>
    <w:uiPriority w:val="99"/>
    <w:rPr>
      <w:rFonts w:ascii="宋体" w:hAnsi="宋体" w:eastAsia="宋体" w:cs="宋体"/>
      <w:color w:val="000000"/>
      <w:sz w:val="24"/>
      <w:szCs w:val="24"/>
      <w:u w:val="none"/>
      <w:vertAlign w:val="subscript"/>
    </w:rPr>
  </w:style>
  <w:style w:type="character" w:customStyle="1" w:styleId="66">
    <w:name w:val="font01"/>
    <w:qFormat/>
    <w:uiPriority w:val="99"/>
    <w:rPr>
      <w:rFonts w:ascii="宋体" w:hAnsi="宋体" w:eastAsia="宋体" w:cs="宋体"/>
      <w:color w:val="FF0000"/>
      <w:sz w:val="18"/>
      <w:szCs w:val="18"/>
      <w:u w:val="none"/>
    </w:rPr>
  </w:style>
  <w:style w:type="character" w:customStyle="1" w:styleId="67">
    <w:name w:val="纯文本 Char3"/>
    <w:qFormat/>
    <w:uiPriority w:val="99"/>
    <w:rPr>
      <w:rFonts w:ascii="宋体" w:hAnsi="Courier New" w:cs="宋体"/>
      <w:kern w:val="2"/>
      <w:sz w:val="24"/>
      <w:szCs w:val="24"/>
    </w:rPr>
  </w:style>
  <w:style w:type="character" w:customStyle="1" w:styleId="68">
    <w:name w:val="font21"/>
    <w:qFormat/>
    <w:uiPriority w:val="99"/>
    <w:rPr>
      <w:rFonts w:ascii="宋体" w:hAnsi="宋体" w:eastAsia="宋体" w:cs="宋体"/>
      <w:color w:val="000000"/>
      <w:sz w:val="18"/>
      <w:szCs w:val="18"/>
      <w:u w:val="none"/>
    </w:rPr>
  </w:style>
  <w:style w:type="character" w:customStyle="1" w:styleId="69">
    <w:name w:val="Char Char29"/>
    <w:qFormat/>
    <w:uiPriority w:val="99"/>
    <w:rPr>
      <w:rFonts w:ascii="宋体" w:cs="宋体"/>
      <w:b/>
      <w:bCs/>
      <w:kern w:val="2"/>
      <w:sz w:val="24"/>
      <w:szCs w:val="24"/>
      <w:lang w:val="en-US" w:eastAsia="zh-CN"/>
    </w:rPr>
  </w:style>
  <w:style w:type="character" w:customStyle="1" w:styleId="70">
    <w:name w:val="font41"/>
    <w:qFormat/>
    <w:uiPriority w:val="99"/>
    <w:rPr>
      <w:rFonts w:ascii="Tahoma" w:hAnsi="Tahoma" w:cs="Tahoma"/>
      <w:color w:val="000000"/>
      <w:sz w:val="18"/>
      <w:szCs w:val="18"/>
      <w:u w:val="none"/>
    </w:rPr>
  </w:style>
  <w:style w:type="character" w:customStyle="1" w:styleId="71">
    <w:name w:val="param-name"/>
    <w:qFormat/>
    <w:uiPriority w:val="99"/>
  </w:style>
  <w:style w:type="character" w:customStyle="1" w:styleId="72">
    <w:name w:val="正文缩进 字符"/>
    <w:link w:val="9"/>
    <w:qFormat/>
    <w:locked/>
    <w:uiPriority w:val="99"/>
    <w:rPr>
      <w:rFonts w:ascii="Times New Roman" w:hAnsi="Times New Roman" w:eastAsia="宋体" w:cs="Times New Roman"/>
      <w:sz w:val="24"/>
      <w:szCs w:val="24"/>
    </w:rPr>
  </w:style>
  <w:style w:type="character" w:customStyle="1" w:styleId="73">
    <w:name w:val="apple-converted-space"/>
    <w:basedOn w:val="27"/>
    <w:qFormat/>
    <w:uiPriority w:val="99"/>
  </w:style>
  <w:style w:type="paragraph" w:customStyle="1" w:styleId="74">
    <w:name w:val="二级"/>
    <w:basedOn w:val="5"/>
    <w:qFormat/>
    <w:uiPriority w:val="99"/>
    <w:pPr>
      <w:keepNext w:val="0"/>
      <w:keepLines w:val="0"/>
      <w:widowControl/>
      <w:spacing w:before="200" w:after="0" w:line="360" w:lineRule="auto"/>
      <w:jc w:val="left"/>
    </w:pPr>
    <w:rPr>
      <w:rFonts w:ascii="Cambria" w:hAnsi="Cambria" w:eastAsia="宋体" w:cs="Cambria"/>
      <w:b w:val="0"/>
      <w:bCs w:val="0"/>
      <w:sz w:val="21"/>
      <w:szCs w:val="21"/>
      <w:lang w:eastAsia="en-US"/>
    </w:rPr>
  </w:style>
  <w:style w:type="paragraph" w:customStyle="1" w:styleId="75">
    <w:name w:val="默认段落字体 Para Char Char Char Char"/>
    <w:basedOn w:val="1"/>
    <w:qFormat/>
    <w:uiPriority w:val="99"/>
  </w:style>
  <w:style w:type="paragraph" w:customStyle="1" w:styleId="76">
    <w:name w:val="Char"/>
    <w:basedOn w:val="1"/>
    <w:qFormat/>
    <w:uiPriority w:val="99"/>
    <w:pPr>
      <w:jc w:val="left"/>
    </w:pPr>
    <w:rPr>
      <w:rFonts w:ascii="Tahoma" w:hAnsi="Tahoma" w:cs="Tahoma"/>
      <w:sz w:val="24"/>
      <w:szCs w:val="24"/>
    </w:rPr>
  </w:style>
  <w:style w:type="paragraph" w:customStyle="1" w:styleId="77">
    <w:name w:val="列出段落1"/>
    <w:basedOn w:val="1"/>
    <w:qFormat/>
    <w:uiPriority w:val="99"/>
    <w:pPr>
      <w:widowControl/>
      <w:adjustRightInd w:val="0"/>
      <w:snapToGrid w:val="0"/>
      <w:spacing w:after="200"/>
      <w:ind w:firstLine="420" w:firstLineChars="200"/>
      <w:jc w:val="left"/>
    </w:pPr>
    <w:rPr>
      <w:rFonts w:ascii="Tahoma" w:hAnsi="Tahoma" w:eastAsia="微软雅黑" w:cs="Tahoma"/>
      <w:kern w:val="0"/>
      <w:sz w:val="22"/>
      <w:szCs w:val="22"/>
    </w:rPr>
  </w:style>
  <w:style w:type="paragraph" w:customStyle="1" w:styleId="78">
    <w:name w:val="样式 标题 3 + (中文) 黑体 小四 非加粗 段前: 7.8 磅 段后: 0 磅 行距: 固定值 20 磅"/>
    <w:basedOn w:val="6"/>
    <w:qFormat/>
    <w:uiPriority w:val="99"/>
    <w:pPr>
      <w:spacing w:before="0" w:after="0" w:line="400" w:lineRule="exact"/>
    </w:pPr>
    <w:rPr>
      <w:rFonts w:eastAsia="黑体"/>
      <w:b w:val="0"/>
      <w:bCs w:val="0"/>
      <w:sz w:val="24"/>
      <w:szCs w:val="24"/>
    </w:rPr>
  </w:style>
  <w:style w:type="paragraph" w:customStyle="1" w:styleId="79">
    <w:name w:val="style1"/>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80">
    <w:name w:val="正文1"/>
    <w:basedOn w:val="1"/>
    <w:qFormat/>
    <w:uiPriority w:val="99"/>
    <w:pPr>
      <w:spacing w:line="400" w:lineRule="atLeast"/>
      <w:ind w:firstLine="420" w:firstLineChars="200"/>
    </w:pPr>
    <w:rPr>
      <w:rFonts w:ascii="宋体" w:hAnsi="宋体" w:cs="宋体"/>
    </w:rPr>
  </w:style>
  <w:style w:type="paragraph" w:customStyle="1" w:styleId="81">
    <w:name w:val="列出段落2"/>
    <w:qFormat/>
    <w:uiPriority w:val="99"/>
    <w:pPr>
      <w:ind w:left="720"/>
    </w:pPr>
    <w:rPr>
      <w:rFonts w:ascii="Times New Roman" w:hAnsi="Times New Roman" w:eastAsia="宋体" w:cs="Times New Roman"/>
      <w:lang w:val="en-US" w:eastAsia="zh-CN" w:bidi="ar-SA"/>
    </w:rPr>
  </w:style>
  <w:style w:type="paragraph" w:customStyle="1" w:styleId="82">
    <w:name w:val="Char Char Char Char Char Char Char Char Char Char Char Char Char Char"/>
    <w:basedOn w:val="1"/>
    <w:qFormat/>
    <w:uiPriority w:val="99"/>
    <w:rPr>
      <w:rFonts w:ascii="Tahoma" w:hAnsi="Tahoma" w:cs="Tahoma"/>
      <w:sz w:val="24"/>
      <w:szCs w:val="24"/>
    </w:rPr>
  </w:style>
  <w:style w:type="paragraph" w:customStyle="1" w:styleId="83">
    <w:name w:val="List Paragraph1"/>
    <w:basedOn w:val="1"/>
    <w:qFormat/>
    <w:uiPriority w:val="99"/>
    <w:pPr>
      <w:ind w:firstLine="420" w:firstLineChars="200"/>
    </w:pPr>
  </w:style>
  <w:style w:type="paragraph" w:customStyle="1" w:styleId="84">
    <w:name w:val="p0"/>
    <w:qFormat/>
    <w:uiPriority w:val="99"/>
    <w:rPr>
      <w:rFonts w:ascii="Times New Roman" w:hAnsi="Times New Roman" w:eastAsia="宋体" w:cs="Times New Roman"/>
      <w:lang w:val="en-US" w:eastAsia="zh-CN" w:bidi="ar-SA"/>
    </w:rPr>
  </w:style>
  <w:style w:type="paragraph" w:customStyle="1" w:styleId="85">
    <w:name w:val="09正文_wh"/>
    <w:qFormat/>
    <w:uiPriority w:val="99"/>
    <w:pPr>
      <w:spacing w:line="300" w:lineRule="auto"/>
      <w:ind w:firstLine="200" w:firstLineChars="200"/>
      <w:jc w:val="both"/>
    </w:pPr>
    <w:rPr>
      <w:rFonts w:ascii="Times New Roman" w:hAnsi="Times New Roman" w:eastAsia="宋体" w:cs="Times New Roman"/>
      <w:sz w:val="28"/>
      <w:szCs w:val="28"/>
      <w:lang w:val="en-US" w:eastAsia="zh-CN" w:bidi="ar-SA"/>
    </w:rPr>
  </w:style>
  <w:style w:type="character" w:customStyle="1" w:styleId="86">
    <w:name w:val="hot"/>
    <w:basedOn w:val="27"/>
    <w:qFormat/>
    <w:uiPriority w:val="99"/>
  </w:style>
  <w:style w:type="character" w:customStyle="1" w:styleId="87">
    <w:name w:val="bds_more"/>
    <w:basedOn w:val="27"/>
    <w:qFormat/>
    <w:uiPriority w:val="99"/>
    <w:rPr>
      <w:rFonts w:ascii="arial ! important" w:hAnsi="arial ! important" w:cs="arial ! important"/>
    </w:rPr>
  </w:style>
  <w:style w:type="character" w:customStyle="1" w:styleId="88">
    <w:name w:val="online2"/>
    <w:basedOn w:val="27"/>
    <w:qFormat/>
    <w:uiPriority w:val="99"/>
    <w:rPr>
      <w:b/>
      <w:bCs/>
      <w:sz w:val="21"/>
      <w:szCs w:val="21"/>
    </w:rPr>
  </w:style>
  <w:style w:type="character" w:customStyle="1" w:styleId="89">
    <w:name w:val="current6"/>
    <w:basedOn w:val="27"/>
    <w:qFormat/>
    <w:uiPriority w:val="99"/>
    <w:rPr>
      <w:color w:val="FFFFFF"/>
      <w:u w:val="none"/>
    </w:rPr>
  </w:style>
  <w:style w:type="character" w:customStyle="1" w:styleId="90">
    <w:name w:val="times4"/>
    <w:basedOn w:val="27"/>
    <w:qFormat/>
    <w:uiPriority w:val="99"/>
    <w:rPr>
      <w:color w:val="auto"/>
      <w:sz w:val="18"/>
      <w:szCs w:val="18"/>
    </w:rPr>
  </w:style>
  <w:style w:type="character" w:customStyle="1" w:styleId="91">
    <w:name w:val="times"/>
    <w:basedOn w:val="27"/>
    <w:qFormat/>
    <w:uiPriority w:val="99"/>
    <w:rPr>
      <w:color w:val="auto"/>
      <w:sz w:val="18"/>
      <w:szCs w:val="18"/>
    </w:rPr>
  </w:style>
  <w:style w:type="character" w:customStyle="1" w:styleId="92">
    <w:name w:val="bds_more4"/>
    <w:basedOn w:val="27"/>
    <w:qFormat/>
    <w:uiPriority w:val="99"/>
    <w:rPr>
      <w:rFonts w:ascii="arial ! important" w:hAnsi="arial ! important" w:cs="arial ! important"/>
    </w:rPr>
  </w:style>
  <w:style w:type="character" w:customStyle="1" w:styleId="93">
    <w:name w:val="i2"/>
    <w:basedOn w:val="27"/>
    <w:qFormat/>
    <w:uiPriority w:val="99"/>
  </w:style>
  <w:style w:type="character" w:customStyle="1" w:styleId="94">
    <w:name w:val="i3"/>
    <w:basedOn w:val="27"/>
    <w:qFormat/>
    <w:uiPriority w:val="99"/>
  </w:style>
  <w:style w:type="character" w:customStyle="1" w:styleId="95">
    <w:name w:val="i4"/>
    <w:basedOn w:val="27"/>
    <w:qFormat/>
    <w:uiPriority w:val="99"/>
  </w:style>
  <w:style w:type="character" w:customStyle="1" w:styleId="96">
    <w:name w:val="i5"/>
    <w:basedOn w:val="27"/>
    <w:qFormat/>
    <w:uiPriority w:val="99"/>
  </w:style>
  <w:style w:type="character" w:customStyle="1" w:styleId="97">
    <w:name w:val="i12"/>
    <w:basedOn w:val="27"/>
    <w:qFormat/>
    <w:uiPriority w:val="99"/>
  </w:style>
  <w:style w:type="character" w:customStyle="1" w:styleId="98">
    <w:name w:val="bds_more1"/>
    <w:basedOn w:val="27"/>
    <w:qFormat/>
    <w:uiPriority w:val="99"/>
    <w:rPr>
      <w:rFonts w:ascii="宋体" w:hAnsi="宋体" w:eastAsia="宋体" w:cs="宋体"/>
    </w:rPr>
  </w:style>
  <w:style w:type="character" w:customStyle="1" w:styleId="99">
    <w:name w:val="bds_more2"/>
    <w:basedOn w:val="27"/>
    <w:qFormat/>
    <w:uiPriority w:val="99"/>
  </w:style>
  <w:style w:type="character" w:customStyle="1" w:styleId="100">
    <w:name w:val="bds_nopic"/>
    <w:basedOn w:val="27"/>
    <w:qFormat/>
    <w:uiPriority w:val="99"/>
  </w:style>
  <w:style w:type="character" w:customStyle="1" w:styleId="101">
    <w:name w:val="bds_nopic1"/>
    <w:basedOn w:val="27"/>
    <w:qFormat/>
    <w:uiPriority w:val="99"/>
  </w:style>
  <w:style w:type="character" w:customStyle="1" w:styleId="102">
    <w:name w:val="bds_nopic2"/>
    <w:basedOn w:val="27"/>
    <w:qFormat/>
    <w:uiPriority w:val="99"/>
  </w:style>
  <w:style w:type="character" w:customStyle="1" w:styleId="103">
    <w:name w:val="cai"/>
    <w:basedOn w:val="27"/>
    <w:qFormat/>
    <w:uiPriority w:val="99"/>
  </w:style>
  <w:style w:type="character" w:customStyle="1" w:styleId="104">
    <w:name w:val="zxpp"/>
    <w:basedOn w:val="27"/>
    <w:qFormat/>
    <w:uiPriority w:val="99"/>
    <w:rPr>
      <w:rFonts w:ascii="微软雅黑" w:hAnsi="微软雅黑" w:eastAsia="微软雅黑" w:cs="微软雅黑"/>
      <w:b/>
      <w:bCs/>
      <w:color w:val="auto"/>
      <w:sz w:val="24"/>
      <w:szCs w:val="24"/>
    </w:rPr>
  </w:style>
  <w:style w:type="character" w:customStyle="1" w:styleId="105">
    <w:name w:val="ding"/>
    <w:basedOn w:val="27"/>
    <w:qFormat/>
    <w:uiPriority w:val="99"/>
  </w:style>
  <w:style w:type="character" w:customStyle="1" w:styleId="106">
    <w:name w:val="zxot"/>
    <w:basedOn w:val="27"/>
    <w:qFormat/>
    <w:uiPriority w:val="99"/>
  </w:style>
  <w:style w:type="paragraph" w:customStyle="1" w:styleId="107">
    <w:name w:val="Char Char Char Char Char Char Char Char Char Char Char Char Char Char1"/>
    <w:basedOn w:val="1"/>
    <w:qFormat/>
    <w:uiPriority w:val="99"/>
    <w:rPr>
      <w:rFonts w:ascii="Tahoma" w:hAnsi="Tahoma" w:cs="Tahoma"/>
      <w:sz w:val="24"/>
      <w:szCs w:val="24"/>
    </w:rPr>
  </w:style>
  <w:style w:type="paragraph" w:customStyle="1" w:styleId="108">
    <w:name w:val="Char Char Char Char Char Char Char Char Char Char Char Char Char Char2"/>
    <w:basedOn w:val="1"/>
    <w:qFormat/>
    <w:uiPriority w:val="99"/>
    <w:rPr>
      <w:rFonts w:ascii="Tahoma" w:hAnsi="Tahoma" w:cs="Tahoma"/>
      <w:sz w:val="24"/>
      <w:szCs w:val="24"/>
    </w:rPr>
  </w:style>
  <w:style w:type="paragraph" w:customStyle="1" w:styleId="109">
    <w:name w:val="Char Char Char Char Char Char Char Char Char Char Char Char Char Char3"/>
    <w:basedOn w:val="1"/>
    <w:qFormat/>
    <w:uiPriority w:val="99"/>
    <w:rPr>
      <w:rFonts w:ascii="Tahoma" w:hAnsi="Tahoma" w:cs="Tahoma"/>
      <w:sz w:val="24"/>
      <w:szCs w:val="24"/>
    </w:rPr>
  </w:style>
  <w:style w:type="paragraph" w:customStyle="1" w:styleId="110">
    <w:name w:val="Char Char Char Char Char Char Char Char Char Char Char Char Char Char4"/>
    <w:basedOn w:val="1"/>
    <w:qFormat/>
    <w:uiPriority w:val="99"/>
    <w:rPr>
      <w:rFonts w:ascii="Tahoma" w:hAnsi="Tahoma" w:cs="Tahoma"/>
      <w:sz w:val="24"/>
      <w:szCs w:val="24"/>
    </w:rPr>
  </w:style>
  <w:style w:type="paragraph" w:customStyle="1" w:styleId="111">
    <w:name w:val="正文（正式）"/>
    <w:basedOn w:val="1"/>
    <w:qFormat/>
    <w:uiPriority w:val="0"/>
    <w:pPr>
      <w:adjustRightInd w:val="0"/>
      <w:snapToGrid w:val="0"/>
      <w:spacing w:line="312" w:lineRule="auto"/>
      <w:ind w:firstLine="200" w:firstLineChars="200"/>
    </w:pPr>
    <w:rPr>
      <w:bCs/>
      <w:sz w:val="24"/>
      <w:szCs w:val="28"/>
    </w:rPr>
  </w:style>
  <w:style w:type="character" w:customStyle="1" w:styleId="112">
    <w:name w:val="标题 4 字符"/>
    <w:basedOn w:val="27"/>
    <w:link w:val="7"/>
    <w:qFormat/>
    <w:uiPriority w:val="0"/>
    <w:rPr>
      <w:rFonts w:asciiTheme="majorHAnsi" w:hAnsiTheme="majorHAnsi" w:eastAsiaTheme="majorEastAsia" w:cstheme="majorBidi"/>
      <w:b/>
      <w:bCs/>
      <w:kern w:val="2"/>
      <w:sz w:val="28"/>
      <w:szCs w:val="28"/>
    </w:rPr>
  </w:style>
  <w:style w:type="character" w:customStyle="1" w:styleId="113">
    <w:name w:val="文档结构图 字符"/>
    <w:basedOn w:val="27"/>
    <w:link w:val="10"/>
    <w:semiHidden/>
    <w:qFormat/>
    <w:uiPriority w:val="99"/>
    <w:rPr>
      <w:rFonts w:ascii="宋体"/>
      <w:kern w:val="2"/>
      <w:sz w:val="18"/>
      <w:szCs w:val="18"/>
    </w:rPr>
  </w:style>
  <w:style w:type="paragraph" w:styleId="114">
    <w:name w:val="List Paragraph"/>
    <w:basedOn w:val="1"/>
    <w:qFormat/>
    <w:uiPriority w:val="34"/>
    <w:pPr>
      <w:ind w:firstLine="420" w:firstLineChars="200"/>
    </w:pPr>
    <w:rPr>
      <w:rFonts w:ascii="Calibri" w:hAnsi="Calibri"/>
      <w:szCs w:val="22"/>
    </w:rPr>
  </w:style>
  <w:style w:type="character" w:customStyle="1" w:styleId="115">
    <w:name w:val="标题 3 Char"/>
    <w:basedOn w:val="27"/>
    <w:link w:val="6"/>
    <w:qFormat/>
    <w:locked/>
    <w:uiPriority w:val="0"/>
    <w:rPr>
      <w:rFonts w:ascii="Cambria" w:hAnsi="Cambria"/>
      <w:b/>
      <w:bCs/>
      <w:sz w:val="26"/>
      <w:szCs w:val="26"/>
    </w:rPr>
  </w:style>
  <w:style w:type="paragraph" w:customStyle="1" w:styleId="116">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4E3187-BB06-43EE-820F-7DB38C469A68}">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41</Pages>
  <Words>3071</Words>
  <Characters>17510</Characters>
  <Lines>145</Lines>
  <Paragraphs>41</Paragraphs>
  <TotalTime>7</TotalTime>
  <ScaleCrop>false</ScaleCrop>
  <LinksUpToDate>false</LinksUpToDate>
  <CharactersWithSpaces>20540</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2018-09-14T05:41:00Z</dcterms:created>
  <dc:creator>微软用户</dc:creator>
  <cp:lastModifiedBy>Administrator</cp:lastModifiedBy>
  <cp:lastPrinted>2020-07-24T04:02:00Z</cp:lastPrinted>
  <dcterms:modified xsi:type="dcterms:W3CDTF">2021-08-12T06:47:33Z</dcterms:modified>
  <dc:title>青海省政府采购</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2E2811BBB9324B5EB14AEF6B1EDC876D</vt:lpwstr>
  </property>
</Properties>
</file>