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utoSpaceDE w:val="0"/>
        <w:autoSpaceDN w:val="0"/>
        <w:adjustRightInd w:val="0"/>
        <w:jc w:val="center"/>
        <w:rPr>
          <w:rFonts w:ascii="宋体" w:cs="宋体"/>
          <w:b/>
          <w:bCs/>
          <w:color w:val="auto"/>
          <w:kern w:val="0"/>
          <w:sz w:val="84"/>
          <w:szCs w:val="84"/>
          <w:highlight w:val="none"/>
          <w:lang w:val="zh-CN"/>
        </w:rPr>
      </w:pPr>
    </w:p>
    <w:p>
      <w:pPr>
        <w:autoSpaceDE w:val="0"/>
        <w:autoSpaceDN w:val="0"/>
        <w:adjustRightInd w:val="0"/>
        <w:jc w:val="center"/>
        <w:rPr>
          <w:rFonts w:ascii="宋体" w:cs="宋体"/>
          <w:b/>
          <w:bCs/>
          <w:color w:val="auto"/>
          <w:kern w:val="0"/>
          <w:sz w:val="84"/>
          <w:szCs w:val="84"/>
          <w:highlight w:val="none"/>
          <w:lang w:val="zh-CN"/>
        </w:rPr>
      </w:pPr>
    </w:p>
    <w:p>
      <w:pPr>
        <w:pStyle w:val="35"/>
        <w:rPr>
          <w:rFonts w:ascii="宋体" w:cs="宋体"/>
          <w:b w:val="0"/>
          <w:bCs w:val="0"/>
          <w:color w:val="auto"/>
          <w:kern w:val="0"/>
          <w:sz w:val="84"/>
          <w:szCs w:val="84"/>
          <w:highlight w:val="none"/>
          <w:lang w:val="zh-CN"/>
        </w:rPr>
      </w:pPr>
    </w:p>
    <w:p>
      <w:pPr>
        <w:rPr>
          <w:color w:val="auto"/>
          <w:highlight w:val="none"/>
          <w:lang w:val="zh-CN"/>
        </w:rPr>
      </w:pPr>
    </w:p>
    <w:p>
      <w:pPr>
        <w:autoSpaceDE w:val="0"/>
        <w:autoSpaceDN w:val="0"/>
        <w:adjustRightInd w:val="0"/>
        <w:jc w:val="center"/>
        <w:rPr>
          <w:rFonts w:ascii="宋体" w:cs="宋体"/>
          <w:b/>
          <w:bCs/>
          <w:color w:val="auto"/>
          <w:kern w:val="0"/>
          <w:sz w:val="84"/>
          <w:szCs w:val="84"/>
          <w:highlight w:val="none"/>
          <w:lang w:val="zh-CN"/>
        </w:rPr>
      </w:pPr>
      <w:r>
        <w:rPr>
          <w:rFonts w:hint="eastAsia" w:ascii="宋体" w:cs="宋体"/>
          <w:b/>
          <w:bCs/>
          <w:color w:val="auto"/>
          <w:kern w:val="0"/>
          <w:sz w:val="84"/>
          <w:szCs w:val="84"/>
          <w:highlight w:val="none"/>
          <w:lang w:val="zh-CN"/>
        </w:rPr>
        <w:t>询 比</w:t>
      </w:r>
      <w:r>
        <w:rPr>
          <w:rFonts w:hint="eastAsia" w:ascii="宋体" w:cs="宋体"/>
          <w:b/>
          <w:bCs/>
          <w:color w:val="auto"/>
          <w:kern w:val="0"/>
          <w:sz w:val="84"/>
          <w:szCs w:val="84"/>
          <w:highlight w:val="none"/>
          <w:lang w:val="en-US" w:eastAsia="zh-CN"/>
        </w:rPr>
        <w:t xml:space="preserve"> </w:t>
      </w:r>
      <w:r>
        <w:rPr>
          <w:rFonts w:hint="eastAsia" w:cs="Calibri"/>
          <w:b/>
          <w:bCs/>
          <w:color w:val="auto"/>
          <w:kern w:val="0"/>
          <w:sz w:val="84"/>
          <w:szCs w:val="84"/>
          <w:highlight w:val="none"/>
        </w:rPr>
        <w:t xml:space="preserve">采 购 </w:t>
      </w:r>
      <w:r>
        <w:rPr>
          <w:rFonts w:hint="eastAsia" w:ascii="宋体" w:cs="宋体"/>
          <w:b/>
          <w:bCs/>
          <w:color w:val="auto"/>
          <w:kern w:val="0"/>
          <w:sz w:val="84"/>
          <w:szCs w:val="84"/>
          <w:highlight w:val="none"/>
          <w:lang w:val="zh-CN"/>
        </w:rPr>
        <w:t>文</w:t>
      </w:r>
      <w:r>
        <w:rPr>
          <w:rFonts w:hint="eastAsia" w:ascii="宋体" w:cs="宋体"/>
          <w:b/>
          <w:bCs/>
          <w:color w:val="auto"/>
          <w:kern w:val="0"/>
          <w:sz w:val="84"/>
          <w:szCs w:val="84"/>
          <w:highlight w:val="none"/>
          <w:lang w:val="en-US" w:eastAsia="zh-CN"/>
        </w:rPr>
        <w:t xml:space="preserve"> </w:t>
      </w:r>
      <w:r>
        <w:rPr>
          <w:rFonts w:hint="eastAsia" w:ascii="宋体" w:cs="宋体"/>
          <w:b/>
          <w:bCs/>
          <w:color w:val="auto"/>
          <w:kern w:val="0"/>
          <w:sz w:val="84"/>
          <w:szCs w:val="84"/>
          <w:highlight w:val="none"/>
          <w:lang w:val="zh-CN"/>
        </w:rPr>
        <w:t>件</w:t>
      </w:r>
    </w:p>
    <w:p>
      <w:pPr>
        <w:pStyle w:val="21"/>
        <w:jc w:val="center"/>
        <w:rPr>
          <w:color w:val="auto"/>
          <w:sz w:val="24"/>
          <w:highlight w:val="none"/>
          <w:lang w:val="zh-CN"/>
        </w:rPr>
      </w:pPr>
    </w:p>
    <w:p>
      <w:pPr>
        <w:autoSpaceDE w:val="0"/>
        <w:autoSpaceDN w:val="0"/>
        <w:adjustRightInd w:val="0"/>
        <w:jc w:val="center"/>
        <w:rPr>
          <w:rFonts w:cs="Calibri"/>
          <w:color w:val="auto"/>
          <w:kern w:val="0"/>
          <w:sz w:val="36"/>
          <w:szCs w:val="36"/>
          <w:highlight w:val="none"/>
        </w:rPr>
      </w:pPr>
    </w:p>
    <w:p>
      <w:pPr>
        <w:autoSpaceDE w:val="0"/>
        <w:autoSpaceDN w:val="0"/>
        <w:adjustRightInd w:val="0"/>
        <w:jc w:val="left"/>
        <w:rPr>
          <w:rFonts w:cs="Calibri"/>
          <w:color w:val="auto"/>
          <w:kern w:val="0"/>
          <w:sz w:val="36"/>
          <w:szCs w:val="36"/>
          <w:highlight w:val="none"/>
        </w:rPr>
      </w:pPr>
    </w:p>
    <w:p>
      <w:pPr>
        <w:autoSpaceDE w:val="0"/>
        <w:autoSpaceDN w:val="0"/>
        <w:adjustRightInd w:val="0"/>
        <w:jc w:val="left"/>
        <w:rPr>
          <w:rFonts w:cs="Calibri"/>
          <w:color w:val="auto"/>
          <w:kern w:val="0"/>
          <w:sz w:val="36"/>
          <w:szCs w:val="36"/>
          <w:highlight w:val="none"/>
        </w:rPr>
      </w:pPr>
    </w:p>
    <w:p>
      <w:pPr>
        <w:rPr>
          <w:color w:val="auto"/>
          <w:highlight w:val="none"/>
        </w:rPr>
      </w:pPr>
    </w:p>
    <w:p>
      <w:pPr>
        <w:autoSpaceDE w:val="0"/>
        <w:autoSpaceDN w:val="0"/>
        <w:adjustRightInd w:val="0"/>
        <w:jc w:val="left"/>
        <w:rPr>
          <w:rFonts w:cs="Calibri"/>
          <w:color w:val="auto"/>
          <w:kern w:val="0"/>
          <w:sz w:val="36"/>
          <w:szCs w:val="36"/>
          <w:highlight w:val="none"/>
        </w:rPr>
      </w:pPr>
    </w:p>
    <w:p>
      <w:pPr>
        <w:widowControl/>
        <w:shd w:val="clear" w:color="auto" w:fill="FFFFFF"/>
        <w:spacing w:line="480" w:lineRule="auto"/>
        <w:ind w:left="1809" w:leftChars="1" w:hanging="1807" w:hangingChars="500"/>
        <w:textAlignment w:val="baseline"/>
        <w:rPr>
          <w:rFonts w:ascii="宋体" w:hAnsi="宋体"/>
          <w:b/>
          <w:bCs/>
          <w:color w:val="auto"/>
          <w:kern w:val="0"/>
          <w:sz w:val="36"/>
          <w:szCs w:val="36"/>
          <w:highlight w:val="none"/>
        </w:rPr>
      </w:pPr>
      <w:r>
        <w:rPr>
          <w:rFonts w:hint="eastAsia" w:ascii="宋体" w:hAnsi="宋体" w:cs="宋体"/>
          <w:b/>
          <w:bCs/>
          <w:color w:val="auto"/>
          <w:kern w:val="0"/>
          <w:sz w:val="36"/>
          <w:szCs w:val="36"/>
          <w:highlight w:val="none"/>
          <w:lang w:val="zh-CN"/>
        </w:rPr>
        <w:t>项目名称</w:t>
      </w:r>
      <w:r>
        <w:rPr>
          <w:rFonts w:ascii="宋体" w:hAnsi="宋体" w:cs="宋体"/>
          <w:b/>
          <w:bCs/>
          <w:color w:val="auto"/>
          <w:kern w:val="0"/>
          <w:sz w:val="36"/>
          <w:szCs w:val="36"/>
          <w:highlight w:val="none"/>
        </w:rPr>
        <w:t>:</w:t>
      </w:r>
      <w:r>
        <w:rPr>
          <w:rFonts w:hint="eastAsia" w:ascii="宋体" w:hAnsi="宋体" w:cs="宋体"/>
          <w:b/>
          <w:bCs/>
          <w:color w:val="auto"/>
          <w:kern w:val="0"/>
          <w:sz w:val="36"/>
          <w:szCs w:val="36"/>
          <w:highlight w:val="none"/>
          <w:lang w:val="en-US" w:eastAsia="zh-CN"/>
        </w:rPr>
        <w:t>乌兰县藜麦深加工设备采购项目</w:t>
      </w:r>
    </w:p>
    <w:p>
      <w:pPr>
        <w:widowControl/>
        <w:shd w:val="clear" w:color="auto" w:fill="FFFFFF"/>
        <w:spacing w:line="480" w:lineRule="auto"/>
        <w:textAlignment w:val="baseline"/>
        <w:rPr>
          <w:rFonts w:hint="eastAsia" w:ascii="宋体" w:hAnsi="宋体" w:eastAsia="宋体" w:cs="宋体"/>
          <w:b/>
          <w:bCs/>
          <w:color w:val="auto"/>
          <w:kern w:val="0"/>
          <w:sz w:val="36"/>
          <w:szCs w:val="36"/>
          <w:highlight w:val="none"/>
          <w:lang w:eastAsia="zh-CN"/>
        </w:rPr>
      </w:pPr>
      <w:r>
        <w:rPr>
          <w:rFonts w:hint="eastAsia" w:ascii="宋体" w:hAnsi="宋体" w:cs="宋体"/>
          <w:b/>
          <w:bCs/>
          <w:color w:val="auto"/>
          <w:kern w:val="0"/>
          <w:sz w:val="36"/>
          <w:szCs w:val="36"/>
          <w:highlight w:val="none"/>
          <w:lang w:val="zh-CN"/>
        </w:rPr>
        <w:t>项目编号:</w:t>
      </w:r>
      <w:r>
        <w:rPr>
          <w:rFonts w:hint="eastAsia" w:ascii="宋体" w:hAnsi="宋体" w:cs="宋体"/>
          <w:b/>
          <w:bCs/>
          <w:color w:val="auto"/>
          <w:kern w:val="0"/>
          <w:sz w:val="36"/>
          <w:szCs w:val="36"/>
          <w:highlight w:val="none"/>
          <w:lang w:val="en-US" w:eastAsia="zh-CN"/>
        </w:rPr>
        <w:t xml:space="preserve"> </w:t>
      </w:r>
      <w:r>
        <w:rPr>
          <w:rFonts w:hint="eastAsia" w:ascii="宋体" w:hAnsi="宋体" w:cs="宋体"/>
          <w:b/>
          <w:bCs/>
          <w:color w:val="auto"/>
          <w:kern w:val="0"/>
          <w:sz w:val="36"/>
          <w:szCs w:val="36"/>
          <w:highlight w:val="none"/>
          <w:lang w:val="zh-CN"/>
        </w:rPr>
        <w:t>QHJX-XBHW-202</w:t>
      </w:r>
      <w:r>
        <w:rPr>
          <w:rFonts w:hint="eastAsia" w:ascii="宋体" w:hAnsi="宋体" w:cs="宋体"/>
          <w:b/>
          <w:bCs/>
          <w:color w:val="auto"/>
          <w:kern w:val="0"/>
          <w:sz w:val="36"/>
          <w:szCs w:val="36"/>
          <w:highlight w:val="none"/>
          <w:lang w:val="en-US" w:eastAsia="zh-CN"/>
        </w:rPr>
        <w:t>2</w:t>
      </w:r>
      <w:r>
        <w:rPr>
          <w:rFonts w:hint="eastAsia" w:ascii="宋体" w:hAnsi="宋体" w:cs="宋体"/>
          <w:b/>
          <w:bCs/>
          <w:color w:val="auto"/>
          <w:kern w:val="0"/>
          <w:sz w:val="36"/>
          <w:szCs w:val="36"/>
          <w:highlight w:val="none"/>
          <w:lang w:val="zh-CN"/>
        </w:rPr>
        <w:t>00</w:t>
      </w:r>
      <w:r>
        <w:rPr>
          <w:rFonts w:hint="eastAsia" w:ascii="宋体" w:hAnsi="宋体" w:cs="宋体"/>
          <w:b/>
          <w:bCs/>
          <w:color w:val="auto"/>
          <w:kern w:val="0"/>
          <w:sz w:val="36"/>
          <w:szCs w:val="36"/>
          <w:highlight w:val="none"/>
          <w:lang w:val="en-US" w:eastAsia="zh-CN"/>
        </w:rPr>
        <w:t>2</w:t>
      </w:r>
    </w:p>
    <w:p>
      <w:pPr>
        <w:spacing w:line="480" w:lineRule="auto"/>
        <w:rPr>
          <w:rFonts w:hint="eastAsia" w:eastAsia="宋体"/>
          <w:color w:val="auto"/>
          <w:highlight w:val="none"/>
          <w:lang w:eastAsia="zh-CN"/>
        </w:rPr>
      </w:pPr>
      <w:r>
        <w:rPr>
          <w:rFonts w:hint="eastAsia" w:ascii="宋体" w:hAnsi="宋体" w:cs="宋体"/>
          <w:b/>
          <w:bCs/>
          <w:color w:val="auto"/>
          <w:kern w:val="0"/>
          <w:sz w:val="36"/>
          <w:szCs w:val="36"/>
          <w:highlight w:val="none"/>
          <w:lang w:val="zh-CN"/>
        </w:rPr>
        <w:t>采 购 人:</w:t>
      </w:r>
      <w:r>
        <w:rPr>
          <w:rFonts w:hint="eastAsia" w:ascii="宋体" w:hAnsi="宋体"/>
          <w:b/>
          <w:bCs/>
          <w:color w:val="auto"/>
          <w:kern w:val="0"/>
          <w:sz w:val="36"/>
          <w:szCs w:val="36"/>
          <w:highlight w:val="none"/>
        </w:rPr>
        <w:t xml:space="preserve"> </w:t>
      </w:r>
      <w:r>
        <w:rPr>
          <w:rFonts w:hint="eastAsia" w:ascii="宋体" w:hAnsi="宋体"/>
          <w:b/>
          <w:bCs/>
          <w:color w:val="auto"/>
          <w:kern w:val="0"/>
          <w:sz w:val="36"/>
          <w:szCs w:val="36"/>
          <w:highlight w:val="none"/>
          <w:lang w:eastAsia="zh-CN"/>
        </w:rPr>
        <w:t xml:space="preserve">乌兰县恒信国有资产投资管理有限公司 </w:t>
      </w:r>
    </w:p>
    <w:p>
      <w:pPr>
        <w:autoSpaceDE w:val="0"/>
        <w:autoSpaceDN w:val="0"/>
        <w:adjustRightInd w:val="0"/>
        <w:spacing w:line="360" w:lineRule="auto"/>
        <w:rPr>
          <w:rFonts w:ascii="宋体" w:hAnsi="宋体" w:cs="Calibri"/>
          <w:b/>
          <w:bCs/>
          <w:color w:val="auto"/>
          <w:kern w:val="0"/>
          <w:sz w:val="36"/>
          <w:szCs w:val="36"/>
          <w:highlight w:val="none"/>
        </w:rPr>
      </w:pPr>
      <w:r>
        <w:rPr>
          <w:rFonts w:hint="eastAsia" w:ascii="宋体" w:hAnsi="宋体" w:cs="宋体"/>
          <w:b/>
          <w:bCs/>
          <w:color w:val="auto"/>
          <w:kern w:val="0"/>
          <w:sz w:val="36"/>
          <w:szCs w:val="36"/>
          <w:highlight w:val="none"/>
          <w:lang w:val="zh-CN"/>
        </w:rPr>
        <w:t>采购代理机构：</w:t>
      </w:r>
      <w:r>
        <w:rPr>
          <w:rFonts w:hint="eastAsia" w:ascii="宋体" w:hAnsi="宋体" w:cs="Calibri"/>
          <w:b/>
          <w:bCs/>
          <w:color w:val="auto"/>
          <w:kern w:val="0"/>
          <w:sz w:val="36"/>
          <w:szCs w:val="36"/>
          <w:highlight w:val="none"/>
        </w:rPr>
        <w:t xml:space="preserve">青海锦翔工程项目管理有限公司 </w:t>
      </w:r>
    </w:p>
    <w:p>
      <w:pPr>
        <w:autoSpaceDE w:val="0"/>
        <w:autoSpaceDN w:val="0"/>
        <w:adjustRightInd w:val="0"/>
        <w:spacing w:line="360" w:lineRule="auto"/>
        <w:rPr>
          <w:rFonts w:ascii="宋体" w:hAnsi="宋体" w:cs="Calibri"/>
          <w:b/>
          <w:bCs/>
          <w:color w:val="auto"/>
          <w:kern w:val="0"/>
          <w:sz w:val="36"/>
          <w:szCs w:val="36"/>
          <w:highlight w:val="none"/>
        </w:rPr>
      </w:pPr>
    </w:p>
    <w:p>
      <w:pPr>
        <w:autoSpaceDE w:val="0"/>
        <w:autoSpaceDN w:val="0"/>
        <w:adjustRightInd w:val="0"/>
        <w:spacing w:line="360" w:lineRule="auto"/>
        <w:jc w:val="center"/>
        <w:rPr>
          <w:rFonts w:hint="eastAsia" w:ascii="宋体" w:hAnsi="宋体" w:cs="Calibri"/>
          <w:b/>
          <w:bCs/>
          <w:color w:val="auto"/>
          <w:kern w:val="0"/>
          <w:sz w:val="36"/>
          <w:szCs w:val="36"/>
          <w:highlight w:val="none"/>
        </w:rPr>
      </w:pPr>
    </w:p>
    <w:p>
      <w:pPr>
        <w:autoSpaceDE w:val="0"/>
        <w:autoSpaceDN w:val="0"/>
        <w:adjustRightInd w:val="0"/>
        <w:spacing w:line="360" w:lineRule="auto"/>
        <w:jc w:val="center"/>
        <w:rPr>
          <w:rFonts w:ascii="宋体" w:hAnsi="宋体" w:cs="Calibri"/>
          <w:b/>
          <w:bCs/>
          <w:color w:val="auto"/>
          <w:kern w:val="0"/>
          <w:sz w:val="36"/>
          <w:szCs w:val="36"/>
          <w:highlight w:val="none"/>
        </w:rPr>
      </w:pPr>
      <w:r>
        <w:rPr>
          <w:rFonts w:ascii="宋体" w:hAnsi="宋体" w:cs="Calibri"/>
          <w:b/>
          <w:bCs/>
          <w:color w:val="auto"/>
          <w:kern w:val="0"/>
          <w:sz w:val="36"/>
          <w:szCs w:val="36"/>
          <w:highlight w:val="none"/>
        </w:rPr>
        <w:t>20</w:t>
      </w:r>
      <w:r>
        <w:rPr>
          <w:rFonts w:hint="eastAsia" w:ascii="宋体" w:hAnsi="宋体" w:cs="Calibri"/>
          <w:b/>
          <w:bCs/>
          <w:color w:val="auto"/>
          <w:kern w:val="0"/>
          <w:sz w:val="36"/>
          <w:szCs w:val="36"/>
          <w:highlight w:val="none"/>
        </w:rPr>
        <w:t>2</w:t>
      </w:r>
      <w:r>
        <w:rPr>
          <w:rFonts w:hint="eastAsia" w:ascii="宋体" w:hAnsi="宋体" w:cs="Calibri"/>
          <w:b/>
          <w:bCs/>
          <w:color w:val="auto"/>
          <w:kern w:val="0"/>
          <w:sz w:val="36"/>
          <w:szCs w:val="36"/>
          <w:highlight w:val="none"/>
          <w:lang w:val="en-US" w:eastAsia="zh-CN"/>
        </w:rPr>
        <w:t>2</w:t>
      </w:r>
      <w:r>
        <w:rPr>
          <w:rFonts w:hint="eastAsia" w:ascii="宋体" w:hAnsi="宋体" w:cs="Calibri"/>
          <w:b/>
          <w:bCs/>
          <w:color w:val="auto"/>
          <w:kern w:val="0"/>
          <w:sz w:val="36"/>
          <w:szCs w:val="36"/>
          <w:highlight w:val="none"/>
        </w:rPr>
        <w:t>年</w:t>
      </w:r>
      <w:r>
        <w:rPr>
          <w:rFonts w:hint="eastAsia" w:ascii="宋体" w:hAnsi="宋体" w:cs="Calibri"/>
          <w:b/>
          <w:bCs/>
          <w:color w:val="auto"/>
          <w:kern w:val="0"/>
          <w:sz w:val="36"/>
          <w:szCs w:val="36"/>
          <w:highlight w:val="none"/>
          <w:lang w:val="en-US" w:eastAsia="zh-CN"/>
        </w:rPr>
        <w:t>5</w:t>
      </w:r>
      <w:r>
        <w:rPr>
          <w:rFonts w:hint="eastAsia" w:ascii="宋体" w:hAnsi="宋体" w:cs="Calibri"/>
          <w:b/>
          <w:bCs/>
          <w:color w:val="auto"/>
          <w:kern w:val="0"/>
          <w:sz w:val="36"/>
          <w:szCs w:val="36"/>
          <w:highlight w:val="none"/>
        </w:rPr>
        <w:t>月</w:t>
      </w:r>
    </w:p>
    <w:p>
      <w:pPr>
        <w:autoSpaceDE w:val="0"/>
        <w:autoSpaceDN w:val="0"/>
        <w:adjustRightInd w:val="0"/>
        <w:jc w:val="center"/>
        <w:rPr>
          <w:rFonts w:ascii="宋体" w:hAnsi="宋体"/>
          <w:b/>
          <w:color w:val="auto"/>
          <w:sz w:val="40"/>
          <w:szCs w:val="30"/>
          <w:highlight w:val="none"/>
        </w:rPr>
        <w:sectPr>
          <w:pgSz w:w="11906" w:h="16838"/>
          <w:pgMar w:top="1440" w:right="1786" w:bottom="1440" w:left="1786" w:header="720" w:footer="720" w:gutter="0"/>
          <w:pgNumType w:start="1"/>
          <w:cols w:space="720" w:num="1"/>
          <w:docGrid w:type="lines" w:linePitch="312" w:charSpace="0"/>
        </w:sectPr>
      </w:pPr>
    </w:p>
    <w:p>
      <w:pPr>
        <w:autoSpaceDE w:val="0"/>
        <w:autoSpaceDN w:val="0"/>
        <w:adjustRightInd w:val="0"/>
        <w:jc w:val="center"/>
        <w:rPr>
          <w:rFonts w:ascii="宋体" w:hAnsi="宋体"/>
          <w:b/>
          <w:color w:val="auto"/>
          <w:sz w:val="40"/>
          <w:szCs w:val="30"/>
          <w:highlight w:val="none"/>
        </w:rPr>
      </w:pPr>
      <w:r>
        <w:rPr>
          <w:rFonts w:hint="eastAsia" w:ascii="宋体" w:hAnsi="宋体"/>
          <w:b/>
          <w:color w:val="auto"/>
          <w:sz w:val="40"/>
          <w:szCs w:val="30"/>
          <w:highlight w:val="none"/>
        </w:rPr>
        <w:t>目  录</w:t>
      </w:r>
    </w:p>
    <w:p>
      <w:pPr>
        <w:pStyle w:val="28"/>
        <w:tabs>
          <w:tab w:val="right" w:leader="dot" w:pos="8334"/>
          <w:tab w:val="clear" w:pos="8630"/>
        </w:tabs>
        <w:rPr>
          <w:color w:val="auto"/>
          <w:highlight w:val="none"/>
        </w:rPr>
      </w:pPr>
      <w:bookmarkStart w:id="0" w:name="_Toc13582290"/>
      <w:bookmarkStart w:id="1" w:name="_Toc10730530"/>
      <w:r>
        <w:rPr>
          <w:color w:val="auto"/>
          <w:szCs w:val="36"/>
          <w:highlight w:val="none"/>
          <w:lang w:val="zh-CN"/>
        </w:rPr>
        <w:fldChar w:fldCharType="begin"/>
      </w:r>
      <w:r>
        <w:rPr>
          <w:color w:val="auto"/>
          <w:szCs w:val="36"/>
          <w:highlight w:val="none"/>
          <w:lang w:val="zh-CN"/>
        </w:rPr>
        <w:instrText xml:space="preserve">TOC \o "1-1" \h \u </w:instrText>
      </w:r>
      <w:r>
        <w:rPr>
          <w:color w:val="auto"/>
          <w:szCs w:val="36"/>
          <w:highlight w:val="none"/>
          <w:lang w:val="zh-CN"/>
        </w:rPr>
        <w:fldChar w:fldCharType="separate"/>
      </w:r>
      <w:r>
        <w:rPr>
          <w:color w:val="auto"/>
          <w:szCs w:val="36"/>
          <w:highlight w:val="none"/>
          <w:lang w:val="zh-CN"/>
        </w:rPr>
        <w:fldChar w:fldCharType="begin"/>
      </w:r>
      <w:r>
        <w:rPr>
          <w:color w:val="auto"/>
          <w:szCs w:val="36"/>
          <w:highlight w:val="none"/>
          <w:lang w:val="zh-CN"/>
        </w:rPr>
        <w:instrText xml:space="preserve"> HYPERLINK \l _Toc22875 </w:instrText>
      </w:r>
      <w:r>
        <w:rPr>
          <w:color w:val="auto"/>
          <w:szCs w:val="36"/>
          <w:highlight w:val="none"/>
          <w:lang w:val="zh-CN"/>
        </w:rPr>
        <w:fldChar w:fldCharType="separate"/>
      </w:r>
      <w:r>
        <w:rPr>
          <w:rFonts w:hint="eastAsia"/>
          <w:color w:val="auto"/>
          <w:szCs w:val="36"/>
          <w:highlight w:val="none"/>
        </w:rPr>
        <w:t>第一部分   询比采购公告</w:t>
      </w:r>
      <w:r>
        <w:rPr>
          <w:color w:val="auto"/>
          <w:highlight w:val="none"/>
        </w:rPr>
        <w:tab/>
      </w:r>
      <w:r>
        <w:rPr>
          <w:color w:val="auto"/>
          <w:highlight w:val="none"/>
        </w:rPr>
        <w:fldChar w:fldCharType="begin"/>
      </w:r>
      <w:r>
        <w:rPr>
          <w:color w:val="auto"/>
          <w:highlight w:val="none"/>
        </w:rPr>
        <w:instrText xml:space="preserve"> PAGEREF _Toc22875 \h </w:instrText>
      </w:r>
      <w:r>
        <w:rPr>
          <w:color w:val="auto"/>
          <w:highlight w:val="none"/>
        </w:rPr>
        <w:fldChar w:fldCharType="separate"/>
      </w:r>
      <w:r>
        <w:rPr>
          <w:color w:val="auto"/>
          <w:highlight w:val="none"/>
        </w:rPr>
        <w:t>1</w:t>
      </w:r>
      <w:r>
        <w:rPr>
          <w:color w:val="auto"/>
          <w:highlight w:val="none"/>
        </w:rPr>
        <w:fldChar w:fldCharType="end"/>
      </w:r>
      <w:r>
        <w:rPr>
          <w:color w:val="auto"/>
          <w:szCs w:val="36"/>
          <w:highlight w:val="none"/>
          <w:lang w:val="zh-CN"/>
        </w:rPr>
        <w:fldChar w:fldCharType="end"/>
      </w:r>
    </w:p>
    <w:p>
      <w:pPr>
        <w:pStyle w:val="28"/>
        <w:tabs>
          <w:tab w:val="right" w:leader="dot" w:pos="8334"/>
          <w:tab w:val="clear" w:pos="8630"/>
        </w:tabs>
        <w:rPr>
          <w:color w:val="auto"/>
          <w:highlight w:val="none"/>
        </w:rPr>
      </w:pPr>
      <w:r>
        <w:rPr>
          <w:color w:val="auto"/>
          <w:szCs w:val="36"/>
          <w:highlight w:val="none"/>
          <w:lang w:val="zh-CN"/>
        </w:rPr>
        <w:fldChar w:fldCharType="begin"/>
      </w:r>
      <w:r>
        <w:rPr>
          <w:color w:val="auto"/>
          <w:szCs w:val="36"/>
          <w:highlight w:val="none"/>
          <w:lang w:val="zh-CN"/>
        </w:rPr>
        <w:instrText xml:space="preserve"> HYPERLINK \l _Toc4933 </w:instrText>
      </w:r>
      <w:r>
        <w:rPr>
          <w:color w:val="auto"/>
          <w:szCs w:val="36"/>
          <w:highlight w:val="none"/>
          <w:lang w:val="zh-CN"/>
        </w:rPr>
        <w:fldChar w:fldCharType="separate"/>
      </w:r>
      <w:r>
        <w:rPr>
          <w:rFonts w:hint="eastAsia"/>
          <w:color w:val="auto"/>
          <w:szCs w:val="36"/>
          <w:highlight w:val="none"/>
          <w:lang w:eastAsia="zh-CN"/>
        </w:rPr>
        <w:t>第二部分</w:t>
      </w:r>
      <w:r>
        <w:rPr>
          <w:rFonts w:hint="eastAsia"/>
          <w:color w:val="auto"/>
          <w:szCs w:val="36"/>
          <w:highlight w:val="none"/>
          <w:lang w:val="en-US" w:eastAsia="zh-CN"/>
        </w:rPr>
        <w:t xml:space="preserve">  供应商须知</w:t>
      </w:r>
      <w:r>
        <w:rPr>
          <w:color w:val="auto"/>
          <w:highlight w:val="none"/>
        </w:rPr>
        <w:tab/>
      </w:r>
      <w:r>
        <w:rPr>
          <w:color w:val="auto"/>
          <w:highlight w:val="none"/>
        </w:rPr>
        <w:fldChar w:fldCharType="begin"/>
      </w:r>
      <w:r>
        <w:rPr>
          <w:color w:val="auto"/>
          <w:highlight w:val="none"/>
        </w:rPr>
        <w:instrText xml:space="preserve"> PAGEREF _Toc4933 \h </w:instrText>
      </w:r>
      <w:r>
        <w:rPr>
          <w:color w:val="auto"/>
          <w:highlight w:val="none"/>
        </w:rPr>
        <w:fldChar w:fldCharType="separate"/>
      </w:r>
      <w:r>
        <w:rPr>
          <w:color w:val="auto"/>
          <w:highlight w:val="none"/>
        </w:rPr>
        <w:t>4</w:t>
      </w:r>
      <w:r>
        <w:rPr>
          <w:color w:val="auto"/>
          <w:highlight w:val="none"/>
        </w:rPr>
        <w:fldChar w:fldCharType="end"/>
      </w:r>
      <w:r>
        <w:rPr>
          <w:color w:val="auto"/>
          <w:szCs w:val="36"/>
          <w:highlight w:val="none"/>
          <w:lang w:val="zh-CN"/>
        </w:rPr>
        <w:fldChar w:fldCharType="end"/>
      </w:r>
    </w:p>
    <w:p>
      <w:pPr>
        <w:pStyle w:val="28"/>
        <w:tabs>
          <w:tab w:val="right" w:leader="dot" w:pos="8334"/>
          <w:tab w:val="clear" w:pos="8630"/>
        </w:tabs>
        <w:rPr>
          <w:color w:val="auto"/>
          <w:highlight w:val="none"/>
        </w:rPr>
      </w:pPr>
      <w:r>
        <w:rPr>
          <w:color w:val="auto"/>
          <w:szCs w:val="36"/>
          <w:highlight w:val="none"/>
          <w:lang w:val="zh-CN"/>
        </w:rPr>
        <w:fldChar w:fldCharType="begin"/>
      </w:r>
      <w:r>
        <w:rPr>
          <w:color w:val="auto"/>
          <w:szCs w:val="36"/>
          <w:highlight w:val="none"/>
          <w:lang w:val="zh-CN"/>
        </w:rPr>
        <w:instrText xml:space="preserve"> HYPERLINK \l _Toc22277 </w:instrText>
      </w:r>
      <w:r>
        <w:rPr>
          <w:color w:val="auto"/>
          <w:szCs w:val="36"/>
          <w:highlight w:val="none"/>
          <w:lang w:val="zh-CN"/>
        </w:rPr>
        <w:fldChar w:fldCharType="separate"/>
      </w:r>
      <w:r>
        <w:rPr>
          <w:rFonts w:hint="eastAsia" w:ascii="Calibri" w:cs="Calibri"/>
          <w:color w:val="auto"/>
          <w:highlight w:val="none"/>
        </w:rPr>
        <w:t>（一）</w:t>
      </w:r>
      <w:r>
        <w:rPr>
          <w:rFonts w:hint="eastAsia"/>
          <w:color w:val="auto"/>
          <w:highlight w:val="none"/>
          <w:lang w:val="zh-CN"/>
        </w:rPr>
        <w:t>供应商须知前附表</w:t>
      </w:r>
      <w:r>
        <w:rPr>
          <w:color w:val="auto"/>
          <w:highlight w:val="none"/>
        </w:rPr>
        <w:tab/>
      </w:r>
      <w:r>
        <w:rPr>
          <w:color w:val="auto"/>
          <w:highlight w:val="none"/>
        </w:rPr>
        <w:fldChar w:fldCharType="begin"/>
      </w:r>
      <w:r>
        <w:rPr>
          <w:color w:val="auto"/>
          <w:highlight w:val="none"/>
        </w:rPr>
        <w:instrText xml:space="preserve"> PAGEREF _Toc22277 \h </w:instrText>
      </w:r>
      <w:r>
        <w:rPr>
          <w:color w:val="auto"/>
          <w:highlight w:val="none"/>
        </w:rPr>
        <w:fldChar w:fldCharType="separate"/>
      </w:r>
      <w:r>
        <w:rPr>
          <w:color w:val="auto"/>
          <w:highlight w:val="none"/>
        </w:rPr>
        <w:t>4</w:t>
      </w:r>
      <w:r>
        <w:rPr>
          <w:color w:val="auto"/>
          <w:highlight w:val="none"/>
        </w:rPr>
        <w:fldChar w:fldCharType="end"/>
      </w:r>
      <w:r>
        <w:rPr>
          <w:color w:val="auto"/>
          <w:szCs w:val="36"/>
          <w:highlight w:val="none"/>
          <w:lang w:val="zh-CN"/>
        </w:rPr>
        <w:fldChar w:fldCharType="end"/>
      </w:r>
    </w:p>
    <w:p>
      <w:pPr>
        <w:pStyle w:val="28"/>
        <w:tabs>
          <w:tab w:val="right" w:leader="dot" w:pos="8334"/>
          <w:tab w:val="clear" w:pos="8630"/>
        </w:tabs>
        <w:rPr>
          <w:color w:val="auto"/>
          <w:highlight w:val="none"/>
        </w:rPr>
      </w:pPr>
      <w:r>
        <w:rPr>
          <w:color w:val="auto"/>
          <w:szCs w:val="36"/>
          <w:highlight w:val="none"/>
          <w:lang w:val="zh-CN"/>
        </w:rPr>
        <w:fldChar w:fldCharType="begin"/>
      </w:r>
      <w:r>
        <w:rPr>
          <w:color w:val="auto"/>
          <w:szCs w:val="36"/>
          <w:highlight w:val="none"/>
          <w:lang w:val="zh-CN"/>
        </w:rPr>
        <w:instrText xml:space="preserve"> HYPERLINK \l _Toc8763 </w:instrText>
      </w:r>
      <w:r>
        <w:rPr>
          <w:color w:val="auto"/>
          <w:szCs w:val="36"/>
          <w:highlight w:val="none"/>
          <w:lang w:val="zh-CN"/>
        </w:rPr>
        <w:fldChar w:fldCharType="separate"/>
      </w:r>
      <w:r>
        <w:rPr>
          <w:rFonts w:hint="eastAsia"/>
          <w:color w:val="auto"/>
          <w:szCs w:val="36"/>
          <w:highlight w:val="none"/>
          <w:lang w:val="zh-CN"/>
        </w:rPr>
        <w:t>（二）供应商须知</w:t>
      </w:r>
      <w:r>
        <w:rPr>
          <w:color w:val="auto"/>
          <w:highlight w:val="none"/>
        </w:rPr>
        <w:tab/>
      </w:r>
      <w:r>
        <w:rPr>
          <w:color w:val="auto"/>
          <w:highlight w:val="none"/>
        </w:rPr>
        <w:fldChar w:fldCharType="begin"/>
      </w:r>
      <w:r>
        <w:rPr>
          <w:color w:val="auto"/>
          <w:highlight w:val="none"/>
        </w:rPr>
        <w:instrText xml:space="preserve"> PAGEREF _Toc8763 \h </w:instrText>
      </w:r>
      <w:r>
        <w:rPr>
          <w:color w:val="auto"/>
          <w:highlight w:val="none"/>
        </w:rPr>
        <w:fldChar w:fldCharType="separate"/>
      </w:r>
      <w:r>
        <w:rPr>
          <w:color w:val="auto"/>
          <w:highlight w:val="none"/>
        </w:rPr>
        <w:t>6</w:t>
      </w:r>
      <w:r>
        <w:rPr>
          <w:color w:val="auto"/>
          <w:highlight w:val="none"/>
        </w:rPr>
        <w:fldChar w:fldCharType="end"/>
      </w:r>
      <w:r>
        <w:rPr>
          <w:color w:val="auto"/>
          <w:szCs w:val="36"/>
          <w:highlight w:val="none"/>
          <w:lang w:val="zh-CN"/>
        </w:rPr>
        <w:fldChar w:fldCharType="end"/>
      </w:r>
    </w:p>
    <w:p>
      <w:pPr>
        <w:pStyle w:val="28"/>
        <w:tabs>
          <w:tab w:val="right" w:leader="dot" w:pos="8334"/>
          <w:tab w:val="clear" w:pos="8630"/>
        </w:tabs>
        <w:rPr>
          <w:color w:val="auto"/>
          <w:highlight w:val="none"/>
        </w:rPr>
      </w:pPr>
      <w:r>
        <w:rPr>
          <w:color w:val="auto"/>
          <w:szCs w:val="36"/>
          <w:highlight w:val="none"/>
          <w:lang w:val="zh-CN"/>
        </w:rPr>
        <w:fldChar w:fldCharType="begin"/>
      </w:r>
      <w:r>
        <w:rPr>
          <w:color w:val="auto"/>
          <w:szCs w:val="36"/>
          <w:highlight w:val="none"/>
          <w:lang w:val="zh-CN"/>
        </w:rPr>
        <w:instrText xml:space="preserve"> HYPERLINK \l _Toc31848 </w:instrText>
      </w:r>
      <w:r>
        <w:rPr>
          <w:color w:val="auto"/>
          <w:szCs w:val="36"/>
          <w:highlight w:val="none"/>
          <w:lang w:val="zh-CN"/>
        </w:rPr>
        <w:fldChar w:fldCharType="separate"/>
      </w:r>
      <w:r>
        <w:rPr>
          <w:rFonts w:hint="eastAsia" w:hAnsi="Calibri"/>
          <w:color w:val="auto"/>
          <w:highlight w:val="none"/>
          <w:lang w:val="zh-CN"/>
        </w:rPr>
        <w:t>一、说</w:t>
      </w:r>
      <w:r>
        <w:rPr>
          <w:rFonts w:hint="eastAsia"/>
          <w:color w:val="auto"/>
          <w:highlight w:val="none"/>
          <w:lang w:val="zh-CN"/>
        </w:rPr>
        <w:t>明</w:t>
      </w:r>
      <w:r>
        <w:rPr>
          <w:color w:val="auto"/>
          <w:highlight w:val="none"/>
        </w:rPr>
        <w:tab/>
      </w:r>
      <w:r>
        <w:rPr>
          <w:color w:val="auto"/>
          <w:highlight w:val="none"/>
        </w:rPr>
        <w:fldChar w:fldCharType="begin"/>
      </w:r>
      <w:r>
        <w:rPr>
          <w:color w:val="auto"/>
          <w:highlight w:val="none"/>
        </w:rPr>
        <w:instrText xml:space="preserve"> PAGEREF _Toc31848 \h </w:instrText>
      </w:r>
      <w:r>
        <w:rPr>
          <w:color w:val="auto"/>
          <w:highlight w:val="none"/>
        </w:rPr>
        <w:fldChar w:fldCharType="separate"/>
      </w:r>
      <w:r>
        <w:rPr>
          <w:color w:val="auto"/>
          <w:highlight w:val="none"/>
        </w:rPr>
        <w:t>6</w:t>
      </w:r>
      <w:r>
        <w:rPr>
          <w:color w:val="auto"/>
          <w:highlight w:val="none"/>
        </w:rPr>
        <w:fldChar w:fldCharType="end"/>
      </w:r>
      <w:r>
        <w:rPr>
          <w:color w:val="auto"/>
          <w:szCs w:val="36"/>
          <w:highlight w:val="none"/>
          <w:lang w:val="zh-CN"/>
        </w:rPr>
        <w:fldChar w:fldCharType="end"/>
      </w:r>
    </w:p>
    <w:p>
      <w:pPr>
        <w:pStyle w:val="28"/>
        <w:tabs>
          <w:tab w:val="right" w:leader="dot" w:pos="8334"/>
          <w:tab w:val="clear" w:pos="8630"/>
        </w:tabs>
        <w:rPr>
          <w:color w:val="auto"/>
          <w:highlight w:val="none"/>
        </w:rPr>
      </w:pPr>
      <w:r>
        <w:rPr>
          <w:color w:val="auto"/>
          <w:szCs w:val="36"/>
          <w:highlight w:val="none"/>
          <w:lang w:val="zh-CN"/>
        </w:rPr>
        <w:fldChar w:fldCharType="begin"/>
      </w:r>
      <w:r>
        <w:rPr>
          <w:color w:val="auto"/>
          <w:szCs w:val="36"/>
          <w:highlight w:val="none"/>
          <w:lang w:val="zh-CN"/>
        </w:rPr>
        <w:instrText xml:space="preserve"> HYPERLINK \l _Toc31974 </w:instrText>
      </w:r>
      <w:r>
        <w:rPr>
          <w:color w:val="auto"/>
          <w:szCs w:val="36"/>
          <w:highlight w:val="none"/>
          <w:lang w:val="zh-CN"/>
        </w:rPr>
        <w:fldChar w:fldCharType="separate"/>
      </w:r>
      <w:r>
        <w:rPr>
          <w:color w:val="auto"/>
          <w:highlight w:val="none"/>
          <w:lang w:val="zh-CN"/>
        </w:rPr>
        <w:t>1.</w:t>
      </w:r>
      <w:r>
        <w:rPr>
          <w:rFonts w:hint="eastAsia"/>
          <w:color w:val="auto"/>
          <w:highlight w:val="none"/>
          <w:lang w:val="zh-CN"/>
        </w:rPr>
        <w:t>适用范围</w:t>
      </w:r>
      <w:r>
        <w:rPr>
          <w:color w:val="auto"/>
          <w:highlight w:val="none"/>
        </w:rPr>
        <w:tab/>
      </w:r>
      <w:r>
        <w:rPr>
          <w:color w:val="auto"/>
          <w:highlight w:val="none"/>
        </w:rPr>
        <w:fldChar w:fldCharType="begin"/>
      </w:r>
      <w:r>
        <w:rPr>
          <w:color w:val="auto"/>
          <w:highlight w:val="none"/>
        </w:rPr>
        <w:instrText xml:space="preserve"> PAGEREF _Toc31974 \h </w:instrText>
      </w:r>
      <w:r>
        <w:rPr>
          <w:color w:val="auto"/>
          <w:highlight w:val="none"/>
        </w:rPr>
        <w:fldChar w:fldCharType="separate"/>
      </w:r>
      <w:r>
        <w:rPr>
          <w:color w:val="auto"/>
          <w:highlight w:val="none"/>
        </w:rPr>
        <w:t>6</w:t>
      </w:r>
      <w:r>
        <w:rPr>
          <w:color w:val="auto"/>
          <w:highlight w:val="none"/>
        </w:rPr>
        <w:fldChar w:fldCharType="end"/>
      </w:r>
      <w:r>
        <w:rPr>
          <w:color w:val="auto"/>
          <w:szCs w:val="36"/>
          <w:highlight w:val="none"/>
          <w:lang w:val="zh-CN"/>
        </w:rPr>
        <w:fldChar w:fldCharType="end"/>
      </w:r>
    </w:p>
    <w:p>
      <w:pPr>
        <w:pStyle w:val="28"/>
        <w:tabs>
          <w:tab w:val="right" w:leader="dot" w:pos="8334"/>
          <w:tab w:val="clear" w:pos="8630"/>
        </w:tabs>
        <w:rPr>
          <w:color w:val="auto"/>
          <w:highlight w:val="none"/>
        </w:rPr>
      </w:pPr>
      <w:r>
        <w:rPr>
          <w:color w:val="auto"/>
          <w:szCs w:val="36"/>
          <w:highlight w:val="none"/>
          <w:lang w:val="zh-CN"/>
        </w:rPr>
        <w:fldChar w:fldCharType="begin"/>
      </w:r>
      <w:r>
        <w:rPr>
          <w:color w:val="auto"/>
          <w:szCs w:val="36"/>
          <w:highlight w:val="none"/>
          <w:lang w:val="zh-CN"/>
        </w:rPr>
        <w:instrText xml:space="preserve"> HYPERLINK \l _Toc18184 </w:instrText>
      </w:r>
      <w:r>
        <w:rPr>
          <w:color w:val="auto"/>
          <w:szCs w:val="36"/>
          <w:highlight w:val="none"/>
          <w:lang w:val="zh-CN"/>
        </w:rPr>
        <w:fldChar w:fldCharType="separate"/>
      </w:r>
      <w:r>
        <w:rPr>
          <w:rFonts w:hint="eastAsia"/>
          <w:color w:val="auto"/>
          <w:highlight w:val="none"/>
          <w:lang w:val="zh-CN"/>
        </w:rPr>
        <w:t>二、询比采购文件说明</w:t>
      </w:r>
      <w:r>
        <w:rPr>
          <w:color w:val="auto"/>
          <w:highlight w:val="none"/>
        </w:rPr>
        <w:tab/>
      </w:r>
      <w:r>
        <w:rPr>
          <w:color w:val="auto"/>
          <w:highlight w:val="none"/>
        </w:rPr>
        <w:fldChar w:fldCharType="begin"/>
      </w:r>
      <w:r>
        <w:rPr>
          <w:color w:val="auto"/>
          <w:highlight w:val="none"/>
        </w:rPr>
        <w:instrText xml:space="preserve"> PAGEREF _Toc18184 \h </w:instrText>
      </w:r>
      <w:r>
        <w:rPr>
          <w:color w:val="auto"/>
          <w:highlight w:val="none"/>
        </w:rPr>
        <w:fldChar w:fldCharType="separate"/>
      </w:r>
      <w:r>
        <w:rPr>
          <w:color w:val="auto"/>
          <w:highlight w:val="none"/>
        </w:rPr>
        <w:t>7</w:t>
      </w:r>
      <w:r>
        <w:rPr>
          <w:color w:val="auto"/>
          <w:highlight w:val="none"/>
        </w:rPr>
        <w:fldChar w:fldCharType="end"/>
      </w:r>
      <w:r>
        <w:rPr>
          <w:color w:val="auto"/>
          <w:szCs w:val="36"/>
          <w:highlight w:val="none"/>
          <w:lang w:val="zh-CN"/>
        </w:rPr>
        <w:fldChar w:fldCharType="end"/>
      </w:r>
    </w:p>
    <w:p>
      <w:pPr>
        <w:pStyle w:val="28"/>
        <w:tabs>
          <w:tab w:val="right" w:leader="dot" w:pos="8334"/>
          <w:tab w:val="clear" w:pos="8630"/>
        </w:tabs>
        <w:rPr>
          <w:color w:val="auto"/>
          <w:highlight w:val="none"/>
        </w:rPr>
      </w:pPr>
      <w:r>
        <w:rPr>
          <w:color w:val="auto"/>
          <w:szCs w:val="36"/>
          <w:highlight w:val="none"/>
          <w:lang w:val="zh-CN"/>
        </w:rPr>
        <w:fldChar w:fldCharType="begin"/>
      </w:r>
      <w:r>
        <w:rPr>
          <w:color w:val="auto"/>
          <w:szCs w:val="36"/>
          <w:highlight w:val="none"/>
          <w:lang w:val="zh-CN"/>
        </w:rPr>
        <w:instrText xml:space="preserve"> HYPERLINK \l _Toc23485 </w:instrText>
      </w:r>
      <w:r>
        <w:rPr>
          <w:color w:val="auto"/>
          <w:szCs w:val="36"/>
          <w:highlight w:val="none"/>
          <w:lang w:val="zh-CN"/>
        </w:rPr>
        <w:fldChar w:fldCharType="separate"/>
      </w:r>
      <w:r>
        <w:rPr>
          <w:color w:val="auto"/>
          <w:highlight w:val="none"/>
          <w:lang w:val="zh-CN"/>
        </w:rPr>
        <w:t>4.</w:t>
      </w:r>
      <w:r>
        <w:rPr>
          <w:rFonts w:hint="eastAsia"/>
          <w:color w:val="auto"/>
          <w:highlight w:val="none"/>
          <w:lang w:val="zh-CN"/>
        </w:rPr>
        <w:t>采购文件的构成</w:t>
      </w:r>
      <w:r>
        <w:rPr>
          <w:color w:val="auto"/>
          <w:highlight w:val="none"/>
        </w:rPr>
        <w:tab/>
      </w:r>
      <w:r>
        <w:rPr>
          <w:color w:val="auto"/>
          <w:highlight w:val="none"/>
        </w:rPr>
        <w:fldChar w:fldCharType="begin"/>
      </w:r>
      <w:r>
        <w:rPr>
          <w:color w:val="auto"/>
          <w:highlight w:val="none"/>
        </w:rPr>
        <w:instrText xml:space="preserve"> PAGEREF _Toc23485 \h </w:instrText>
      </w:r>
      <w:r>
        <w:rPr>
          <w:color w:val="auto"/>
          <w:highlight w:val="none"/>
        </w:rPr>
        <w:fldChar w:fldCharType="separate"/>
      </w:r>
      <w:r>
        <w:rPr>
          <w:color w:val="auto"/>
          <w:highlight w:val="none"/>
        </w:rPr>
        <w:t>7</w:t>
      </w:r>
      <w:r>
        <w:rPr>
          <w:color w:val="auto"/>
          <w:highlight w:val="none"/>
        </w:rPr>
        <w:fldChar w:fldCharType="end"/>
      </w:r>
      <w:r>
        <w:rPr>
          <w:color w:val="auto"/>
          <w:szCs w:val="36"/>
          <w:highlight w:val="none"/>
          <w:lang w:val="zh-CN"/>
        </w:rPr>
        <w:fldChar w:fldCharType="end"/>
      </w:r>
    </w:p>
    <w:p>
      <w:pPr>
        <w:pStyle w:val="28"/>
        <w:tabs>
          <w:tab w:val="right" w:leader="dot" w:pos="8334"/>
          <w:tab w:val="clear" w:pos="8630"/>
        </w:tabs>
        <w:rPr>
          <w:color w:val="auto"/>
          <w:highlight w:val="none"/>
        </w:rPr>
      </w:pPr>
      <w:r>
        <w:rPr>
          <w:color w:val="auto"/>
          <w:szCs w:val="36"/>
          <w:highlight w:val="none"/>
          <w:lang w:val="zh-CN"/>
        </w:rPr>
        <w:fldChar w:fldCharType="begin"/>
      </w:r>
      <w:r>
        <w:rPr>
          <w:color w:val="auto"/>
          <w:szCs w:val="36"/>
          <w:highlight w:val="none"/>
          <w:lang w:val="zh-CN"/>
        </w:rPr>
        <w:instrText xml:space="preserve"> HYPERLINK \l _Toc640 </w:instrText>
      </w:r>
      <w:r>
        <w:rPr>
          <w:color w:val="auto"/>
          <w:szCs w:val="36"/>
          <w:highlight w:val="none"/>
          <w:lang w:val="zh-CN"/>
        </w:rPr>
        <w:fldChar w:fldCharType="separate"/>
      </w:r>
      <w:r>
        <w:rPr>
          <w:rFonts w:hint="eastAsia"/>
          <w:color w:val="auto"/>
          <w:highlight w:val="none"/>
          <w:lang w:val="zh-CN"/>
        </w:rPr>
        <w:t>三、响应文件的编制</w:t>
      </w:r>
      <w:r>
        <w:rPr>
          <w:color w:val="auto"/>
          <w:highlight w:val="none"/>
        </w:rPr>
        <w:tab/>
      </w:r>
      <w:r>
        <w:rPr>
          <w:color w:val="auto"/>
          <w:highlight w:val="none"/>
        </w:rPr>
        <w:fldChar w:fldCharType="begin"/>
      </w:r>
      <w:r>
        <w:rPr>
          <w:color w:val="auto"/>
          <w:highlight w:val="none"/>
        </w:rPr>
        <w:instrText xml:space="preserve"> PAGEREF _Toc640 \h </w:instrText>
      </w:r>
      <w:r>
        <w:rPr>
          <w:color w:val="auto"/>
          <w:highlight w:val="none"/>
        </w:rPr>
        <w:fldChar w:fldCharType="separate"/>
      </w:r>
      <w:r>
        <w:rPr>
          <w:color w:val="auto"/>
          <w:highlight w:val="none"/>
        </w:rPr>
        <w:t>8</w:t>
      </w:r>
      <w:r>
        <w:rPr>
          <w:color w:val="auto"/>
          <w:highlight w:val="none"/>
        </w:rPr>
        <w:fldChar w:fldCharType="end"/>
      </w:r>
      <w:r>
        <w:rPr>
          <w:color w:val="auto"/>
          <w:szCs w:val="36"/>
          <w:highlight w:val="none"/>
          <w:lang w:val="zh-CN"/>
        </w:rPr>
        <w:fldChar w:fldCharType="end"/>
      </w:r>
    </w:p>
    <w:p>
      <w:pPr>
        <w:pStyle w:val="28"/>
        <w:tabs>
          <w:tab w:val="right" w:leader="dot" w:pos="8334"/>
          <w:tab w:val="clear" w:pos="8630"/>
        </w:tabs>
        <w:rPr>
          <w:color w:val="auto"/>
          <w:highlight w:val="none"/>
        </w:rPr>
      </w:pPr>
      <w:r>
        <w:rPr>
          <w:color w:val="auto"/>
          <w:szCs w:val="36"/>
          <w:highlight w:val="none"/>
          <w:lang w:val="zh-CN"/>
        </w:rPr>
        <w:fldChar w:fldCharType="begin"/>
      </w:r>
      <w:r>
        <w:rPr>
          <w:color w:val="auto"/>
          <w:szCs w:val="36"/>
          <w:highlight w:val="none"/>
          <w:lang w:val="zh-CN"/>
        </w:rPr>
        <w:instrText xml:space="preserve"> HYPERLINK \l _Toc25856 </w:instrText>
      </w:r>
      <w:r>
        <w:rPr>
          <w:color w:val="auto"/>
          <w:szCs w:val="36"/>
          <w:highlight w:val="none"/>
          <w:lang w:val="zh-CN"/>
        </w:rPr>
        <w:fldChar w:fldCharType="separate"/>
      </w:r>
      <w:r>
        <w:rPr>
          <w:rFonts w:ascii="宋体" w:hAnsi="宋体"/>
          <w:color w:val="auto"/>
          <w:highlight w:val="none"/>
          <w:lang w:val="zh-CN"/>
        </w:rPr>
        <w:t>7.</w:t>
      </w:r>
      <w:r>
        <w:rPr>
          <w:rFonts w:hint="eastAsia" w:ascii="宋体" w:hAnsi="宋体"/>
          <w:color w:val="auto"/>
          <w:highlight w:val="none"/>
          <w:lang w:val="zh-CN"/>
        </w:rPr>
        <w:t>响应文件的语言及度量衡单位</w:t>
      </w:r>
      <w:r>
        <w:rPr>
          <w:color w:val="auto"/>
          <w:highlight w:val="none"/>
        </w:rPr>
        <w:tab/>
      </w:r>
      <w:r>
        <w:rPr>
          <w:color w:val="auto"/>
          <w:highlight w:val="none"/>
        </w:rPr>
        <w:fldChar w:fldCharType="begin"/>
      </w:r>
      <w:r>
        <w:rPr>
          <w:color w:val="auto"/>
          <w:highlight w:val="none"/>
        </w:rPr>
        <w:instrText xml:space="preserve"> PAGEREF _Toc25856 \h </w:instrText>
      </w:r>
      <w:r>
        <w:rPr>
          <w:color w:val="auto"/>
          <w:highlight w:val="none"/>
        </w:rPr>
        <w:fldChar w:fldCharType="separate"/>
      </w:r>
      <w:r>
        <w:rPr>
          <w:color w:val="auto"/>
          <w:highlight w:val="none"/>
        </w:rPr>
        <w:t>8</w:t>
      </w:r>
      <w:r>
        <w:rPr>
          <w:color w:val="auto"/>
          <w:highlight w:val="none"/>
        </w:rPr>
        <w:fldChar w:fldCharType="end"/>
      </w:r>
      <w:r>
        <w:rPr>
          <w:color w:val="auto"/>
          <w:szCs w:val="36"/>
          <w:highlight w:val="none"/>
          <w:lang w:val="zh-CN"/>
        </w:rPr>
        <w:fldChar w:fldCharType="end"/>
      </w:r>
    </w:p>
    <w:p>
      <w:pPr>
        <w:pStyle w:val="28"/>
        <w:tabs>
          <w:tab w:val="right" w:leader="dot" w:pos="8334"/>
          <w:tab w:val="clear" w:pos="8630"/>
        </w:tabs>
        <w:rPr>
          <w:color w:val="auto"/>
          <w:highlight w:val="none"/>
        </w:rPr>
      </w:pPr>
      <w:r>
        <w:rPr>
          <w:color w:val="auto"/>
          <w:szCs w:val="36"/>
          <w:highlight w:val="none"/>
          <w:lang w:val="zh-CN"/>
        </w:rPr>
        <w:fldChar w:fldCharType="begin"/>
      </w:r>
      <w:r>
        <w:rPr>
          <w:color w:val="auto"/>
          <w:szCs w:val="36"/>
          <w:highlight w:val="none"/>
          <w:lang w:val="zh-CN"/>
        </w:rPr>
        <w:instrText xml:space="preserve"> HYPERLINK \l _Toc26840 </w:instrText>
      </w:r>
      <w:r>
        <w:rPr>
          <w:color w:val="auto"/>
          <w:szCs w:val="36"/>
          <w:highlight w:val="none"/>
          <w:lang w:val="zh-CN"/>
        </w:rPr>
        <w:fldChar w:fldCharType="separate"/>
      </w:r>
      <w:r>
        <w:rPr>
          <w:rFonts w:hint="eastAsia"/>
          <w:color w:val="auto"/>
          <w:highlight w:val="none"/>
          <w:lang w:val="zh-CN"/>
        </w:rPr>
        <w:t>四、响应文件的递交</w:t>
      </w:r>
      <w:r>
        <w:rPr>
          <w:color w:val="auto"/>
          <w:highlight w:val="none"/>
        </w:rPr>
        <w:tab/>
      </w:r>
      <w:r>
        <w:rPr>
          <w:color w:val="auto"/>
          <w:highlight w:val="none"/>
        </w:rPr>
        <w:fldChar w:fldCharType="begin"/>
      </w:r>
      <w:r>
        <w:rPr>
          <w:color w:val="auto"/>
          <w:highlight w:val="none"/>
        </w:rPr>
        <w:instrText xml:space="preserve"> PAGEREF _Toc26840 \h </w:instrText>
      </w:r>
      <w:r>
        <w:rPr>
          <w:color w:val="auto"/>
          <w:highlight w:val="none"/>
        </w:rPr>
        <w:fldChar w:fldCharType="separate"/>
      </w:r>
      <w:r>
        <w:rPr>
          <w:color w:val="auto"/>
          <w:highlight w:val="none"/>
        </w:rPr>
        <w:t>11</w:t>
      </w:r>
      <w:r>
        <w:rPr>
          <w:color w:val="auto"/>
          <w:highlight w:val="none"/>
        </w:rPr>
        <w:fldChar w:fldCharType="end"/>
      </w:r>
      <w:r>
        <w:rPr>
          <w:color w:val="auto"/>
          <w:szCs w:val="36"/>
          <w:highlight w:val="none"/>
          <w:lang w:val="zh-CN"/>
        </w:rPr>
        <w:fldChar w:fldCharType="end"/>
      </w:r>
    </w:p>
    <w:p>
      <w:pPr>
        <w:pStyle w:val="28"/>
        <w:tabs>
          <w:tab w:val="right" w:leader="dot" w:pos="8334"/>
          <w:tab w:val="clear" w:pos="8630"/>
        </w:tabs>
        <w:rPr>
          <w:color w:val="auto"/>
          <w:highlight w:val="none"/>
        </w:rPr>
      </w:pPr>
      <w:r>
        <w:rPr>
          <w:color w:val="auto"/>
          <w:szCs w:val="36"/>
          <w:highlight w:val="none"/>
          <w:lang w:val="zh-CN"/>
        </w:rPr>
        <w:fldChar w:fldCharType="begin"/>
      </w:r>
      <w:r>
        <w:rPr>
          <w:color w:val="auto"/>
          <w:szCs w:val="36"/>
          <w:highlight w:val="none"/>
          <w:lang w:val="zh-CN"/>
        </w:rPr>
        <w:instrText xml:space="preserve"> HYPERLINK \l _Toc3128 </w:instrText>
      </w:r>
      <w:r>
        <w:rPr>
          <w:color w:val="auto"/>
          <w:szCs w:val="36"/>
          <w:highlight w:val="none"/>
          <w:lang w:val="zh-CN"/>
        </w:rPr>
        <w:fldChar w:fldCharType="separate"/>
      </w:r>
      <w:r>
        <w:rPr>
          <w:rFonts w:ascii="宋体" w:hAnsi="宋体"/>
          <w:color w:val="auto"/>
          <w:highlight w:val="none"/>
          <w:lang w:val="zh-CN"/>
        </w:rPr>
        <w:t>1</w:t>
      </w:r>
      <w:r>
        <w:rPr>
          <w:rFonts w:hint="eastAsia" w:ascii="宋体" w:hAnsi="宋体"/>
          <w:color w:val="auto"/>
          <w:highlight w:val="none"/>
          <w:lang w:val="zh-CN"/>
        </w:rPr>
        <w:t>3</w:t>
      </w:r>
      <w:r>
        <w:rPr>
          <w:rFonts w:ascii="宋体" w:hAnsi="宋体"/>
          <w:color w:val="auto"/>
          <w:highlight w:val="none"/>
          <w:lang w:val="zh-CN"/>
        </w:rPr>
        <w:t xml:space="preserve">. </w:t>
      </w:r>
      <w:r>
        <w:rPr>
          <w:rFonts w:hint="eastAsia" w:ascii="宋体" w:hAnsi="宋体"/>
          <w:color w:val="auto"/>
          <w:highlight w:val="none"/>
          <w:lang w:val="zh-CN"/>
        </w:rPr>
        <w:t>响应文件的密封和标记</w:t>
      </w:r>
      <w:r>
        <w:rPr>
          <w:color w:val="auto"/>
          <w:highlight w:val="none"/>
        </w:rPr>
        <w:tab/>
      </w:r>
      <w:r>
        <w:rPr>
          <w:color w:val="auto"/>
          <w:highlight w:val="none"/>
        </w:rPr>
        <w:fldChar w:fldCharType="begin"/>
      </w:r>
      <w:r>
        <w:rPr>
          <w:color w:val="auto"/>
          <w:highlight w:val="none"/>
        </w:rPr>
        <w:instrText xml:space="preserve"> PAGEREF _Toc3128 \h </w:instrText>
      </w:r>
      <w:r>
        <w:rPr>
          <w:color w:val="auto"/>
          <w:highlight w:val="none"/>
        </w:rPr>
        <w:fldChar w:fldCharType="separate"/>
      </w:r>
      <w:r>
        <w:rPr>
          <w:color w:val="auto"/>
          <w:highlight w:val="none"/>
        </w:rPr>
        <w:t>11</w:t>
      </w:r>
      <w:r>
        <w:rPr>
          <w:color w:val="auto"/>
          <w:highlight w:val="none"/>
        </w:rPr>
        <w:fldChar w:fldCharType="end"/>
      </w:r>
      <w:r>
        <w:rPr>
          <w:color w:val="auto"/>
          <w:szCs w:val="36"/>
          <w:highlight w:val="none"/>
          <w:lang w:val="zh-CN"/>
        </w:rPr>
        <w:fldChar w:fldCharType="end"/>
      </w:r>
    </w:p>
    <w:p>
      <w:pPr>
        <w:pStyle w:val="28"/>
        <w:tabs>
          <w:tab w:val="right" w:leader="dot" w:pos="8334"/>
          <w:tab w:val="clear" w:pos="8630"/>
        </w:tabs>
        <w:rPr>
          <w:color w:val="auto"/>
          <w:highlight w:val="none"/>
        </w:rPr>
      </w:pPr>
      <w:r>
        <w:rPr>
          <w:color w:val="auto"/>
          <w:szCs w:val="36"/>
          <w:highlight w:val="none"/>
          <w:lang w:val="zh-CN"/>
        </w:rPr>
        <w:fldChar w:fldCharType="begin"/>
      </w:r>
      <w:r>
        <w:rPr>
          <w:color w:val="auto"/>
          <w:szCs w:val="36"/>
          <w:highlight w:val="none"/>
          <w:lang w:val="zh-CN"/>
        </w:rPr>
        <w:instrText xml:space="preserve"> HYPERLINK \l _Toc17037 </w:instrText>
      </w:r>
      <w:r>
        <w:rPr>
          <w:color w:val="auto"/>
          <w:szCs w:val="36"/>
          <w:highlight w:val="none"/>
          <w:lang w:val="zh-CN"/>
        </w:rPr>
        <w:fldChar w:fldCharType="separate"/>
      </w:r>
      <w:r>
        <w:rPr>
          <w:rFonts w:hint="eastAsia" w:ascii="宋体" w:hAnsi="宋体"/>
          <w:color w:val="auto"/>
          <w:highlight w:val="none"/>
          <w:lang w:val="zh-CN"/>
        </w:rPr>
        <w:t>16.开启响应文件</w:t>
      </w:r>
      <w:r>
        <w:rPr>
          <w:color w:val="auto"/>
          <w:highlight w:val="none"/>
        </w:rPr>
        <w:tab/>
      </w:r>
      <w:r>
        <w:rPr>
          <w:color w:val="auto"/>
          <w:highlight w:val="none"/>
        </w:rPr>
        <w:fldChar w:fldCharType="begin"/>
      </w:r>
      <w:r>
        <w:rPr>
          <w:color w:val="auto"/>
          <w:highlight w:val="none"/>
        </w:rPr>
        <w:instrText xml:space="preserve"> PAGEREF _Toc17037 \h </w:instrText>
      </w:r>
      <w:r>
        <w:rPr>
          <w:color w:val="auto"/>
          <w:highlight w:val="none"/>
        </w:rPr>
        <w:fldChar w:fldCharType="separate"/>
      </w:r>
      <w:r>
        <w:rPr>
          <w:color w:val="auto"/>
          <w:highlight w:val="none"/>
        </w:rPr>
        <w:t>12</w:t>
      </w:r>
      <w:r>
        <w:rPr>
          <w:color w:val="auto"/>
          <w:highlight w:val="none"/>
        </w:rPr>
        <w:fldChar w:fldCharType="end"/>
      </w:r>
      <w:r>
        <w:rPr>
          <w:color w:val="auto"/>
          <w:szCs w:val="36"/>
          <w:highlight w:val="none"/>
          <w:lang w:val="zh-CN"/>
        </w:rPr>
        <w:fldChar w:fldCharType="end"/>
      </w:r>
    </w:p>
    <w:p>
      <w:pPr>
        <w:pStyle w:val="28"/>
        <w:tabs>
          <w:tab w:val="right" w:leader="dot" w:pos="8334"/>
          <w:tab w:val="clear" w:pos="8630"/>
        </w:tabs>
        <w:rPr>
          <w:color w:val="auto"/>
          <w:highlight w:val="none"/>
        </w:rPr>
      </w:pPr>
      <w:r>
        <w:rPr>
          <w:color w:val="auto"/>
          <w:szCs w:val="36"/>
          <w:highlight w:val="none"/>
          <w:lang w:val="zh-CN"/>
        </w:rPr>
        <w:fldChar w:fldCharType="begin"/>
      </w:r>
      <w:r>
        <w:rPr>
          <w:color w:val="auto"/>
          <w:szCs w:val="36"/>
          <w:highlight w:val="none"/>
          <w:lang w:val="zh-CN"/>
        </w:rPr>
        <w:instrText xml:space="preserve"> HYPERLINK \l _Toc30372 </w:instrText>
      </w:r>
      <w:r>
        <w:rPr>
          <w:color w:val="auto"/>
          <w:szCs w:val="36"/>
          <w:highlight w:val="none"/>
          <w:lang w:val="zh-CN"/>
        </w:rPr>
        <w:fldChar w:fldCharType="separate"/>
      </w:r>
      <w:r>
        <w:rPr>
          <w:rFonts w:hint="eastAsia"/>
          <w:color w:val="auto"/>
          <w:highlight w:val="none"/>
          <w:lang w:val="zh-CN"/>
        </w:rPr>
        <w:t>六、确定成交供应商</w:t>
      </w:r>
      <w:r>
        <w:rPr>
          <w:color w:val="auto"/>
          <w:highlight w:val="none"/>
        </w:rPr>
        <w:tab/>
      </w:r>
      <w:r>
        <w:rPr>
          <w:color w:val="auto"/>
          <w:highlight w:val="none"/>
        </w:rPr>
        <w:fldChar w:fldCharType="begin"/>
      </w:r>
      <w:r>
        <w:rPr>
          <w:color w:val="auto"/>
          <w:highlight w:val="none"/>
        </w:rPr>
        <w:instrText xml:space="preserve"> PAGEREF _Toc30372 \h </w:instrText>
      </w:r>
      <w:r>
        <w:rPr>
          <w:color w:val="auto"/>
          <w:highlight w:val="none"/>
        </w:rPr>
        <w:fldChar w:fldCharType="separate"/>
      </w:r>
      <w:r>
        <w:rPr>
          <w:color w:val="auto"/>
          <w:highlight w:val="none"/>
        </w:rPr>
        <w:t>15</w:t>
      </w:r>
      <w:r>
        <w:rPr>
          <w:color w:val="auto"/>
          <w:highlight w:val="none"/>
        </w:rPr>
        <w:fldChar w:fldCharType="end"/>
      </w:r>
      <w:r>
        <w:rPr>
          <w:color w:val="auto"/>
          <w:szCs w:val="36"/>
          <w:highlight w:val="none"/>
          <w:lang w:val="zh-CN"/>
        </w:rPr>
        <w:fldChar w:fldCharType="end"/>
      </w:r>
    </w:p>
    <w:p>
      <w:pPr>
        <w:pStyle w:val="28"/>
        <w:tabs>
          <w:tab w:val="right" w:leader="dot" w:pos="8334"/>
          <w:tab w:val="clear" w:pos="8630"/>
        </w:tabs>
        <w:rPr>
          <w:color w:val="auto"/>
          <w:highlight w:val="none"/>
        </w:rPr>
      </w:pPr>
      <w:r>
        <w:rPr>
          <w:color w:val="auto"/>
          <w:szCs w:val="36"/>
          <w:highlight w:val="none"/>
          <w:lang w:val="zh-CN"/>
        </w:rPr>
        <w:fldChar w:fldCharType="begin"/>
      </w:r>
      <w:r>
        <w:rPr>
          <w:color w:val="auto"/>
          <w:szCs w:val="36"/>
          <w:highlight w:val="none"/>
          <w:lang w:val="zh-CN"/>
        </w:rPr>
        <w:instrText xml:space="preserve"> HYPERLINK \l _Toc27598 </w:instrText>
      </w:r>
      <w:r>
        <w:rPr>
          <w:color w:val="auto"/>
          <w:szCs w:val="36"/>
          <w:highlight w:val="none"/>
          <w:lang w:val="zh-CN"/>
        </w:rPr>
        <w:fldChar w:fldCharType="separate"/>
      </w:r>
      <w:r>
        <w:rPr>
          <w:rFonts w:hint="eastAsia"/>
          <w:color w:val="auto"/>
          <w:highlight w:val="none"/>
          <w:lang w:val="zh-CN"/>
        </w:rPr>
        <w:t>七、签订合同</w:t>
      </w:r>
      <w:r>
        <w:rPr>
          <w:color w:val="auto"/>
          <w:highlight w:val="none"/>
        </w:rPr>
        <w:tab/>
      </w:r>
      <w:r>
        <w:rPr>
          <w:color w:val="auto"/>
          <w:highlight w:val="none"/>
        </w:rPr>
        <w:fldChar w:fldCharType="begin"/>
      </w:r>
      <w:r>
        <w:rPr>
          <w:color w:val="auto"/>
          <w:highlight w:val="none"/>
        </w:rPr>
        <w:instrText xml:space="preserve"> PAGEREF _Toc27598 \h </w:instrText>
      </w:r>
      <w:r>
        <w:rPr>
          <w:color w:val="auto"/>
          <w:highlight w:val="none"/>
        </w:rPr>
        <w:fldChar w:fldCharType="separate"/>
      </w:r>
      <w:r>
        <w:rPr>
          <w:color w:val="auto"/>
          <w:highlight w:val="none"/>
        </w:rPr>
        <w:t>15</w:t>
      </w:r>
      <w:r>
        <w:rPr>
          <w:color w:val="auto"/>
          <w:highlight w:val="none"/>
        </w:rPr>
        <w:fldChar w:fldCharType="end"/>
      </w:r>
      <w:r>
        <w:rPr>
          <w:color w:val="auto"/>
          <w:szCs w:val="36"/>
          <w:highlight w:val="none"/>
          <w:lang w:val="zh-CN"/>
        </w:rPr>
        <w:fldChar w:fldCharType="end"/>
      </w:r>
    </w:p>
    <w:p>
      <w:pPr>
        <w:pStyle w:val="28"/>
        <w:tabs>
          <w:tab w:val="right" w:leader="dot" w:pos="8334"/>
          <w:tab w:val="clear" w:pos="8630"/>
        </w:tabs>
        <w:rPr>
          <w:color w:val="auto"/>
          <w:highlight w:val="none"/>
        </w:rPr>
      </w:pPr>
      <w:r>
        <w:rPr>
          <w:color w:val="auto"/>
          <w:szCs w:val="36"/>
          <w:highlight w:val="none"/>
          <w:lang w:val="zh-CN"/>
        </w:rPr>
        <w:fldChar w:fldCharType="begin"/>
      </w:r>
      <w:r>
        <w:rPr>
          <w:color w:val="auto"/>
          <w:szCs w:val="36"/>
          <w:highlight w:val="none"/>
          <w:lang w:val="zh-CN"/>
        </w:rPr>
        <w:instrText xml:space="preserve"> HYPERLINK \l _Toc21492 </w:instrText>
      </w:r>
      <w:r>
        <w:rPr>
          <w:color w:val="auto"/>
          <w:szCs w:val="36"/>
          <w:highlight w:val="none"/>
          <w:lang w:val="zh-CN"/>
        </w:rPr>
        <w:fldChar w:fldCharType="separate"/>
      </w:r>
      <w:r>
        <w:rPr>
          <w:rFonts w:ascii="宋体" w:hAnsi="宋体"/>
          <w:color w:val="auto"/>
          <w:szCs w:val="24"/>
          <w:highlight w:val="none"/>
          <w:lang w:val="zh-CN"/>
        </w:rPr>
        <w:t>2</w:t>
      </w:r>
      <w:r>
        <w:rPr>
          <w:rFonts w:hint="eastAsia" w:ascii="宋体" w:hAnsi="宋体"/>
          <w:color w:val="auto"/>
          <w:szCs w:val="24"/>
          <w:highlight w:val="none"/>
          <w:lang w:val="zh-CN"/>
        </w:rPr>
        <w:t>2</w:t>
      </w:r>
      <w:r>
        <w:rPr>
          <w:rFonts w:ascii="宋体" w:hAnsi="宋体"/>
          <w:color w:val="auto"/>
          <w:szCs w:val="24"/>
          <w:highlight w:val="none"/>
          <w:lang w:val="zh-CN"/>
        </w:rPr>
        <w:t>.</w:t>
      </w:r>
      <w:r>
        <w:rPr>
          <w:rFonts w:hint="eastAsia" w:ascii="宋体" w:hAnsi="宋体"/>
          <w:color w:val="auto"/>
          <w:szCs w:val="24"/>
          <w:highlight w:val="none"/>
          <w:lang w:val="zh-CN"/>
        </w:rPr>
        <w:t>协助签订合同</w:t>
      </w:r>
      <w:r>
        <w:rPr>
          <w:color w:val="auto"/>
          <w:highlight w:val="none"/>
        </w:rPr>
        <w:tab/>
      </w:r>
      <w:r>
        <w:rPr>
          <w:color w:val="auto"/>
          <w:highlight w:val="none"/>
        </w:rPr>
        <w:fldChar w:fldCharType="begin"/>
      </w:r>
      <w:r>
        <w:rPr>
          <w:color w:val="auto"/>
          <w:highlight w:val="none"/>
        </w:rPr>
        <w:instrText xml:space="preserve"> PAGEREF _Toc21492 \h </w:instrText>
      </w:r>
      <w:r>
        <w:rPr>
          <w:color w:val="auto"/>
          <w:highlight w:val="none"/>
        </w:rPr>
        <w:fldChar w:fldCharType="separate"/>
      </w:r>
      <w:r>
        <w:rPr>
          <w:color w:val="auto"/>
          <w:highlight w:val="none"/>
        </w:rPr>
        <w:t>15</w:t>
      </w:r>
      <w:r>
        <w:rPr>
          <w:color w:val="auto"/>
          <w:highlight w:val="none"/>
        </w:rPr>
        <w:fldChar w:fldCharType="end"/>
      </w:r>
      <w:r>
        <w:rPr>
          <w:color w:val="auto"/>
          <w:szCs w:val="36"/>
          <w:highlight w:val="none"/>
          <w:lang w:val="zh-CN"/>
        </w:rPr>
        <w:fldChar w:fldCharType="end"/>
      </w:r>
    </w:p>
    <w:p>
      <w:pPr>
        <w:pStyle w:val="28"/>
        <w:tabs>
          <w:tab w:val="right" w:leader="dot" w:pos="8334"/>
          <w:tab w:val="clear" w:pos="8630"/>
        </w:tabs>
        <w:rPr>
          <w:color w:val="auto"/>
          <w:highlight w:val="none"/>
        </w:rPr>
      </w:pPr>
      <w:r>
        <w:rPr>
          <w:color w:val="auto"/>
          <w:szCs w:val="36"/>
          <w:highlight w:val="none"/>
          <w:lang w:val="zh-CN"/>
        </w:rPr>
        <w:fldChar w:fldCharType="begin"/>
      </w:r>
      <w:r>
        <w:rPr>
          <w:color w:val="auto"/>
          <w:szCs w:val="36"/>
          <w:highlight w:val="none"/>
          <w:lang w:val="zh-CN"/>
        </w:rPr>
        <w:instrText xml:space="preserve"> HYPERLINK \l _Toc4288 </w:instrText>
      </w:r>
      <w:r>
        <w:rPr>
          <w:color w:val="auto"/>
          <w:szCs w:val="36"/>
          <w:highlight w:val="none"/>
          <w:lang w:val="zh-CN"/>
        </w:rPr>
        <w:fldChar w:fldCharType="separate"/>
      </w:r>
      <w:r>
        <w:rPr>
          <w:rFonts w:hint="eastAsia"/>
          <w:color w:val="auto"/>
          <w:highlight w:val="none"/>
          <w:lang w:val="zh-CN"/>
        </w:rPr>
        <w:t>八、重新采购</w:t>
      </w:r>
      <w:r>
        <w:rPr>
          <w:color w:val="auto"/>
          <w:highlight w:val="none"/>
        </w:rPr>
        <w:tab/>
      </w:r>
      <w:r>
        <w:rPr>
          <w:color w:val="auto"/>
          <w:highlight w:val="none"/>
        </w:rPr>
        <w:fldChar w:fldCharType="begin"/>
      </w:r>
      <w:r>
        <w:rPr>
          <w:color w:val="auto"/>
          <w:highlight w:val="none"/>
        </w:rPr>
        <w:instrText xml:space="preserve"> PAGEREF _Toc4288 \h </w:instrText>
      </w:r>
      <w:r>
        <w:rPr>
          <w:color w:val="auto"/>
          <w:highlight w:val="none"/>
        </w:rPr>
        <w:fldChar w:fldCharType="separate"/>
      </w:r>
      <w:r>
        <w:rPr>
          <w:color w:val="auto"/>
          <w:highlight w:val="none"/>
        </w:rPr>
        <w:t>16</w:t>
      </w:r>
      <w:r>
        <w:rPr>
          <w:color w:val="auto"/>
          <w:highlight w:val="none"/>
        </w:rPr>
        <w:fldChar w:fldCharType="end"/>
      </w:r>
      <w:r>
        <w:rPr>
          <w:color w:val="auto"/>
          <w:szCs w:val="36"/>
          <w:highlight w:val="none"/>
          <w:lang w:val="zh-CN"/>
        </w:rPr>
        <w:fldChar w:fldCharType="end"/>
      </w:r>
    </w:p>
    <w:p>
      <w:pPr>
        <w:pStyle w:val="28"/>
        <w:tabs>
          <w:tab w:val="right" w:leader="dot" w:pos="8334"/>
          <w:tab w:val="clear" w:pos="8630"/>
        </w:tabs>
        <w:rPr>
          <w:color w:val="auto"/>
          <w:highlight w:val="none"/>
        </w:rPr>
      </w:pPr>
      <w:r>
        <w:rPr>
          <w:color w:val="auto"/>
          <w:szCs w:val="36"/>
          <w:highlight w:val="none"/>
          <w:lang w:val="zh-CN"/>
        </w:rPr>
        <w:fldChar w:fldCharType="begin"/>
      </w:r>
      <w:r>
        <w:rPr>
          <w:color w:val="auto"/>
          <w:szCs w:val="36"/>
          <w:highlight w:val="none"/>
          <w:lang w:val="zh-CN"/>
        </w:rPr>
        <w:instrText xml:space="preserve"> HYPERLINK \l _Toc22028 </w:instrText>
      </w:r>
      <w:r>
        <w:rPr>
          <w:color w:val="auto"/>
          <w:szCs w:val="36"/>
          <w:highlight w:val="none"/>
          <w:lang w:val="zh-CN"/>
        </w:rPr>
        <w:fldChar w:fldCharType="separate"/>
      </w:r>
      <w:r>
        <w:rPr>
          <w:rFonts w:ascii="宋体" w:hAnsi="宋体"/>
          <w:color w:val="auto"/>
          <w:szCs w:val="24"/>
          <w:highlight w:val="none"/>
          <w:lang w:val="zh-CN"/>
        </w:rPr>
        <w:t>2</w:t>
      </w:r>
      <w:r>
        <w:rPr>
          <w:rFonts w:hint="eastAsia" w:ascii="宋体" w:hAnsi="宋体"/>
          <w:color w:val="auto"/>
          <w:szCs w:val="24"/>
          <w:highlight w:val="none"/>
          <w:lang w:val="zh-CN"/>
        </w:rPr>
        <w:t>3</w:t>
      </w:r>
      <w:r>
        <w:rPr>
          <w:rFonts w:ascii="宋体" w:hAnsi="宋体"/>
          <w:color w:val="auto"/>
          <w:szCs w:val="24"/>
          <w:highlight w:val="none"/>
          <w:lang w:val="zh-CN"/>
        </w:rPr>
        <w:t xml:space="preserve">. </w:t>
      </w:r>
      <w:r>
        <w:rPr>
          <w:rFonts w:hint="eastAsia" w:ascii="宋体" w:hAnsi="宋体"/>
          <w:color w:val="auto"/>
          <w:szCs w:val="24"/>
          <w:highlight w:val="none"/>
          <w:lang w:val="zh-CN"/>
        </w:rPr>
        <w:t>重新采购情形</w:t>
      </w:r>
      <w:r>
        <w:rPr>
          <w:color w:val="auto"/>
          <w:highlight w:val="none"/>
        </w:rPr>
        <w:tab/>
      </w:r>
      <w:r>
        <w:rPr>
          <w:color w:val="auto"/>
          <w:highlight w:val="none"/>
        </w:rPr>
        <w:fldChar w:fldCharType="begin"/>
      </w:r>
      <w:r>
        <w:rPr>
          <w:color w:val="auto"/>
          <w:highlight w:val="none"/>
        </w:rPr>
        <w:instrText xml:space="preserve"> PAGEREF _Toc22028 \h </w:instrText>
      </w:r>
      <w:r>
        <w:rPr>
          <w:color w:val="auto"/>
          <w:highlight w:val="none"/>
        </w:rPr>
        <w:fldChar w:fldCharType="separate"/>
      </w:r>
      <w:r>
        <w:rPr>
          <w:color w:val="auto"/>
          <w:highlight w:val="none"/>
        </w:rPr>
        <w:t>16</w:t>
      </w:r>
      <w:r>
        <w:rPr>
          <w:color w:val="auto"/>
          <w:highlight w:val="none"/>
        </w:rPr>
        <w:fldChar w:fldCharType="end"/>
      </w:r>
      <w:r>
        <w:rPr>
          <w:color w:val="auto"/>
          <w:szCs w:val="36"/>
          <w:highlight w:val="none"/>
          <w:lang w:val="zh-CN"/>
        </w:rPr>
        <w:fldChar w:fldCharType="end"/>
      </w:r>
    </w:p>
    <w:p>
      <w:pPr>
        <w:pStyle w:val="28"/>
        <w:tabs>
          <w:tab w:val="right" w:leader="dot" w:pos="8334"/>
          <w:tab w:val="clear" w:pos="8630"/>
        </w:tabs>
        <w:rPr>
          <w:color w:val="auto"/>
          <w:highlight w:val="none"/>
        </w:rPr>
      </w:pPr>
      <w:r>
        <w:rPr>
          <w:color w:val="auto"/>
          <w:szCs w:val="36"/>
          <w:highlight w:val="none"/>
          <w:lang w:val="zh-CN"/>
        </w:rPr>
        <w:fldChar w:fldCharType="begin"/>
      </w:r>
      <w:r>
        <w:rPr>
          <w:color w:val="auto"/>
          <w:szCs w:val="36"/>
          <w:highlight w:val="none"/>
          <w:lang w:val="zh-CN"/>
        </w:rPr>
        <w:instrText xml:space="preserve"> HYPERLINK \l _Toc16586 </w:instrText>
      </w:r>
      <w:r>
        <w:rPr>
          <w:color w:val="auto"/>
          <w:szCs w:val="36"/>
          <w:highlight w:val="none"/>
          <w:lang w:val="zh-CN"/>
        </w:rPr>
        <w:fldChar w:fldCharType="separate"/>
      </w:r>
      <w:r>
        <w:rPr>
          <w:rFonts w:hint="eastAsia"/>
          <w:color w:val="auto"/>
          <w:highlight w:val="none"/>
          <w:lang w:val="zh-CN"/>
        </w:rPr>
        <w:t>九、采购代理服务费</w:t>
      </w:r>
      <w:r>
        <w:rPr>
          <w:color w:val="auto"/>
          <w:highlight w:val="none"/>
        </w:rPr>
        <w:tab/>
      </w:r>
      <w:r>
        <w:rPr>
          <w:color w:val="auto"/>
          <w:highlight w:val="none"/>
        </w:rPr>
        <w:fldChar w:fldCharType="begin"/>
      </w:r>
      <w:r>
        <w:rPr>
          <w:color w:val="auto"/>
          <w:highlight w:val="none"/>
        </w:rPr>
        <w:instrText xml:space="preserve"> PAGEREF _Toc16586 \h </w:instrText>
      </w:r>
      <w:r>
        <w:rPr>
          <w:color w:val="auto"/>
          <w:highlight w:val="none"/>
        </w:rPr>
        <w:fldChar w:fldCharType="separate"/>
      </w:r>
      <w:r>
        <w:rPr>
          <w:color w:val="auto"/>
          <w:highlight w:val="none"/>
        </w:rPr>
        <w:t>16</w:t>
      </w:r>
      <w:r>
        <w:rPr>
          <w:color w:val="auto"/>
          <w:highlight w:val="none"/>
        </w:rPr>
        <w:fldChar w:fldCharType="end"/>
      </w:r>
      <w:r>
        <w:rPr>
          <w:color w:val="auto"/>
          <w:szCs w:val="36"/>
          <w:highlight w:val="none"/>
          <w:lang w:val="zh-CN"/>
        </w:rPr>
        <w:fldChar w:fldCharType="end"/>
      </w:r>
    </w:p>
    <w:p>
      <w:pPr>
        <w:pStyle w:val="28"/>
        <w:tabs>
          <w:tab w:val="right" w:leader="dot" w:pos="8334"/>
          <w:tab w:val="clear" w:pos="8630"/>
        </w:tabs>
        <w:rPr>
          <w:color w:val="auto"/>
          <w:highlight w:val="none"/>
        </w:rPr>
      </w:pPr>
      <w:r>
        <w:rPr>
          <w:color w:val="auto"/>
          <w:szCs w:val="36"/>
          <w:highlight w:val="none"/>
          <w:lang w:val="zh-CN"/>
        </w:rPr>
        <w:fldChar w:fldCharType="begin"/>
      </w:r>
      <w:r>
        <w:rPr>
          <w:color w:val="auto"/>
          <w:szCs w:val="36"/>
          <w:highlight w:val="none"/>
          <w:lang w:val="zh-CN"/>
        </w:rPr>
        <w:instrText xml:space="preserve"> HYPERLINK \l _Toc1951 </w:instrText>
      </w:r>
      <w:r>
        <w:rPr>
          <w:color w:val="auto"/>
          <w:szCs w:val="36"/>
          <w:highlight w:val="none"/>
          <w:lang w:val="zh-CN"/>
        </w:rPr>
        <w:fldChar w:fldCharType="separate"/>
      </w:r>
      <w:r>
        <w:rPr>
          <w:rFonts w:hint="eastAsia"/>
          <w:color w:val="auto"/>
          <w:szCs w:val="36"/>
          <w:highlight w:val="none"/>
          <w:lang w:val="en-US" w:eastAsia="zh-CN"/>
        </w:rPr>
        <w:t xml:space="preserve">第三部分  </w:t>
      </w:r>
      <w:r>
        <w:rPr>
          <w:rFonts w:hint="eastAsia"/>
          <w:color w:val="auto"/>
          <w:szCs w:val="36"/>
          <w:highlight w:val="none"/>
          <w:lang w:val="zh-CN" w:eastAsia="zh-CN"/>
        </w:rPr>
        <w:t>评审办法</w:t>
      </w:r>
      <w:r>
        <w:rPr>
          <w:color w:val="auto"/>
          <w:highlight w:val="none"/>
        </w:rPr>
        <w:tab/>
      </w:r>
      <w:r>
        <w:rPr>
          <w:color w:val="auto"/>
          <w:highlight w:val="none"/>
        </w:rPr>
        <w:fldChar w:fldCharType="begin"/>
      </w:r>
      <w:r>
        <w:rPr>
          <w:color w:val="auto"/>
          <w:highlight w:val="none"/>
        </w:rPr>
        <w:instrText xml:space="preserve"> PAGEREF _Toc1951 \h </w:instrText>
      </w:r>
      <w:r>
        <w:rPr>
          <w:color w:val="auto"/>
          <w:highlight w:val="none"/>
        </w:rPr>
        <w:fldChar w:fldCharType="separate"/>
      </w:r>
      <w:r>
        <w:rPr>
          <w:color w:val="auto"/>
          <w:highlight w:val="none"/>
        </w:rPr>
        <w:t>17</w:t>
      </w:r>
      <w:r>
        <w:rPr>
          <w:color w:val="auto"/>
          <w:highlight w:val="none"/>
        </w:rPr>
        <w:fldChar w:fldCharType="end"/>
      </w:r>
      <w:r>
        <w:rPr>
          <w:color w:val="auto"/>
          <w:szCs w:val="36"/>
          <w:highlight w:val="none"/>
          <w:lang w:val="zh-CN"/>
        </w:rPr>
        <w:fldChar w:fldCharType="end"/>
      </w:r>
    </w:p>
    <w:p>
      <w:pPr>
        <w:pStyle w:val="28"/>
        <w:tabs>
          <w:tab w:val="right" w:leader="dot" w:pos="8334"/>
          <w:tab w:val="clear" w:pos="8630"/>
        </w:tabs>
        <w:rPr>
          <w:color w:val="auto"/>
          <w:highlight w:val="none"/>
        </w:rPr>
      </w:pPr>
      <w:r>
        <w:rPr>
          <w:color w:val="auto"/>
          <w:szCs w:val="36"/>
          <w:highlight w:val="none"/>
          <w:lang w:val="zh-CN"/>
        </w:rPr>
        <w:fldChar w:fldCharType="begin"/>
      </w:r>
      <w:r>
        <w:rPr>
          <w:color w:val="auto"/>
          <w:szCs w:val="36"/>
          <w:highlight w:val="none"/>
          <w:lang w:val="zh-CN"/>
        </w:rPr>
        <w:instrText xml:space="preserve"> HYPERLINK \l _Toc2181 </w:instrText>
      </w:r>
      <w:r>
        <w:rPr>
          <w:color w:val="auto"/>
          <w:szCs w:val="36"/>
          <w:highlight w:val="none"/>
          <w:lang w:val="zh-CN"/>
        </w:rPr>
        <w:fldChar w:fldCharType="separate"/>
      </w:r>
      <w:r>
        <w:rPr>
          <w:rFonts w:hint="eastAsia"/>
          <w:color w:val="auto"/>
          <w:szCs w:val="36"/>
          <w:highlight w:val="none"/>
          <w:lang w:val="en-US" w:eastAsia="zh-CN"/>
        </w:rPr>
        <w:t>第四部分  合同条款及格式</w:t>
      </w:r>
      <w:r>
        <w:rPr>
          <w:color w:val="auto"/>
          <w:highlight w:val="none"/>
        </w:rPr>
        <w:tab/>
      </w:r>
      <w:r>
        <w:rPr>
          <w:color w:val="auto"/>
          <w:highlight w:val="none"/>
        </w:rPr>
        <w:fldChar w:fldCharType="begin"/>
      </w:r>
      <w:r>
        <w:rPr>
          <w:color w:val="auto"/>
          <w:highlight w:val="none"/>
        </w:rPr>
        <w:instrText xml:space="preserve"> PAGEREF _Toc2181 \h </w:instrText>
      </w:r>
      <w:r>
        <w:rPr>
          <w:color w:val="auto"/>
          <w:highlight w:val="none"/>
        </w:rPr>
        <w:fldChar w:fldCharType="separate"/>
      </w:r>
      <w:r>
        <w:rPr>
          <w:color w:val="auto"/>
          <w:highlight w:val="none"/>
        </w:rPr>
        <w:t>20</w:t>
      </w:r>
      <w:r>
        <w:rPr>
          <w:color w:val="auto"/>
          <w:highlight w:val="none"/>
        </w:rPr>
        <w:fldChar w:fldCharType="end"/>
      </w:r>
      <w:r>
        <w:rPr>
          <w:color w:val="auto"/>
          <w:szCs w:val="36"/>
          <w:highlight w:val="none"/>
          <w:lang w:val="zh-CN"/>
        </w:rPr>
        <w:fldChar w:fldCharType="end"/>
      </w:r>
    </w:p>
    <w:p>
      <w:pPr>
        <w:pStyle w:val="28"/>
        <w:tabs>
          <w:tab w:val="right" w:leader="dot" w:pos="8334"/>
          <w:tab w:val="clear" w:pos="8630"/>
        </w:tabs>
        <w:rPr>
          <w:color w:val="auto"/>
          <w:szCs w:val="36"/>
          <w:highlight w:val="none"/>
          <w:lang w:val="zh-CN"/>
        </w:rPr>
      </w:pPr>
      <w:r>
        <w:rPr>
          <w:color w:val="auto"/>
          <w:szCs w:val="36"/>
          <w:highlight w:val="none"/>
          <w:lang w:val="zh-CN"/>
        </w:rPr>
        <w:fldChar w:fldCharType="begin"/>
      </w:r>
      <w:r>
        <w:rPr>
          <w:color w:val="auto"/>
          <w:szCs w:val="36"/>
          <w:highlight w:val="none"/>
          <w:lang w:val="zh-CN"/>
        </w:rPr>
        <w:instrText xml:space="preserve"> HYPERLINK \l _Toc6914 </w:instrText>
      </w:r>
      <w:r>
        <w:rPr>
          <w:color w:val="auto"/>
          <w:szCs w:val="36"/>
          <w:highlight w:val="none"/>
          <w:lang w:val="zh-CN"/>
        </w:rPr>
        <w:fldChar w:fldCharType="separate"/>
      </w:r>
      <w:r>
        <w:rPr>
          <w:rFonts w:hint="eastAsia"/>
          <w:color w:val="auto"/>
          <w:szCs w:val="36"/>
          <w:highlight w:val="none"/>
          <w:lang w:val="en-US" w:eastAsia="zh-CN"/>
        </w:rPr>
        <w:t>第五部分 采购人要求</w:t>
      </w:r>
      <w:r>
        <w:rPr>
          <w:color w:val="auto"/>
          <w:highlight w:val="none"/>
        </w:rPr>
        <w:tab/>
      </w:r>
      <w:r>
        <w:rPr>
          <w:color w:val="auto"/>
          <w:highlight w:val="none"/>
        </w:rPr>
        <w:fldChar w:fldCharType="begin"/>
      </w:r>
      <w:r>
        <w:rPr>
          <w:color w:val="auto"/>
          <w:highlight w:val="none"/>
        </w:rPr>
        <w:instrText xml:space="preserve"> PAGEREF _Toc6914 \h </w:instrText>
      </w:r>
      <w:r>
        <w:rPr>
          <w:color w:val="auto"/>
          <w:highlight w:val="none"/>
        </w:rPr>
        <w:fldChar w:fldCharType="separate"/>
      </w:r>
      <w:r>
        <w:rPr>
          <w:color w:val="auto"/>
          <w:highlight w:val="none"/>
        </w:rPr>
        <w:t>64</w:t>
      </w:r>
      <w:r>
        <w:rPr>
          <w:color w:val="auto"/>
          <w:highlight w:val="none"/>
        </w:rPr>
        <w:fldChar w:fldCharType="end"/>
      </w:r>
      <w:r>
        <w:rPr>
          <w:color w:val="auto"/>
          <w:szCs w:val="36"/>
          <w:highlight w:val="none"/>
          <w:lang w:val="zh-CN"/>
        </w:rPr>
        <w:fldChar w:fldCharType="end"/>
      </w:r>
    </w:p>
    <w:p>
      <w:pPr>
        <w:pStyle w:val="28"/>
        <w:tabs>
          <w:tab w:val="right" w:leader="dot" w:pos="8334"/>
          <w:tab w:val="clear" w:pos="8630"/>
        </w:tabs>
        <w:rPr>
          <w:rFonts w:hint="eastAsia" w:eastAsia="宋体"/>
          <w:color w:val="auto"/>
          <w:highlight w:val="none"/>
          <w:lang w:val="en-US" w:eastAsia="zh-CN"/>
        </w:rPr>
      </w:pPr>
      <w:r>
        <w:rPr>
          <w:color w:val="auto"/>
          <w:szCs w:val="36"/>
          <w:highlight w:val="none"/>
          <w:lang w:val="zh-CN"/>
        </w:rPr>
        <w:fldChar w:fldCharType="begin"/>
      </w:r>
      <w:r>
        <w:rPr>
          <w:color w:val="auto"/>
          <w:szCs w:val="36"/>
          <w:highlight w:val="none"/>
          <w:lang w:val="zh-CN"/>
        </w:rPr>
        <w:instrText xml:space="preserve"> HYPERLINK \l _Toc6914 </w:instrText>
      </w:r>
      <w:r>
        <w:rPr>
          <w:color w:val="auto"/>
          <w:szCs w:val="36"/>
          <w:highlight w:val="none"/>
          <w:lang w:val="zh-CN"/>
        </w:rPr>
        <w:fldChar w:fldCharType="separate"/>
      </w:r>
      <w:r>
        <w:rPr>
          <w:rFonts w:hint="eastAsia"/>
          <w:color w:val="auto"/>
          <w:szCs w:val="36"/>
          <w:highlight w:val="none"/>
          <w:lang w:val="en-US" w:eastAsia="zh-CN"/>
        </w:rPr>
        <w:t>第六部分 响应文件格式</w:t>
      </w:r>
      <w:r>
        <w:rPr>
          <w:color w:val="auto"/>
          <w:highlight w:val="none"/>
        </w:rPr>
        <w:tab/>
      </w:r>
      <w:r>
        <w:rPr>
          <w:rFonts w:hint="eastAsia"/>
          <w:color w:val="auto"/>
          <w:highlight w:val="none"/>
          <w:lang w:val="en-US" w:eastAsia="zh-CN"/>
        </w:rPr>
        <w:t>7</w:t>
      </w:r>
      <w:r>
        <w:rPr>
          <w:color w:val="auto"/>
          <w:szCs w:val="36"/>
          <w:highlight w:val="none"/>
          <w:lang w:val="zh-CN"/>
        </w:rPr>
        <w:fldChar w:fldCharType="end"/>
      </w:r>
      <w:r>
        <w:rPr>
          <w:rFonts w:hint="eastAsia"/>
          <w:color w:val="auto"/>
          <w:szCs w:val="36"/>
          <w:highlight w:val="none"/>
          <w:lang w:val="en-US" w:eastAsia="zh-CN"/>
        </w:rPr>
        <w:t>1</w:t>
      </w:r>
    </w:p>
    <w:p>
      <w:pPr>
        <w:pStyle w:val="28"/>
        <w:tabs>
          <w:tab w:val="right" w:leader="dot" w:pos="8334"/>
          <w:tab w:val="clear" w:pos="8630"/>
        </w:tabs>
        <w:rPr>
          <w:color w:val="auto"/>
          <w:highlight w:val="none"/>
        </w:rPr>
      </w:pPr>
      <w:r>
        <w:rPr>
          <w:color w:val="auto"/>
          <w:szCs w:val="36"/>
          <w:highlight w:val="none"/>
          <w:lang w:val="zh-CN"/>
        </w:rPr>
        <w:fldChar w:fldCharType="begin"/>
      </w:r>
      <w:r>
        <w:rPr>
          <w:color w:val="auto"/>
          <w:szCs w:val="36"/>
          <w:highlight w:val="none"/>
          <w:lang w:val="zh-CN"/>
        </w:rPr>
        <w:instrText xml:space="preserve"> HYPERLINK \l _Toc9334 </w:instrText>
      </w:r>
      <w:r>
        <w:rPr>
          <w:color w:val="auto"/>
          <w:szCs w:val="36"/>
          <w:highlight w:val="none"/>
          <w:lang w:val="zh-CN"/>
        </w:rPr>
        <w:fldChar w:fldCharType="separate"/>
      </w:r>
      <w:r>
        <w:rPr>
          <w:rFonts w:hint="eastAsia" w:ascii="宋体" w:hAnsi="宋体"/>
          <w:color w:val="auto"/>
          <w:highlight w:val="none"/>
          <w:lang w:val="zh-CN"/>
        </w:rPr>
        <w:t>格式</w:t>
      </w:r>
      <w:r>
        <w:rPr>
          <w:rFonts w:ascii="宋体" w:hAnsi="宋体" w:cs="Cambria"/>
          <w:color w:val="auto"/>
          <w:highlight w:val="none"/>
        </w:rPr>
        <w:t>1</w:t>
      </w:r>
      <w:r>
        <w:rPr>
          <w:rFonts w:hint="eastAsia" w:ascii="宋体" w:hAnsi="宋体"/>
          <w:color w:val="auto"/>
          <w:highlight w:val="none"/>
          <w:lang w:val="zh-CN"/>
        </w:rPr>
        <w:t>：响应文件封面</w:t>
      </w:r>
      <w:r>
        <w:rPr>
          <w:color w:val="auto"/>
          <w:highlight w:val="none"/>
        </w:rPr>
        <w:tab/>
      </w:r>
      <w:r>
        <w:rPr>
          <w:color w:val="auto"/>
          <w:highlight w:val="none"/>
        </w:rPr>
        <w:fldChar w:fldCharType="begin"/>
      </w:r>
      <w:r>
        <w:rPr>
          <w:color w:val="auto"/>
          <w:highlight w:val="none"/>
        </w:rPr>
        <w:instrText xml:space="preserve"> PAGEREF _Toc9334 \h </w:instrText>
      </w:r>
      <w:r>
        <w:rPr>
          <w:color w:val="auto"/>
          <w:highlight w:val="none"/>
        </w:rPr>
        <w:fldChar w:fldCharType="separate"/>
      </w:r>
      <w:r>
        <w:rPr>
          <w:color w:val="auto"/>
          <w:highlight w:val="none"/>
        </w:rPr>
        <w:t>71</w:t>
      </w:r>
      <w:r>
        <w:rPr>
          <w:color w:val="auto"/>
          <w:highlight w:val="none"/>
        </w:rPr>
        <w:fldChar w:fldCharType="end"/>
      </w:r>
      <w:r>
        <w:rPr>
          <w:color w:val="auto"/>
          <w:szCs w:val="36"/>
          <w:highlight w:val="none"/>
          <w:lang w:val="zh-CN"/>
        </w:rPr>
        <w:fldChar w:fldCharType="end"/>
      </w:r>
    </w:p>
    <w:p>
      <w:pPr>
        <w:pStyle w:val="28"/>
        <w:tabs>
          <w:tab w:val="right" w:leader="dot" w:pos="8334"/>
          <w:tab w:val="clear" w:pos="8630"/>
        </w:tabs>
        <w:rPr>
          <w:color w:val="auto"/>
          <w:highlight w:val="none"/>
        </w:rPr>
      </w:pPr>
      <w:r>
        <w:rPr>
          <w:color w:val="auto"/>
          <w:szCs w:val="36"/>
          <w:highlight w:val="none"/>
          <w:lang w:val="zh-CN"/>
        </w:rPr>
        <w:fldChar w:fldCharType="begin"/>
      </w:r>
      <w:r>
        <w:rPr>
          <w:color w:val="auto"/>
          <w:szCs w:val="36"/>
          <w:highlight w:val="none"/>
          <w:lang w:val="zh-CN"/>
        </w:rPr>
        <w:instrText xml:space="preserve"> HYPERLINK \l _Toc32607 </w:instrText>
      </w:r>
      <w:r>
        <w:rPr>
          <w:color w:val="auto"/>
          <w:szCs w:val="36"/>
          <w:highlight w:val="none"/>
          <w:lang w:val="zh-CN"/>
        </w:rPr>
        <w:fldChar w:fldCharType="separate"/>
      </w:r>
      <w:r>
        <w:rPr>
          <w:rFonts w:hint="eastAsia" w:ascii="宋体" w:hAnsi="宋体"/>
          <w:color w:val="auto"/>
          <w:highlight w:val="none"/>
          <w:lang w:val="zh-CN"/>
        </w:rPr>
        <w:t>格式</w:t>
      </w:r>
      <w:r>
        <w:rPr>
          <w:rFonts w:ascii="宋体" w:hAnsi="宋体" w:cs="Cambria"/>
          <w:color w:val="auto"/>
          <w:highlight w:val="none"/>
        </w:rPr>
        <w:t>2</w:t>
      </w:r>
      <w:r>
        <w:rPr>
          <w:rFonts w:hint="eastAsia" w:ascii="宋体" w:hAnsi="宋体"/>
          <w:color w:val="auto"/>
          <w:highlight w:val="none"/>
          <w:lang w:val="zh-CN"/>
        </w:rPr>
        <w:t>：响应文件目录</w:t>
      </w:r>
      <w:r>
        <w:rPr>
          <w:color w:val="auto"/>
          <w:highlight w:val="none"/>
        </w:rPr>
        <w:tab/>
      </w:r>
      <w:r>
        <w:rPr>
          <w:color w:val="auto"/>
          <w:highlight w:val="none"/>
        </w:rPr>
        <w:fldChar w:fldCharType="begin"/>
      </w:r>
      <w:r>
        <w:rPr>
          <w:color w:val="auto"/>
          <w:highlight w:val="none"/>
        </w:rPr>
        <w:instrText xml:space="preserve"> PAGEREF _Toc32607 \h </w:instrText>
      </w:r>
      <w:r>
        <w:rPr>
          <w:color w:val="auto"/>
          <w:highlight w:val="none"/>
        </w:rPr>
        <w:fldChar w:fldCharType="separate"/>
      </w:r>
      <w:r>
        <w:rPr>
          <w:color w:val="auto"/>
          <w:highlight w:val="none"/>
        </w:rPr>
        <w:t>72</w:t>
      </w:r>
      <w:r>
        <w:rPr>
          <w:color w:val="auto"/>
          <w:highlight w:val="none"/>
        </w:rPr>
        <w:fldChar w:fldCharType="end"/>
      </w:r>
      <w:r>
        <w:rPr>
          <w:color w:val="auto"/>
          <w:szCs w:val="36"/>
          <w:highlight w:val="none"/>
          <w:lang w:val="zh-CN"/>
        </w:rPr>
        <w:fldChar w:fldCharType="end"/>
      </w:r>
    </w:p>
    <w:p>
      <w:pPr>
        <w:pStyle w:val="28"/>
        <w:tabs>
          <w:tab w:val="right" w:leader="dot" w:pos="8334"/>
          <w:tab w:val="clear" w:pos="8630"/>
        </w:tabs>
        <w:rPr>
          <w:color w:val="auto"/>
          <w:highlight w:val="none"/>
        </w:rPr>
      </w:pPr>
      <w:r>
        <w:rPr>
          <w:color w:val="auto"/>
          <w:szCs w:val="36"/>
          <w:highlight w:val="none"/>
          <w:lang w:val="zh-CN"/>
        </w:rPr>
        <w:fldChar w:fldCharType="begin"/>
      </w:r>
      <w:r>
        <w:rPr>
          <w:color w:val="auto"/>
          <w:szCs w:val="36"/>
          <w:highlight w:val="none"/>
          <w:lang w:val="zh-CN"/>
        </w:rPr>
        <w:instrText xml:space="preserve"> HYPERLINK \l _Toc11753 </w:instrText>
      </w:r>
      <w:r>
        <w:rPr>
          <w:color w:val="auto"/>
          <w:szCs w:val="36"/>
          <w:highlight w:val="none"/>
          <w:lang w:val="zh-CN"/>
        </w:rPr>
        <w:fldChar w:fldCharType="separate"/>
      </w:r>
      <w:r>
        <w:rPr>
          <w:rFonts w:hint="eastAsia" w:ascii="宋体" w:hAnsi="宋体"/>
          <w:color w:val="auto"/>
          <w:highlight w:val="none"/>
          <w:lang w:val="zh-CN"/>
        </w:rPr>
        <w:t>格式</w:t>
      </w:r>
      <w:r>
        <w:rPr>
          <w:rFonts w:hint="eastAsia" w:ascii="宋体" w:hAnsi="宋体"/>
          <w:color w:val="auto"/>
          <w:highlight w:val="none"/>
        </w:rPr>
        <w:t>3</w:t>
      </w:r>
      <w:r>
        <w:rPr>
          <w:rFonts w:hint="eastAsia" w:ascii="宋体" w:hAnsi="宋体"/>
          <w:color w:val="auto"/>
          <w:highlight w:val="none"/>
          <w:lang w:val="zh-CN"/>
        </w:rPr>
        <w:t>：响 应函</w:t>
      </w:r>
      <w:r>
        <w:rPr>
          <w:color w:val="auto"/>
          <w:highlight w:val="none"/>
        </w:rPr>
        <w:tab/>
      </w:r>
      <w:r>
        <w:rPr>
          <w:color w:val="auto"/>
          <w:highlight w:val="none"/>
        </w:rPr>
        <w:fldChar w:fldCharType="begin"/>
      </w:r>
      <w:r>
        <w:rPr>
          <w:color w:val="auto"/>
          <w:highlight w:val="none"/>
        </w:rPr>
        <w:instrText xml:space="preserve"> PAGEREF _Toc11753 \h </w:instrText>
      </w:r>
      <w:r>
        <w:rPr>
          <w:color w:val="auto"/>
          <w:highlight w:val="none"/>
        </w:rPr>
        <w:fldChar w:fldCharType="separate"/>
      </w:r>
      <w:r>
        <w:rPr>
          <w:color w:val="auto"/>
          <w:highlight w:val="none"/>
        </w:rPr>
        <w:t>73</w:t>
      </w:r>
      <w:r>
        <w:rPr>
          <w:color w:val="auto"/>
          <w:highlight w:val="none"/>
        </w:rPr>
        <w:fldChar w:fldCharType="end"/>
      </w:r>
      <w:r>
        <w:rPr>
          <w:color w:val="auto"/>
          <w:szCs w:val="36"/>
          <w:highlight w:val="none"/>
          <w:lang w:val="zh-CN"/>
        </w:rPr>
        <w:fldChar w:fldCharType="end"/>
      </w:r>
    </w:p>
    <w:p>
      <w:pPr>
        <w:pStyle w:val="28"/>
        <w:tabs>
          <w:tab w:val="right" w:leader="dot" w:pos="8334"/>
          <w:tab w:val="clear" w:pos="8630"/>
        </w:tabs>
        <w:rPr>
          <w:color w:val="auto"/>
          <w:highlight w:val="none"/>
        </w:rPr>
      </w:pPr>
      <w:r>
        <w:rPr>
          <w:color w:val="auto"/>
          <w:szCs w:val="36"/>
          <w:highlight w:val="none"/>
          <w:lang w:val="zh-CN"/>
        </w:rPr>
        <w:fldChar w:fldCharType="begin"/>
      </w:r>
      <w:r>
        <w:rPr>
          <w:color w:val="auto"/>
          <w:szCs w:val="36"/>
          <w:highlight w:val="none"/>
          <w:lang w:val="zh-CN"/>
        </w:rPr>
        <w:instrText xml:space="preserve"> HYPERLINK \l _Toc426 </w:instrText>
      </w:r>
      <w:r>
        <w:rPr>
          <w:color w:val="auto"/>
          <w:szCs w:val="36"/>
          <w:highlight w:val="none"/>
          <w:lang w:val="zh-CN"/>
        </w:rPr>
        <w:fldChar w:fldCharType="separate"/>
      </w:r>
      <w:r>
        <w:rPr>
          <w:rFonts w:hint="eastAsia" w:ascii="宋体" w:hAnsi="宋体"/>
          <w:color w:val="auto"/>
          <w:highlight w:val="none"/>
          <w:lang w:val="zh-CN"/>
        </w:rPr>
        <w:t>格式</w:t>
      </w:r>
      <w:r>
        <w:rPr>
          <w:rFonts w:hint="eastAsia" w:ascii="宋体" w:hAnsi="宋体"/>
          <w:color w:val="auto"/>
          <w:highlight w:val="none"/>
        </w:rPr>
        <w:t>4</w:t>
      </w:r>
      <w:r>
        <w:rPr>
          <w:rFonts w:hint="eastAsia" w:ascii="宋体" w:hAnsi="宋体"/>
          <w:color w:val="auto"/>
          <w:highlight w:val="none"/>
          <w:lang w:val="zh-CN"/>
        </w:rPr>
        <w:t>：法定代表人证明书</w:t>
      </w:r>
      <w:r>
        <w:rPr>
          <w:color w:val="auto"/>
          <w:highlight w:val="none"/>
        </w:rPr>
        <w:tab/>
      </w:r>
      <w:r>
        <w:rPr>
          <w:color w:val="auto"/>
          <w:highlight w:val="none"/>
        </w:rPr>
        <w:fldChar w:fldCharType="begin"/>
      </w:r>
      <w:r>
        <w:rPr>
          <w:color w:val="auto"/>
          <w:highlight w:val="none"/>
        </w:rPr>
        <w:instrText xml:space="preserve"> PAGEREF _Toc426 \h </w:instrText>
      </w:r>
      <w:r>
        <w:rPr>
          <w:color w:val="auto"/>
          <w:highlight w:val="none"/>
        </w:rPr>
        <w:fldChar w:fldCharType="separate"/>
      </w:r>
      <w:r>
        <w:rPr>
          <w:color w:val="auto"/>
          <w:highlight w:val="none"/>
        </w:rPr>
        <w:t>74</w:t>
      </w:r>
      <w:r>
        <w:rPr>
          <w:color w:val="auto"/>
          <w:highlight w:val="none"/>
        </w:rPr>
        <w:fldChar w:fldCharType="end"/>
      </w:r>
      <w:r>
        <w:rPr>
          <w:color w:val="auto"/>
          <w:szCs w:val="36"/>
          <w:highlight w:val="none"/>
          <w:lang w:val="zh-CN"/>
        </w:rPr>
        <w:fldChar w:fldCharType="end"/>
      </w:r>
    </w:p>
    <w:p>
      <w:pPr>
        <w:pStyle w:val="28"/>
        <w:tabs>
          <w:tab w:val="right" w:leader="dot" w:pos="8334"/>
          <w:tab w:val="clear" w:pos="8630"/>
        </w:tabs>
        <w:rPr>
          <w:color w:val="auto"/>
          <w:highlight w:val="none"/>
        </w:rPr>
      </w:pPr>
      <w:r>
        <w:rPr>
          <w:color w:val="auto"/>
          <w:szCs w:val="36"/>
          <w:highlight w:val="none"/>
          <w:lang w:val="zh-CN"/>
        </w:rPr>
        <w:fldChar w:fldCharType="begin"/>
      </w:r>
      <w:r>
        <w:rPr>
          <w:color w:val="auto"/>
          <w:szCs w:val="36"/>
          <w:highlight w:val="none"/>
          <w:lang w:val="zh-CN"/>
        </w:rPr>
        <w:instrText xml:space="preserve"> HYPERLINK \l _Toc20666 </w:instrText>
      </w:r>
      <w:r>
        <w:rPr>
          <w:color w:val="auto"/>
          <w:szCs w:val="36"/>
          <w:highlight w:val="none"/>
          <w:lang w:val="zh-CN"/>
        </w:rPr>
        <w:fldChar w:fldCharType="separate"/>
      </w:r>
      <w:r>
        <w:rPr>
          <w:rFonts w:hint="eastAsia" w:ascii="宋体" w:hAnsi="宋体"/>
          <w:color w:val="auto"/>
          <w:highlight w:val="none"/>
          <w:lang w:val="zh-CN"/>
        </w:rPr>
        <w:t>格式</w:t>
      </w:r>
      <w:r>
        <w:rPr>
          <w:rFonts w:hint="eastAsia" w:ascii="宋体" w:hAnsi="宋体"/>
          <w:color w:val="auto"/>
          <w:highlight w:val="none"/>
        </w:rPr>
        <w:t>5</w:t>
      </w:r>
      <w:r>
        <w:rPr>
          <w:rFonts w:hint="eastAsia" w:ascii="宋体" w:hAnsi="宋体"/>
          <w:color w:val="auto"/>
          <w:highlight w:val="none"/>
          <w:lang w:val="zh-CN"/>
        </w:rPr>
        <w:t>：法定代表人授权书</w:t>
      </w:r>
      <w:r>
        <w:rPr>
          <w:color w:val="auto"/>
          <w:highlight w:val="none"/>
        </w:rPr>
        <w:tab/>
      </w:r>
      <w:r>
        <w:rPr>
          <w:color w:val="auto"/>
          <w:highlight w:val="none"/>
        </w:rPr>
        <w:fldChar w:fldCharType="begin"/>
      </w:r>
      <w:r>
        <w:rPr>
          <w:color w:val="auto"/>
          <w:highlight w:val="none"/>
        </w:rPr>
        <w:instrText xml:space="preserve"> PAGEREF _Toc20666 \h </w:instrText>
      </w:r>
      <w:r>
        <w:rPr>
          <w:color w:val="auto"/>
          <w:highlight w:val="none"/>
        </w:rPr>
        <w:fldChar w:fldCharType="separate"/>
      </w:r>
      <w:r>
        <w:rPr>
          <w:color w:val="auto"/>
          <w:highlight w:val="none"/>
        </w:rPr>
        <w:t>75</w:t>
      </w:r>
      <w:r>
        <w:rPr>
          <w:color w:val="auto"/>
          <w:highlight w:val="none"/>
        </w:rPr>
        <w:fldChar w:fldCharType="end"/>
      </w:r>
      <w:r>
        <w:rPr>
          <w:color w:val="auto"/>
          <w:szCs w:val="36"/>
          <w:highlight w:val="none"/>
          <w:lang w:val="zh-CN"/>
        </w:rPr>
        <w:fldChar w:fldCharType="end"/>
      </w:r>
    </w:p>
    <w:p>
      <w:pPr>
        <w:pStyle w:val="28"/>
        <w:tabs>
          <w:tab w:val="right" w:leader="dot" w:pos="8334"/>
          <w:tab w:val="clear" w:pos="8630"/>
        </w:tabs>
        <w:rPr>
          <w:color w:val="auto"/>
          <w:highlight w:val="none"/>
        </w:rPr>
      </w:pPr>
      <w:r>
        <w:rPr>
          <w:color w:val="auto"/>
          <w:szCs w:val="36"/>
          <w:highlight w:val="none"/>
          <w:lang w:val="zh-CN"/>
        </w:rPr>
        <w:fldChar w:fldCharType="begin"/>
      </w:r>
      <w:r>
        <w:rPr>
          <w:color w:val="auto"/>
          <w:szCs w:val="36"/>
          <w:highlight w:val="none"/>
          <w:lang w:val="zh-CN"/>
        </w:rPr>
        <w:instrText xml:space="preserve"> HYPERLINK \l _Toc2884 </w:instrText>
      </w:r>
      <w:r>
        <w:rPr>
          <w:color w:val="auto"/>
          <w:szCs w:val="36"/>
          <w:highlight w:val="none"/>
          <w:lang w:val="zh-CN"/>
        </w:rPr>
        <w:fldChar w:fldCharType="separate"/>
      </w:r>
      <w:r>
        <w:rPr>
          <w:rFonts w:hint="eastAsia" w:ascii="宋体" w:hAnsi="宋体"/>
          <w:color w:val="auto"/>
          <w:highlight w:val="none"/>
          <w:lang w:val="zh-CN"/>
        </w:rPr>
        <w:t>格式</w:t>
      </w:r>
      <w:r>
        <w:rPr>
          <w:rFonts w:hint="eastAsia" w:ascii="宋体" w:hAnsi="宋体"/>
          <w:color w:val="auto"/>
          <w:highlight w:val="none"/>
        </w:rPr>
        <w:t>6</w:t>
      </w:r>
      <w:r>
        <w:rPr>
          <w:rFonts w:hint="eastAsia" w:ascii="宋体" w:hAnsi="宋体"/>
          <w:color w:val="auto"/>
          <w:highlight w:val="none"/>
          <w:lang w:val="zh-CN"/>
        </w:rPr>
        <w:t>：报价表</w:t>
      </w:r>
      <w:r>
        <w:rPr>
          <w:color w:val="auto"/>
          <w:highlight w:val="none"/>
        </w:rPr>
        <w:tab/>
      </w:r>
      <w:r>
        <w:rPr>
          <w:color w:val="auto"/>
          <w:highlight w:val="none"/>
        </w:rPr>
        <w:fldChar w:fldCharType="begin"/>
      </w:r>
      <w:r>
        <w:rPr>
          <w:color w:val="auto"/>
          <w:highlight w:val="none"/>
        </w:rPr>
        <w:instrText xml:space="preserve"> PAGEREF _Toc2884 \h </w:instrText>
      </w:r>
      <w:r>
        <w:rPr>
          <w:color w:val="auto"/>
          <w:highlight w:val="none"/>
        </w:rPr>
        <w:fldChar w:fldCharType="separate"/>
      </w:r>
      <w:r>
        <w:rPr>
          <w:color w:val="auto"/>
          <w:highlight w:val="none"/>
        </w:rPr>
        <w:t>76</w:t>
      </w:r>
      <w:r>
        <w:rPr>
          <w:color w:val="auto"/>
          <w:highlight w:val="none"/>
        </w:rPr>
        <w:fldChar w:fldCharType="end"/>
      </w:r>
      <w:r>
        <w:rPr>
          <w:color w:val="auto"/>
          <w:szCs w:val="36"/>
          <w:highlight w:val="none"/>
          <w:lang w:val="zh-CN"/>
        </w:rPr>
        <w:fldChar w:fldCharType="end"/>
      </w:r>
    </w:p>
    <w:p>
      <w:pPr>
        <w:pStyle w:val="28"/>
        <w:tabs>
          <w:tab w:val="right" w:leader="dot" w:pos="8334"/>
          <w:tab w:val="clear" w:pos="8630"/>
        </w:tabs>
        <w:rPr>
          <w:color w:val="auto"/>
          <w:highlight w:val="none"/>
        </w:rPr>
      </w:pPr>
      <w:r>
        <w:rPr>
          <w:color w:val="auto"/>
          <w:szCs w:val="36"/>
          <w:highlight w:val="none"/>
          <w:lang w:val="zh-CN"/>
        </w:rPr>
        <w:fldChar w:fldCharType="begin"/>
      </w:r>
      <w:r>
        <w:rPr>
          <w:color w:val="auto"/>
          <w:szCs w:val="36"/>
          <w:highlight w:val="none"/>
          <w:lang w:val="zh-CN"/>
        </w:rPr>
        <w:instrText xml:space="preserve"> HYPERLINK \l _Toc4197 </w:instrText>
      </w:r>
      <w:r>
        <w:rPr>
          <w:color w:val="auto"/>
          <w:szCs w:val="36"/>
          <w:highlight w:val="none"/>
          <w:lang w:val="zh-CN"/>
        </w:rPr>
        <w:fldChar w:fldCharType="separate"/>
      </w:r>
      <w:r>
        <w:rPr>
          <w:rFonts w:hint="eastAsia" w:ascii="宋体" w:hAnsi="宋体"/>
          <w:color w:val="auto"/>
          <w:highlight w:val="none"/>
          <w:lang w:val="zh-CN"/>
        </w:rPr>
        <w:t>格式</w:t>
      </w:r>
      <w:r>
        <w:rPr>
          <w:rFonts w:hint="eastAsia" w:ascii="宋体" w:hAnsi="宋体"/>
          <w:color w:val="auto"/>
          <w:highlight w:val="none"/>
        </w:rPr>
        <w:t>7</w:t>
      </w:r>
      <w:r>
        <w:rPr>
          <w:rFonts w:hint="eastAsia" w:ascii="宋体" w:hAnsi="宋体"/>
          <w:color w:val="auto"/>
          <w:highlight w:val="none"/>
          <w:lang w:val="zh-CN"/>
        </w:rPr>
        <w:t>：响应方案</w:t>
      </w:r>
      <w:r>
        <w:rPr>
          <w:color w:val="auto"/>
          <w:highlight w:val="none"/>
        </w:rPr>
        <w:tab/>
      </w:r>
      <w:r>
        <w:rPr>
          <w:color w:val="auto"/>
          <w:highlight w:val="none"/>
        </w:rPr>
        <w:fldChar w:fldCharType="begin"/>
      </w:r>
      <w:r>
        <w:rPr>
          <w:color w:val="auto"/>
          <w:highlight w:val="none"/>
        </w:rPr>
        <w:instrText xml:space="preserve"> PAGEREF _Toc4197 \h </w:instrText>
      </w:r>
      <w:r>
        <w:rPr>
          <w:color w:val="auto"/>
          <w:highlight w:val="none"/>
        </w:rPr>
        <w:fldChar w:fldCharType="separate"/>
      </w:r>
      <w:r>
        <w:rPr>
          <w:color w:val="auto"/>
          <w:highlight w:val="none"/>
        </w:rPr>
        <w:t>78</w:t>
      </w:r>
      <w:r>
        <w:rPr>
          <w:color w:val="auto"/>
          <w:highlight w:val="none"/>
        </w:rPr>
        <w:fldChar w:fldCharType="end"/>
      </w:r>
      <w:r>
        <w:rPr>
          <w:color w:val="auto"/>
          <w:szCs w:val="36"/>
          <w:highlight w:val="none"/>
          <w:lang w:val="zh-CN"/>
        </w:rPr>
        <w:fldChar w:fldCharType="end"/>
      </w:r>
    </w:p>
    <w:p>
      <w:pPr>
        <w:pStyle w:val="28"/>
        <w:tabs>
          <w:tab w:val="right" w:leader="dot" w:pos="8334"/>
          <w:tab w:val="clear" w:pos="8630"/>
        </w:tabs>
        <w:rPr>
          <w:color w:val="auto"/>
          <w:highlight w:val="none"/>
        </w:rPr>
      </w:pPr>
      <w:r>
        <w:rPr>
          <w:color w:val="auto"/>
          <w:szCs w:val="36"/>
          <w:highlight w:val="none"/>
          <w:lang w:val="zh-CN"/>
        </w:rPr>
        <w:fldChar w:fldCharType="begin"/>
      </w:r>
      <w:r>
        <w:rPr>
          <w:color w:val="auto"/>
          <w:szCs w:val="36"/>
          <w:highlight w:val="none"/>
          <w:lang w:val="zh-CN"/>
        </w:rPr>
        <w:instrText xml:space="preserve"> HYPERLINK \l _Toc7036 </w:instrText>
      </w:r>
      <w:r>
        <w:rPr>
          <w:color w:val="auto"/>
          <w:szCs w:val="36"/>
          <w:highlight w:val="none"/>
          <w:lang w:val="zh-CN"/>
        </w:rPr>
        <w:fldChar w:fldCharType="separate"/>
      </w:r>
      <w:r>
        <w:rPr>
          <w:rFonts w:hint="eastAsia" w:ascii="宋体" w:hAnsi="宋体"/>
          <w:color w:val="auto"/>
          <w:highlight w:val="none"/>
          <w:lang w:val="zh-CN"/>
        </w:rPr>
        <w:t>格式</w:t>
      </w:r>
      <w:r>
        <w:rPr>
          <w:rFonts w:hint="eastAsia" w:ascii="宋体" w:hAnsi="宋体"/>
          <w:color w:val="auto"/>
          <w:highlight w:val="none"/>
        </w:rPr>
        <w:t>8</w:t>
      </w:r>
      <w:r>
        <w:rPr>
          <w:rFonts w:hint="eastAsia" w:ascii="宋体" w:hAnsi="宋体"/>
          <w:color w:val="auto"/>
          <w:highlight w:val="none"/>
          <w:lang w:val="zh-CN"/>
        </w:rPr>
        <w:t>：货物制造厂商授权书</w:t>
      </w:r>
      <w:r>
        <w:rPr>
          <w:color w:val="auto"/>
          <w:highlight w:val="none"/>
        </w:rPr>
        <w:tab/>
      </w:r>
      <w:r>
        <w:rPr>
          <w:color w:val="auto"/>
          <w:highlight w:val="none"/>
        </w:rPr>
        <w:fldChar w:fldCharType="begin"/>
      </w:r>
      <w:r>
        <w:rPr>
          <w:color w:val="auto"/>
          <w:highlight w:val="none"/>
        </w:rPr>
        <w:instrText xml:space="preserve"> PAGEREF _Toc7036 \h </w:instrText>
      </w:r>
      <w:r>
        <w:rPr>
          <w:color w:val="auto"/>
          <w:highlight w:val="none"/>
        </w:rPr>
        <w:fldChar w:fldCharType="separate"/>
      </w:r>
      <w:r>
        <w:rPr>
          <w:color w:val="auto"/>
          <w:highlight w:val="none"/>
        </w:rPr>
        <w:t>80</w:t>
      </w:r>
      <w:r>
        <w:rPr>
          <w:color w:val="auto"/>
          <w:highlight w:val="none"/>
        </w:rPr>
        <w:fldChar w:fldCharType="end"/>
      </w:r>
      <w:r>
        <w:rPr>
          <w:color w:val="auto"/>
          <w:szCs w:val="36"/>
          <w:highlight w:val="none"/>
          <w:lang w:val="zh-CN"/>
        </w:rPr>
        <w:fldChar w:fldCharType="end"/>
      </w:r>
    </w:p>
    <w:p>
      <w:pPr>
        <w:pStyle w:val="28"/>
        <w:tabs>
          <w:tab w:val="right" w:leader="dot" w:pos="8334"/>
          <w:tab w:val="clear" w:pos="8630"/>
        </w:tabs>
        <w:rPr>
          <w:color w:val="auto"/>
          <w:highlight w:val="none"/>
        </w:rPr>
      </w:pPr>
      <w:r>
        <w:rPr>
          <w:color w:val="auto"/>
          <w:szCs w:val="36"/>
          <w:highlight w:val="none"/>
          <w:lang w:val="zh-CN"/>
        </w:rPr>
        <w:fldChar w:fldCharType="begin"/>
      </w:r>
      <w:r>
        <w:rPr>
          <w:color w:val="auto"/>
          <w:szCs w:val="36"/>
          <w:highlight w:val="none"/>
          <w:lang w:val="zh-CN"/>
        </w:rPr>
        <w:instrText xml:space="preserve"> HYPERLINK \l _Toc27918 </w:instrText>
      </w:r>
      <w:r>
        <w:rPr>
          <w:color w:val="auto"/>
          <w:szCs w:val="36"/>
          <w:highlight w:val="none"/>
          <w:lang w:val="zh-CN"/>
        </w:rPr>
        <w:fldChar w:fldCharType="separate"/>
      </w:r>
      <w:r>
        <w:rPr>
          <w:rFonts w:hint="eastAsia" w:ascii="宋体" w:hAnsi="宋体"/>
          <w:color w:val="auto"/>
          <w:highlight w:val="none"/>
          <w:lang w:val="zh-CN"/>
        </w:rPr>
        <w:t>格式</w:t>
      </w:r>
      <w:r>
        <w:rPr>
          <w:rFonts w:hint="eastAsia" w:ascii="宋体" w:hAnsi="宋体"/>
          <w:color w:val="auto"/>
          <w:highlight w:val="none"/>
        </w:rPr>
        <w:t>9</w:t>
      </w:r>
      <w:r>
        <w:rPr>
          <w:rFonts w:hint="eastAsia" w:ascii="宋体" w:hAnsi="宋体"/>
          <w:color w:val="auto"/>
          <w:highlight w:val="none"/>
          <w:lang w:val="zh-CN"/>
        </w:rPr>
        <w:t>：项目主要人员一览表</w:t>
      </w:r>
      <w:r>
        <w:rPr>
          <w:color w:val="auto"/>
          <w:highlight w:val="none"/>
        </w:rPr>
        <w:tab/>
      </w:r>
      <w:r>
        <w:rPr>
          <w:color w:val="auto"/>
          <w:highlight w:val="none"/>
        </w:rPr>
        <w:fldChar w:fldCharType="begin"/>
      </w:r>
      <w:r>
        <w:rPr>
          <w:color w:val="auto"/>
          <w:highlight w:val="none"/>
        </w:rPr>
        <w:instrText xml:space="preserve"> PAGEREF _Toc27918 \h </w:instrText>
      </w:r>
      <w:r>
        <w:rPr>
          <w:color w:val="auto"/>
          <w:highlight w:val="none"/>
        </w:rPr>
        <w:fldChar w:fldCharType="separate"/>
      </w:r>
      <w:r>
        <w:rPr>
          <w:color w:val="auto"/>
          <w:highlight w:val="none"/>
        </w:rPr>
        <w:t>81</w:t>
      </w:r>
      <w:r>
        <w:rPr>
          <w:color w:val="auto"/>
          <w:highlight w:val="none"/>
        </w:rPr>
        <w:fldChar w:fldCharType="end"/>
      </w:r>
      <w:r>
        <w:rPr>
          <w:color w:val="auto"/>
          <w:szCs w:val="36"/>
          <w:highlight w:val="none"/>
          <w:lang w:val="zh-CN"/>
        </w:rPr>
        <w:fldChar w:fldCharType="end"/>
      </w:r>
    </w:p>
    <w:p>
      <w:pPr>
        <w:pStyle w:val="28"/>
        <w:tabs>
          <w:tab w:val="right" w:leader="dot" w:pos="8334"/>
          <w:tab w:val="clear" w:pos="8630"/>
        </w:tabs>
        <w:rPr>
          <w:color w:val="auto"/>
          <w:highlight w:val="none"/>
        </w:rPr>
      </w:pPr>
      <w:r>
        <w:rPr>
          <w:color w:val="auto"/>
          <w:szCs w:val="36"/>
          <w:highlight w:val="none"/>
          <w:lang w:val="zh-CN"/>
        </w:rPr>
        <w:fldChar w:fldCharType="begin"/>
      </w:r>
      <w:r>
        <w:rPr>
          <w:color w:val="auto"/>
          <w:szCs w:val="36"/>
          <w:highlight w:val="none"/>
          <w:lang w:val="zh-CN"/>
        </w:rPr>
        <w:instrText xml:space="preserve"> HYPERLINK \l _Toc26046 </w:instrText>
      </w:r>
      <w:r>
        <w:rPr>
          <w:color w:val="auto"/>
          <w:szCs w:val="36"/>
          <w:highlight w:val="none"/>
          <w:lang w:val="zh-CN"/>
        </w:rPr>
        <w:fldChar w:fldCharType="separate"/>
      </w:r>
      <w:r>
        <w:rPr>
          <w:rFonts w:hint="eastAsia" w:ascii="宋体" w:hAnsi="宋体"/>
          <w:color w:val="auto"/>
          <w:highlight w:val="none"/>
          <w:lang w:val="zh-CN"/>
        </w:rPr>
        <w:t>格式10：资格审查资料</w:t>
      </w:r>
      <w:r>
        <w:rPr>
          <w:color w:val="auto"/>
          <w:highlight w:val="none"/>
        </w:rPr>
        <w:tab/>
      </w:r>
      <w:r>
        <w:rPr>
          <w:color w:val="auto"/>
          <w:highlight w:val="none"/>
        </w:rPr>
        <w:fldChar w:fldCharType="begin"/>
      </w:r>
      <w:r>
        <w:rPr>
          <w:color w:val="auto"/>
          <w:highlight w:val="none"/>
        </w:rPr>
        <w:instrText xml:space="preserve"> PAGEREF _Toc26046 \h </w:instrText>
      </w:r>
      <w:r>
        <w:rPr>
          <w:color w:val="auto"/>
          <w:highlight w:val="none"/>
        </w:rPr>
        <w:fldChar w:fldCharType="separate"/>
      </w:r>
      <w:r>
        <w:rPr>
          <w:color w:val="auto"/>
          <w:highlight w:val="none"/>
        </w:rPr>
        <w:t>82</w:t>
      </w:r>
      <w:r>
        <w:rPr>
          <w:color w:val="auto"/>
          <w:highlight w:val="none"/>
        </w:rPr>
        <w:fldChar w:fldCharType="end"/>
      </w:r>
      <w:r>
        <w:rPr>
          <w:color w:val="auto"/>
          <w:szCs w:val="36"/>
          <w:highlight w:val="none"/>
          <w:lang w:val="zh-CN"/>
        </w:rPr>
        <w:fldChar w:fldCharType="end"/>
      </w:r>
    </w:p>
    <w:p>
      <w:pPr>
        <w:pStyle w:val="28"/>
        <w:tabs>
          <w:tab w:val="right" w:leader="dot" w:pos="8334"/>
          <w:tab w:val="clear" w:pos="8630"/>
        </w:tabs>
        <w:rPr>
          <w:color w:val="auto"/>
          <w:highlight w:val="none"/>
        </w:rPr>
      </w:pPr>
      <w:r>
        <w:rPr>
          <w:color w:val="auto"/>
          <w:szCs w:val="36"/>
          <w:highlight w:val="none"/>
          <w:lang w:val="zh-CN"/>
        </w:rPr>
        <w:fldChar w:fldCharType="begin"/>
      </w:r>
      <w:r>
        <w:rPr>
          <w:color w:val="auto"/>
          <w:szCs w:val="36"/>
          <w:highlight w:val="none"/>
          <w:lang w:val="zh-CN"/>
        </w:rPr>
        <w:instrText xml:space="preserve"> HYPERLINK \l _Toc13413 </w:instrText>
      </w:r>
      <w:r>
        <w:rPr>
          <w:color w:val="auto"/>
          <w:szCs w:val="36"/>
          <w:highlight w:val="none"/>
          <w:lang w:val="zh-CN"/>
        </w:rPr>
        <w:fldChar w:fldCharType="separate"/>
      </w:r>
      <w:r>
        <w:rPr>
          <w:rFonts w:hint="eastAsia" w:ascii="宋体" w:hAnsi="宋体"/>
          <w:color w:val="auto"/>
          <w:highlight w:val="none"/>
          <w:lang w:val="zh-CN"/>
        </w:rPr>
        <w:t>格式11：业绩证明材料</w:t>
      </w:r>
      <w:r>
        <w:rPr>
          <w:color w:val="auto"/>
          <w:highlight w:val="none"/>
        </w:rPr>
        <w:tab/>
      </w:r>
      <w:r>
        <w:rPr>
          <w:color w:val="auto"/>
          <w:highlight w:val="none"/>
        </w:rPr>
        <w:fldChar w:fldCharType="begin"/>
      </w:r>
      <w:r>
        <w:rPr>
          <w:color w:val="auto"/>
          <w:highlight w:val="none"/>
        </w:rPr>
        <w:instrText xml:space="preserve"> PAGEREF _Toc13413 \h </w:instrText>
      </w:r>
      <w:r>
        <w:rPr>
          <w:color w:val="auto"/>
          <w:highlight w:val="none"/>
        </w:rPr>
        <w:fldChar w:fldCharType="separate"/>
      </w:r>
      <w:r>
        <w:rPr>
          <w:color w:val="auto"/>
          <w:highlight w:val="none"/>
        </w:rPr>
        <w:t>85</w:t>
      </w:r>
      <w:r>
        <w:rPr>
          <w:color w:val="auto"/>
          <w:highlight w:val="none"/>
        </w:rPr>
        <w:fldChar w:fldCharType="end"/>
      </w:r>
      <w:r>
        <w:rPr>
          <w:color w:val="auto"/>
          <w:szCs w:val="36"/>
          <w:highlight w:val="none"/>
          <w:lang w:val="zh-CN"/>
        </w:rPr>
        <w:fldChar w:fldCharType="end"/>
      </w:r>
    </w:p>
    <w:p>
      <w:pPr>
        <w:pStyle w:val="28"/>
        <w:tabs>
          <w:tab w:val="right" w:leader="dot" w:pos="8334"/>
          <w:tab w:val="clear" w:pos="8630"/>
        </w:tabs>
        <w:rPr>
          <w:color w:val="auto"/>
          <w:highlight w:val="none"/>
        </w:rPr>
      </w:pPr>
      <w:r>
        <w:rPr>
          <w:color w:val="auto"/>
          <w:szCs w:val="36"/>
          <w:highlight w:val="none"/>
          <w:lang w:val="zh-CN"/>
        </w:rPr>
        <w:fldChar w:fldCharType="begin"/>
      </w:r>
      <w:r>
        <w:rPr>
          <w:color w:val="auto"/>
          <w:szCs w:val="36"/>
          <w:highlight w:val="none"/>
          <w:lang w:val="zh-CN"/>
        </w:rPr>
        <w:instrText xml:space="preserve"> HYPERLINK \l _Toc12393 </w:instrText>
      </w:r>
      <w:r>
        <w:rPr>
          <w:color w:val="auto"/>
          <w:szCs w:val="36"/>
          <w:highlight w:val="none"/>
          <w:lang w:val="zh-CN"/>
        </w:rPr>
        <w:fldChar w:fldCharType="separate"/>
      </w:r>
      <w:r>
        <w:rPr>
          <w:rFonts w:hint="eastAsia" w:ascii="宋体" w:hAnsi="宋体"/>
          <w:color w:val="auto"/>
          <w:highlight w:val="none"/>
          <w:lang w:val="zh-CN"/>
        </w:rPr>
        <w:t>格式12：采购文件中要求提供的其他材料</w:t>
      </w:r>
      <w:r>
        <w:rPr>
          <w:color w:val="auto"/>
          <w:highlight w:val="none"/>
        </w:rPr>
        <w:tab/>
      </w:r>
      <w:r>
        <w:rPr>
          <w:color w:val="auto"/>
          <w:highlight w:val="none"/>
        </w:rPr>
        <w:fldChar w:fldCharType="begin"/>
      </w:r>
      <w:r>
        <w:rPr>
          <w:color w:val="auto"/>
          <w:highlight w:val="none"/>
        </w:rPr>
        <w:instrText xml:space="preserve"> PAGEREF _Toc12393 \h </w:instrText>
      </w:r>
      <w:r>
        <w:rPr>
          <w:color w:val="auto"/>
          <w:highlight w:val="none"/>
        </w:rPr>
        <w:fldChar w:fldCharType="separate"/>
      </w:r>
      <w:r>
        <w:rPr>
          <w:color w:val="auto"/>
          <w:highlight w:val="none"/>
        </w:rPr>
        <w:t>86</w:t>
      </w:r>
      <w:r>
        <w:rPr>
          <w:color w:val="auto"/>
          <w:highlight w:val="none"/>
        </w:rPr>
        <w:fldChar w:fldCharType="end"/>
      </w:r>
      <w:r>
        <w:rPr>
          <w:color w:val="auto"/>
          <w:szCs w:val="36"/>
          <w:highlight w:val="none"/>
          <w:lang w:val="zh-CN"/>
        </w:rPr>
        <w:fldChar w:fldCharType="end"/>
      </w:r>
    </w:p>
    <w:p>
      <w:pPr>
        <w:pStyle w:val="28"/>
        <w:tabs>
          <w:tab w:val="right" w:leader="dot" w:pos="8334"/>
          <w:tab w:val="clear" w:pos="8630"/>
        </w:tabs>
        <w:rPr>
          <w:color w:val="auto"/>
          <w:highlight w:val="none"/>
        </w:rPr>
      </w:pPr>
      <w:r>
        <w:rPr>
          <w:color w:val="auto"/>
          <w:szCs w:val="36"/>
          <w:highlight w:val="none"/>
          <w:lang w:val="zh-CN"/>
        </w:rPr>
        <w:fldChar w:fldCharType="begin"/>
      </w:r>
      <w:r>
        <w:rPr>
          <w:color w:val="auto"/>
          <w:szCs w:val="36"/>
          <w:highlight w:val="none"/>
          <w:lang w:val="zh-CN"/>
        </w:rPr>
        <w:instrText xml:space="preserve"> HYPERLINK \l _Toc18592 </w:instrText>
      </w:r>
      <w:r>
        <w:rPr>
          <w:color w:val="auto"/>
          <w:szCs w:val="36"/>
          <w:highlight w:val="none"/>
          <w:lang w:val="zh-CN"/>
        </w:rPr>
        <w:fldChar w:fldCharType="separate"/>
      </w:r>
      <w:r>
        <w:rPr>
          <w:rFonts w:hint="eastAsia" w:ascii="宋体" w:hAnsi="宋体"/>
          <w:color w:val="auto"/>
          <w:highlight w:val="none"/>
          <w:lang w:val="zh-CN"/>
        </w:rPr>
        <w:t>格式13：供应商认为在其他方面有必要说明的事项</w:t>
      </w:r>
      <w:r>
        <w:rPr>
          <w:color w:val="auto"/>
          <w:highlight w:val="none"/>
        </w:rPr>
        <w:tab/>
      </w:r>
      <w:r>
        <w:rPr>
          <w:color w:val="auto"/>
          <w:highlight w:val="none"/>
        </w:rPr>
        <w:fldChar w:fldCharType="begin"/>
      </w:r>
      <w:r>
        <w:rPr>
          <w:color w:val="auto"/>
          <w:highlight w:val="none"/>
        </w:rPr>
        <w:instrText xml:space="preserve"> PAGEREF _Toc18592 \h </w:instrText>
      </w:r>
      <w:r>
        <w:rPr>
          <w:color w:val="auto"/>
          <w:highlight w:val="none"/>
        </w:rPr>
        <w:fldChar w:fldCharType="separate"/>
      </w:r>
      <w:r>
        <w:rPr>
          <w:color w:val="auto"/>
          <w:highlight w:val="none"/>
        </w:rPr>
        <w:t>87</w:t>
      </w:r>
      <w:r>
        <w:rPr>
          <w:color w:val="auto"/>
          <w:highlight w:val="none"/>
        </w:rPr>
        <w:fldChar w:fldCharType="end"/>
      </w:r>
      <w:r>
        <w:rPr>
          <w:color w:val="auto"/>
          <w:szCs w:val="36"/>
          <w:highlight w:val="none"/>
          <w:lang w:val="zh-CN"/>
        </w:rPr>
        <w:fldChar w:fldCharType="end"/>
      </w:r>
    </w:p>
    <w:p>
      <w:pPr>
        <w:pStyle w:val="35"/>
        <w:spacing w:line="360" w:lineRule="auto"/>
        <w:jc w:val="both"/>
        <w:rPr>
          <w:color w:val="auto"/>
          <w:szCs w:val="36"/>
          <w:highlight w:val="none"/>
          <w:lang w:val="zh-CN"/>
        </w:rPr>
      </w:pPr>
      <w:r>
        <w:rPr>
          <w:color w:val="auto"/>
          <w:szCs w:val="36"/>
          <w:highlight w:val="none"/>
          <w:lang w:val="zh-CN"/>
        </w:rPr>
        <w:fldChar w:fldCharType="end"/>
      </w:r>
    </w:p>
    <w:p>
      <w:pPr>
        <w:pStyle w:val="35"/>
        <w:spacing w:line="360" w:lineRule="auto"/>
        <w:rPr>
          <w:color w:val="auto"/>
          <w:szCs w:val="36"/>
          <w:highlight w:val="none"/>
          <w:lang w:val="zh-CN"/>
        </w:rPr>
      </w:pPr>
    </w:p>
    <w:bookmarkEnd w:id="0"/>
    <w:bookmarkEnd w:id="1"/>
    <w:p>
      <w:pPr>
        <w:pStyle w:val="35"/>
        <w:spacing w:line="360" w:lineRule="auto"/>
        <w:ind w:firstLine="2409" w:firstLineChars="600"/>
        <w:jc w:val="both"/>
        <w:rPr>
          <w:color w:val="auto"/>
          <w:sz w:val="40"/>
          <w:szCs w:val="36"/>
          <w:highlight w:val="none"/>
        </w:rPr>
      </w:pPr>
    </w:p>
    <w:p>
      <w:pPr>
        <w:pStyle w:val="35"/>
        <w:spacing w:line="360" w:lineRule="auto"/>
        <w:rPr>
          <w:color w:val="auto"/>
          <w:sz w:val="44"/>
          <w:szCs w:val="36"/>
          <w:highlight w:val="none"/>
        </w:rPr>
        <w:sectPr>
          <w:footerReference r:id="rId3" w:type="default"/>
          <w:pgSz w:w="11906" w:h="16838"/>
          <w:pgMar w:top="1440" w:right="1786" w:bottom="1440" w:left="1786" w:header="720" w:footer="720" w:gutter="0"/>
          <w:pgNumType w:start="1"/>
          <w:cols w:space="720" w:num="1"/>
          <w:docGrid w:type="lines" w:linePitch="312" w:charSpace="0"/>
        </w:sectPr>
      </w:pPr>
      <w:bookmarkStart w:id="2" w:name="_Toc1818"/>
    </w:p>
    <w:p>
      <w:pPr>
        <w:pStyle w:val="35"/>
        <w:spacing w:line="360" w:lineRule="auto"/>
        <w:jc w:val="center"/>
        <w:rPr>
          <w:color w:val="auto"/>
          <w:sz w:val="44"/>
          <w:szCs w:val="36"/>
          <w:highlight w:val="none"/>
        </w:rPr>
      </w:pPr>
      <w:bookmarkStart w:id="3" w:name="_Toc3134"/>
      <w:bookmarkStart w:id="4" w:name="_Toc22875"/>
      <w:bookmarkStart w:id="5" w:name="_Toc30255"/>
      <w:bookmarkStart w:id="6" w:name="_Toc18541"/>
      <w:r>
        <w:rPr>
          <w:rFonts w:hint="eastAsia"/>
          <w:color w:val="auto"/>
          <w:sz w:val="44"/>
          <w:szCs w:val="36"/>
          <w:highlight w:val="none"/>
        </w:rPr>
        <w:t>第一部分   询比采购</w:t>
      </w:r>
      <w:bookmarkEnd w:id="2"/>
      <w:r>
        <w:rPr>
          <w:rFonts w:hint="eastAsia"/>
          <w:color w:val="auto"/>
          <w:sz w:val="44"/>
          <w:szCs w:val="36"/>
          <w:highlight w:val="none"/>
        </w:rPr>
        <w:t>公告</w:t>
      </w:r>
      <w:bookmarkEnd w:id="3"/>
      <w:bookmarkEnd w:id="4"/>
      <w:bookmarkEnd w:id="5"/>
      <w:bookmarkEnd w:id="6"/>
    </w:p>
    <w:p>
      <w:pPr>
        <w:spacing w:line="360" w:lineRule="auto"/>
        <w:rPr>
          <w:rFonts w:ascii="宋体" w:hAnsi="宋体"/>
          <w:b/>
          <w:bCs/>
          <w:color w:val="auto"/>
          <w:sz w:val="28"/>
          <w:szCs w:val="28"/>
          <w:highlight w:val="none"/>
        </w:rPr>
      </w:pPr>
      <w:r>
        <w:rPr>
          <w:rFonts w:hint="eastAsia" w:ascii="宋体" w:hAnsi="宋体"/>
          <w:b/>
          <w:bCs/>
          <w:color w:val="auto"/>
          <w:sz w:val="28"/>
          <w:szCs w:val="28"/>
          <w:highlight w:val="none"/>
        </w:rPr>
        <w:t>1.采购条件</w:t>
      </w:r>
    </w:p>
    <w:p>
      <w:pPr>
        <w:widowControl/>
        <w:shd w:val="clear" w:color="auto" w:fill="FFFFFF"/>
        <w:spacing w:line="480" w:lineRule="auto"/>
        <w:ind w:firstLine="482" w:firstLineChars="200"/>
        <w:textAlignment w:val="baseline"/>
        <w:rPr>
          <w:rFonts w:ascii="宋体" w:hAnsi="宋体"/>
          <w:color w:val="auto"/>
          <w:sz w:val="24"/>
          <w:szCs w:val="28"/>
          <w:highlight w:val="none"/>
        </w:rPr>
      </w:pPr>
      <w:r>
        <w:rPr>
          <w:rFonts w:hint="eastAsia" w:ascii="宋体" w:hAnsi="宋体"/>
          <w:b/>
          <w:color w:val="auto"/>
          <w:sz w:val="24"/>
          <w:szCs w:val="28"/>
          <w:highlight w:val="none"/>
          <w:u w:val="single"/>
        </w:rPr>
        <w:t>青海锦翔工程项目管理有限公司</w:t>
      </w:r>
      <w:r>
        <w:rPr>
          <w:rFonts w:hint="eastAsia" w:ascii="宋体" w:hAnsi="宋体"/>
          <w:color w:val="auto"/>
          <w:sz w:val="24"/>
          <w:szCs w:val="28"/>
          <w:highlight w:val="none"/>
        </w:rPr>
        <w:t>受</w:t>
      </w:r>
      <w:r>
        <w:rPr>
          <w:rFonts w:hint="eastAsia" w:ascii="宋体" w:hAnsi="宋体"/>
          <w:b/>
          <w:bCs/>
          <w:color w:val="auto"/>
          <w:sz w:val="24"/>
          <w:szCs w:val="28"/>
          <w:highlight w:val="none"/>
          <w:u w:val="single"/>
          <w:lang w:eastAsia="zh-CN"/>
        </w:rPr>
        <w:t>乌兰县恒信国有资产投资管理有限公司</w:t>
      </w:r>
      <w:r>
        <w:rPr>
          <w:rFonts w:hint="eastAsia" w:ascii="宋体" w:hAnsi="宋体"/>
          <w:b/>
          <w:bCs/>
          <w:color w:val="auto"/>
          <w:sz w:val="24"/>
          <w:szCs w:val="28"/>
          <w:highlight w:val="none"/>
          <w:u w:val="single"/>
          <w:lang w:eastAsia="zh-CN"/>
        </w:rPr>
        <w:t xml:space="preserve"> </w:t>
      </w:r>
      <w:r>
        <w:rPr>
          <w:rFonts w:hint="eastAsia" w:ascii="宋体" w:hAnsi="宋体"/>
          <w:color w:val="auto"/>
          <w:sz w:val="24"/>
          <w:szCs w:val="28"/>
          <w:highlight w:val="none"/>
        </w:rPr>
        <w:t>委托，对</w:t>
      </w:r>
      <w:r>
        <w:rPr>
          <w:rFonts w:hint="eastAsia" w:ascii="宋体" w:hAnsi="宋体"/>
          <w:b/>
          <w:color w:val="auto"/>
          <w:sz w:val="24"/>
          <w:szCs w:val="28"/>
          <w:highlight w:val="none"/>
          <w:u w:val="single"/>
          <w:lang w:val="zh-CN"/>
        </w:rPr>
        <w:t>QHJX-XBHW-202</w:t>
      </w:r>
      <w:r>
        <w:rPr>
          <w:rFonts w:hint="eastAsia" w:ascii="宋体" w:hAnsi="宋体"/>
          <w:b/>
          <w:color w:val="auto"/>
          <w:sz w:val="24"/>
          <w:szCs w:val="28"/>
          <w:highlight w:val="none"/>
          <w:u w:val="single"/>
          <w:lang w:val="en-US" w:eastAsia="zh-CN"/>
        </w:rPr>
        <w:t>2</w:t>
      </w:r>
      <w:r>
        <w:rPr>
          <w:rFonts w:hint="eastAsia" w:ascii="宋体" w:hAnsi="宋体"/>
          <w:b/>
          <w:color w:val="auto"/>
          <w:sz w:val="24"/>
          <w:szCs w:val="28"/>
          <w:highlight w:val="none"/>
          <w:u w:val="single"/>
          <w:lang w:val="zh-CN"/>
        </w:rPr>
        <w:t>00</w:t>
      </w:r>
      <w:r>
        <w:rPr>
          <w:rFonts w:hint="eastAsia" w:ascii="宋体" w:hAnsi="宋体"/>
          <w:b/>
          <w:color w:val="auto"/>
          <w:sz w:val="24"/>
          <w:szCs w:val="28"/>
          <w:highlight w:val="none"/>
          <w:u w:val="single"/>
          <w:lang w:val="en-US" w:eastAsia="zh-CN"/>
        </w:rPr>
        <w:t>2</w:t>
      </w:r>
      <w:r>
        <w:rPr>
          <w:rFonts w:hint="eastAsia" w:ascii="宋体" w:hAnsi="宋体"/>
          <w:color w:val="auto"/>
          <w:sz w:val="24"/>
          <w:szCs w:val="28"/>
          <w:highlight w:val="none"/>
        </w:rPr>
        <w:t>进行询比采购。该项目已具备采购条件，现予以公告，欢迎符合条件的供应商前来参加询比采购活动。</w:t>
      </w:r>
    </w:p>
    <w:p>
      <w:pPr>
        <w:tabs>
          <w:tab w:val="left" w:pos="312"/>
        </w:tabs>
        <w:spacing w:line="360" w:lineRule="auto"/>
        <w:rPr>
          <w:rFonts w:ascii="宋体" w:hAnsi="宋体"/>
          <w:b/>
          <w:bCs/>
          <w:color w:val="auto"/>
          <w:sz w:val="28"/>
          <w:szCs w:val="28"/>
          <w:highlight w:val="none"/>
        </w:rPr>
      </w:pPr>
      <w:r>
        <w:rPr>
          <w:rFonts w:hint="eastAsia" w:ascii="宋体" w:hAnsi="宋体"/>
          <w:b/>
          <w:bCs/>
          <w:color w:val="auto"/>
          <w:sz w:val="28"/>
          <w:szCs w:val="28"/>
          <w:highlight w:val="none"/>
        </w:rPr>
        <w:t>2.项目概况及采购内容</w:t>
      </w:r>
    </w:p>
    <w:p>
      <w:pPr>
        <w:spacing w:line="360" w:lineRule="auto"/>
        <w:ind w:firstLine="482" w:firstLineChars="200"/>
        <w:rPr>
          <w:rFonts w:hint="eastAsia" w:ascii="宋体" w:hAnsi="宋体" w:eastAsia="宋体" w:cs="宋体"/>
          <w:color w:val="auto"/>
          <w:kern w:val="0"/>
          <w:highlight w:val="none"/>
          <w:lang w:val="en-US" w:eastAsia="zh-CN"/>
        </w:rPr>
      </w:pPr>
      <w:r>
        <w:rPr>
          <w:rFonts w:hint="eastAsia" w:hAnsi="宋体"/>
          <w:b/>
          <w:bCs/>
          <w:color w:val="auto"/>
          <w:sz w:val="24"/>
          <w:szCs w:val="28"/>
          <w:highlight w:val="none"/>
        </w:rPr>
        <w:t>2.1采购内容：</w:t>
      </w:r>
      <w:r>
        <w:rPr>
          <w:rFonts w:hint="eastAsia" w:ascii="宋体" w:hAnsi="宋体" w:eastAsia="宋体" w:cs="Times New Roman"/>
          <w:color w:val="auto"/>
          <w:sz w:val="24"/>
          <w:highlight w:val="none"/>
          <w:lang w:val="en-US" w:eastAsia="zh-CN"/>
        </w:rPr>
        <w:t>采购</w:t>
      </w:r>
      <w:r>
        <w:rPr>
          <w:rFonts w:hint="eastAsia" w:ascii="宋体" w:hAnsi="宋体" w:eastAsia="宋体" w:cs="Times New Roman"/>
          <w:color w:val="auto"/>
          <w:sz w:val="24"/>
          <w:highlight w:val="none"/>
          <w:lang w:val="zh-CN" w:eastAsia="zh-CN"/>
        </w:rPr>
        <w:t>藜麦饼干、</w:t>
      </w:r>
      <w:r>
        <w:rPr>
          <w:rFonts w:hint="eastAsia" w:ascii="宋体" w:hAnsi="宋体" w:eastAsia="宋体" w:cs="Times New Roman"/>
          <w:color w:val="auto"/>
          <w:sz w:val="24"/>
          <w:highlight w:val="none"/>
          <w:lang w:val="en-US" w:eastAsia="zh-CN"/>
        </w:rPr>
        <w:t>麦片、曲奇、油茶</w:t>
      </w:r>
      <w:r>
        <w:rPr>
          <w:rFonts w:hint="eastAsia" w:ascii="宋体" w:hAnsi="宋体" w:eastAsia="宋体" w:cs="Times New Roman"/>
          <w:color w:val="auto"/>
          <w:sz w:val="24"/>
          <w:highlight w:val="none"/>
          <w:lang w:val="zh-CN" w:eastAsia="zh-CN"/>
        </w:rPr>
        <w:t>生产设备</w:t>
      </w:r>
      <w:r>
        <w:rPr>
          <w:rFonts w:hint="eastAsia" w:ascii="宋体" w:hAnsi="宋体" w:eastAsia="宋体" w:cs="Times New Roman"/>
          <w:color w:val="auto"/>
          <w:sz w:val="24"/>
          <w:highlight w:val="none"/>
          <w:lang w:val="en-US" w:eastAsia="zh-CN"/>
        </w:rPr>
        <w:t>和新建冷库一座。</w:t>
      </w:r>
    </w:p>
    <w:p>
      <w:pPr>
        <w:spacing w:line="360" w:lineRule="auto"/>
        <w:ind w:firstLine="482" w:firstLineChars="200"/>
        <w:rPr>
          <w:rFonts w:hint="eastAsia" w:eastAsia="宋体"/>
          <w:color w:val="auto"/>
          <w:highlight w:val="none"/>
          <w:lang w:eastAsia="zh-CN"/>
        </w:rPr>
      </w:pPr>
      <w:r>
        <w:rPr>
          <w:rFonts w:hint="eastAsia" w:hAnsi="宋体"/>
          <w:b/>
          <w:bCs/>
          <w:color w:val="auto"/>
          <w:sz w:val="24"/>
          <w:szCs w:val="28"/>
          <w:highlight w:val="none"/>
        </w:rPr>
        <w:t>2.2供货地点</w:t>
      </w:r>
      <w:r>
        <w:rPr>
          <w:rFonts w:hint="eastAsia" w:hAnsi="宋体"/>
          <w:b/>
          <w:bCs/>
          <w:color w:val="auto"/>
          <w:sz w:val="24"/>
          <w:szCs w:val="28"/>
          <w:highlight w:val="none"/>
          <w:lang w:val="zh-CN"/>
        </w:rPr>
        <w:t>：</w:t>
      </w:r>
      <w:r>
        <w:rPr>
          <w:rFonts w:hint="eastAsia" w:ascii="宋体" w:hAnsi="宋体"/>
          <w:color w:val="auto"/>
          <w:sz w:val="24"/>
          <w:highlight w:val="none"/>
        </w:rPr>
        <w:t>乌兰县</w:t>
      </w:r>
      <w:r>
        <w:rPr>
          <w:rFonts w:hint="eastAsia" w:ascii="宋体" w:hAnsi="宋体"/>
          <w:color w:val="auto"/>
          <w:sz w:val="24"/>
          <w:highlight w:val="none"/>
          <w:lang w:eastAsia="zh-CN"/>
        </w:rPr>
        <w:t>。</w:t>
      </w:r>
      <w:bookmarkStart w:id="584" w:name="_GoBack"/>
      <w:bookmarkEnd w:id="584"/>
    </w:p>
    <w:p>
      <w:pPr>
        <w:pStyle w:val="21"/>
        <w:spacing w:line="360" w:lineRule="auto"/>
        <w:ind w:firstLine="482" w:firstLineChars="200"/>
        <w:rPr>
          <w:rFonts w:hAnsi="宋体"/>
          <w:bCs/>
          <w:color w:val="auto"/>
          <w:sz w:val="24"/>
          <w:szCs w:val="28"/>
          <w:highlight w:val="none"/>
          <w:lang w:val="zh-CN"/>
        </w:rPr>
      </w:pPr>
      <w:r>
        <w:rPr>
          <w:rFonts w:hint="eastAsia" w:ascii="Times New Roman" w:hAnsi="宋体"/>
          <w:b/>
          <w:bCs/>
          <w:color w:val="auto"/>
          <w:sz w:val="24"/>
          <w:szCs w:val="28"/>
          <w:highlight w:val="none"/>
        </w:rPr>
        <w:t>2.3</w:t>
      </w:r>
      <w:r>
        <w:rPr>
          <w:rFonts w:hint="eastAsia" w:hAnsi="宋体"/>
          <w:b/>
          <w:bCs/>
          <w:color w:val="auto"/>
          <w:sz w:val="24"/>
          <w:szCs w:val="28"/>
          <w:highlight w:val="none"/>
        </w:rPr>
        <w:t>采购</w:t>
      </w:r>
      <w:r>
        <w:rPr>
          <w:rFonts w:hint="eastAsia" w:hAnsi="宋体"/>
          <w:b/>
          <w:bCs/>
          <w:color w:val="auto"/>
          <w:sz w:val="24"/>
          <w:szCs w:val="28"/>
          <w:highlight w:val="none"/>
          <w:lang w:val="zh-CN"/>
        </w:rPr>
        <w:t>方式：</w:t>
      </w:r>
      <w:r>
        <w:rPr>
          <w:rFonts w:hint="eastAsia" w:hAnsi="宋体"/>
          <w:bCs/>
          <w:color w:val="auto"/>
          <w:sz w:val="24"/>
          <w:szCs w:val="28"/>
          <w:highlight w:val="none"/>
          <w:lang w:val="zh-CN"/>
        </w:rPr>
        <w:t>询比采购。</w:t>
      </w:r>
    </w:p>
    <w:p>
      <w:pPr>
        <w:pStyle w:val="21"/>
        <w:spacing w:line="360" w:lineRule="auto"/>
        <w:ind w:firstLine="482" w:firstLineChars="200"/>
        <w:rPr>
          <w:rFonts w:hint="eastAsia" w:hAnsi="宋体" w:eastAsia="宋体"/>
          <w:bCs/>
          <w:color w:val="auto"/>
          <w:sz w:val="24"/>
          <w:szCs w:val="28"/>
          <w:highlight w:val="none"/>
          <w:lang w:val="en-US" w:eastAsia="zh-CN"/>
        </w:rPr>
      </w:pPr>
      <w:r>
        <w:rPr>
          <w:rFonts w:hint="eastAsia" w:ascii="Times New Roman" w:hAnsi="宋体"/>
          <w:b/>
          <w:bCs/>
          <w:color w:val="auto"/>
          <w:sz w:val="24"/>
          <w:szCs w:val="28"/>
          <w:highlight w:val="none"/>
        </w:rPr>
        <w:t>2.4</w:t>
      </w:r>
      <w:r>
        <w:rPr>
          <w:rFonts w:hint="eastAsia" w:hAnsi="宋体"/>
          <w:b/>
          <w:bCs/>
          <w:color w:val="auto"/>
          <w:sz w:val="24"/>
          <w:szCs w:val="28"/>
          <w:highlight w:val="none"/>
          <w:lang w:val="zh-CN"/>
        </w:rPr>
        <w:t>供货安装期</w:t>
      </w:r>
      <w:r>
        <w:rPr>
          <w:rFonts w:hint="eastAsia" w:hAnsi="宋体"/>
          <w:bCs/>
          <w:color w:val="auto"/>
          <w:sz w:val="24"/>
          <w:szCs w:val="28"/>
          <w:highlight w:val="none"/>
          <w:lang w:val="zh-CN"/>
        </w:rPr>
        <w:t>：</w:t>
      </w:r>
      <w:r>
        <w:rPr>
          <w:rFonts w:hint="eastAsia" w:hAnsi="宋体"/>
          <w:bCs/>
          <w:color w:val="auto"/>
          <w:sz w:val="24"/>
          <w:szCs w:val="28"/>
          <w:highlight w:val="none"/>
          <w:lang w:val="zh-CN"/>
        </w:rPr>
        <w:t>自合同签订后</w:t>
      </w:r>
      <w:r>
        <w:rPr>
          <w:rFonts w:hint="eastAsia" w:hAnsi="宋体"/>
          <w:bCs/>
          <w:color w:val="auto"/>
          <w:sz w:val="24"/>
          <w:szCs w:val="28"/>
          <w:highlight w:val="none"/>
          <w:lang w:val="en-US" w:eastAsia="zh-CN"/>
        </w:rPr>
        <w:t>9</w:t>
      </w:r>
      <w:r>
        <w:rPr>
          <w:rFonts w:hint="eastAsia" w:hAnsi="宋体"/>
          <w:bCs/>
          <w:color w:val="auto"/>
          <w:sz w:val="24"/>
          <w:szCs w:val="28"/>
          <w:highlight w:val="none"/>
          <w:lang w:val="zh-CN"/>
        </w:rPr>
        <w:t>0</w:t>
      </w:r>
      <w:r>
        <w:rPr>
          <w:rFonts w:hint="eastAsia" w:hAnsi="宋体"/>
          <w:bCs/>
          <w:color w:val="auto"/>
          <w:sz w:val="24"/>
          <w:szCs w:val="28"/>
          <w:highlight w:val="none"/>
          <w:lang w:val="zh-CN" w:eastAsia="zh-CN"/>
        </w:rPr>
        <w:t>日历天</w:t>
      </w:r>
      <w:r>
        <w:rPr>
          <w:rFonts w:hint="eastAsia" w:hAnsi="宋体"/>
          <w:bCs/>
          <w:color w:val="auto"/>
          <w:sz w:val="24"/>
          <w:szCs w:val="28"/>
          <w:highlight w:val="none"/>
          <w:lang w:val="zh-CN"/>
        </w:rPr>
        <w:t>内。</w:t>
      </w:r>
    </w:p>
    <w:p>
      <w:pPr>
        <w:tabs>
          <w:tab w:val="left" w:pos="312"/>
        </w:tabs>
        <w:spacing w:line="360" w:lineRule="auto"/>
        <w:rPr>
          <w:rFonts w:ascii="宋体" w:hAnsi="宋体"/>
          <w:b/>
          <w:bCs/>
          <w:color w:val="auto"/>
          <w:sz w:val="28"/>
          <w:szCs w:val="28"/>
          <w:highlight w:val="none"/>
        </w:rPr>
      </w:pPr>
      <w:r>
        <w:rPr>
          <w:rFonts w:hint="eastAsia" w:ascii="宋体" w:hAnsi="宋体"/>
          <w:b/>
          <w:bCs/>
          <w:color w:val="auto"/>
          <w:sz w:val="28"/>
          <w:szCs w:val="28"/>
          <w:highlight w:val="none"/>
        </w:rPr>
        <w:t>3.供应商资格条件</w:t>
      </w:r>
    </w:p>
    <w:p>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3.1本次招标要求投标人是在中华人民共和国工商行政管理部门注册，具有有效的营业执照三证合一新证，且投标人营业执照经营范围必须包含相关营业范围经营许可资质。近三年有类似业绩，并在人员、管理方面具有相应的服务能力。</w:t>
      </w:r>
    </w:p>
    <w:p>
      <w:pPr>
        <w:spacing w:line="360" w:lineRule="auto"/>
        <w:ind w:firstLine="480" w:firstLineChars="200"/>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3.2供应商具备</w:t>
      </w:r>
      <w:r>
        <w:rPr>
          <w:rFonts w:hint="eastAsia" w:ascii="宋体" w:hAnsi="宋体" w:eastAsia="宋体" w:cs="Times New Roman"/>
          <w:color w:val="auto"/>
          <w:sz w:val="24"/>
          <w:highlight w:val="none"/>
          <w:lang w:val="zh-CN" w:eastAsia="zh-CN"/>
        </w:rPr>
        <w:t>基本开户银行近三个月内出具的资信证明（同时提供基本存款账户开户许可证）或</w:t>
      </w:r>
      <w:r>
        <w:rPr>
          <w:rFonts w:hint="eastAsia" w:ascii="宋体" w:hAnsi="宋体" w:eastAsia="宋体" w:cs="Times New Roman"/>
          <w:color w:val="auto"/>
          <w:sz w:val="24"/>
          <w:highlight w:val="none"/>
          <w:lang w:val="en-US" w:eastAsia="zh-CN"/>
        </w:rPr>
        <w:t>2020年度或2021年度经第三方审计的财务状况报告</w:t>
      </w:r>
      <w:r>
        <w:rPr>
          <w:rFonts w:hint="eastAsia" w:ascii="宋体" w:hAnsi="宋体" w:eastAsia="宋体" w:cs="Times New Roman"/>
          <w:color w:val="auto"/>
          <w:sz w:val="24"/>
          <w:highlight w:val="none"/>
          <w:lang w:val="zh-CN" w:eastAsia="zh-CN"/>
        </w:rPr>
        <w:t>（扫描或复印件应全面、完整、清晰），包括资产负债表、现金流量表、利润表和财务（会计）报表附注</w:t>
      </w:r>
      <w:r>
        <w:rPr>
          <w:rFonts w:hint="eastAsia" w:ascii="宋体" w:hAnsi="宋体" w:eastAsia="宋体" w:cs="Times New Roman"/>
          <w:color w:val="auto"/>
          <w:sz w:val="24"/>
          <w:highlight w:val="none"/>
          <w:lang w:val="en-US" w:eastAsia="zh-CN"/>
        </w:rPr>
        <w:t>，</w:t>
      </w:r>
      <w:r>
        <w:rPr>
          <w:rFonts w:hint="eastAsia" w:ascii="宋体" w:hAnsi="宋体" w:eastAsia="宋体" w:cs="Times New Roman"/>
          <w:color w:val="auto"/>
          <w:sz w:val="24"/>
          <w:highlight w:val="none"/>
          <w:lang w:val="zh-CN" w:eastAsia="zh-CN"/>
        </w:rPr>
        <w:t>并提供第三方机构的营业执照、执业证书。</w:t>
      </w:r>
      <w:r>
        <w:rPr>
          <w:rFonts w:hint="eastAsia" w:ascii="宋体" w:hAnsi="宋体" w:eastAsia="宋体" w:cs="Times New Roman"/>
          <w:color w:val="auto"/>
          <w:sz w:val="24"/>
          <w:highlight w:val="none"/>
          <w:lang w:val="en-US" w:eastAsia="zh-CN"/>
        </w:rPr>
        <w:t>投标人是其他组织和自然人，没有经审计的财务报告，可以提供基本开户银行出具的资信证明（同时提供基本存款账户开户许可证）。</w:t>
      </w:r>
    </w:p>
    <w:p>
      <w:pPr>
        <w:spacing w:line="360" w:lineRule="auto"/>
        <w:ind w:firstLine="480" w:firstLineChars="200"/>
        <w:rPr>
          <w:color w:val="auto"/>
          <w:highlight w:val="none"/>
        </w:rPr>
      </w:pPr>
      <w:r>
        <w:rPr>
          <w:rFonts w:hint="eastAsia" w:ascii="宋体" w:hAnsi="宋体" w:eastAsia="宋体" w:cs="Times New Roman"/>
          <w:color w:val="auto"/>
          <w:sz w:val="24"/>
          <w:highlight w:val="none"/>
          <w:lang w:val="en-US" w:eastAsia="zh-CN"/>
        </w:rPr>
        <w:t>2021年12月至今任意3个月</w:t>
      </w:r>
      <w:r>
        <w:rPr>
          <w:rFonts w:hint="eastAsia" w:ascii="宋体" w:hAnsi="宋体" w:eastAsia="宋体" w:cs="Times New Roman"/>
          <w:color w:val="auto"/>
          <w:sz w:val="24"/>
          <w:highlight w:val="none"/>
          <w:lang w:val="zh-CN" w:eastAsia="zh-CN"/>
        </w:rPr>
        <w:t>的依法</w:t>
      </w:r>
      <w:r>
        <w:rPr>
          <w:rFonts w:hint="eastAsia" w:ascii="宋体" w:hAnsi="宋体" w:eastAsia="宋体" w:cs="Times New Roman"/>
          <w:color w:val="auto"/>
          <w:sz w:val="24"/>
          <w:highlight w:val="none"/>
          <w:lang w:val="zh-CN"/>
        </w:rPr>
        <w:t>缴纳税收和社会保障资金记录的证明材料；依法免税或不需要缴纳社会保障资金的投标人须提供相应文件证明其依法免税或不需要缴纳社会保障资金。</w:t>
      </w:r>
    </w:p>
    <w:p>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3.3经信用中国（www.creditchina.gov.cn）渠道查询后，列入失信被执行人、重大税收违法案件当事人名单严重违法失信行为记录名单的，取消递交响应文件资格。（提供“信用中国”网站无任何不良记录的查询截图,</w:t>
      </w:r>
      <w:r>
        <w:rPr>
          <w:rFonts w:hint="eastAsia" w:ascii="宋体" w:hAnsi="宋体"/>
          <w:color w:val="auto"/>
          <w:kern w:val="0"/>
          <w:sz w:val="24"/>
          <w:highlight w:val="none"/>
        </w:rPr>
        <w:t xml:space="preserve"> 时间为投标截止时间前5天内</w:t>
      </w:r>
      <w:r>
        <w:rPr>
          <w:rFonts w:hint="eastAsia" w:ascii="宋体" w:hAnsi="宋体"/>
          <w:color w:val="auto"/>
          <w:sz w:val="24"/>
          <w:highlight w:val="none"/>
        </w:rPr>
        <w:t>）。</w:t>
      </w:r>
    </w:p>
    <w:p>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3.4本次采购不接受联合体递交响应文件。</w:t>
      </w:r>
    </w:p>
    <w:p>
      <w:pPr>
        <w:numPr>
          <w:ilvl w:val="0"/>
          <w:numId w:val="0"/>
        </w:numPr>
        <w:autoSpaceDE w:val="0"/>
        <w:autoSpaceDN w:val="0"/>
        <w:spacing w:line="360" w:lineRule="auto"/>
        <w:ind w:leftChars="0" w:firstLine="480" w:firstLineChars="200"/>
        <w:rPr>
          <w:rFonts w:hint="eastAsia" w:ascii="宋体" w:cs="宋体"/>
          <w:color w:val="auto"/>
          <w:sz w:val="24"/>
          <w:szCs w:val="24"/>
          <w:highlight w:val="none"/>
          <w:lang w:val="zh-CN"/>
        </w:rPr>
      </w:pPr>
      <w:r>
        <w:rPr>
          <w:rFonts w:hint="eastAsia" w:ascii="宋体" w:cs="宋体"/>
          <w:color w:val="auto"/>
          <w:sz w:val="24"/>
          <w:szCs w:val="24"/>
          <w:highlight w:val="none"/>
          <w:lang w:val="en-US" w:eastAsia="zh-CN"/>
        </w:rPr>
        <w:t>3.5</w:t>
      </w:r>
      <w:r>
        <w:rPr>
          <w:rFonts w:hint="eastAsia" w:ascii="宋体" w:cs="宋体"/>
          <w:color w:val="auto"/>
          <w:sz w:val="24"/>
          <w:szCs w:val="24"/>
          <w:highlight w:val="none"/>
          <w:lang w:val="zh-CN"/>
        </w:rPr>
        <w:t>单位负责人为同一人或者存在直接控股、管理关系的不同投标人，不得参加同一合同项下的政府采购活动。否则，皆取消投标资格；</w:t>
      </w:r>
    </w:p>
    <w:p>
      <w:pPr>
        <w:pStyle w:val="2"/>
        <w:ind w:firstLine="480" w:firstLineChars="200"/>
        <w:jc w:val="both"/>
        <w:rPr>
          <w:rFonts w:hint="eastAsia" w:ascii="宋体" w:hAnsi="Calibri" w:eastAsia="宋体" w:cs="宋体"/>
          <w:b w:val="0"/>
          <w:color w:val="auto"/>
          <w:kern w:val="2"/>
          <w:sz w:val="24"/>
          <w:szCs w:val="24"/>
          <w:highlight w:val="none"/>
          <w:lang w:val="zh-CN" w:eastAsia="zh-CN" w:bidi="ar-SA"/>
        </w:rPr>
      </w:pPr>
      <w:r>
        <w:rPr>
          <w:rFonts w:hint="eastAsia" w:ascii="宋体" w:hAnsi="Calibri" w:eastAsia="宋体" w:cs="宋体"/>
          <w:b w:val="0"/>
          <w:color w:val="auto"/>
          <w:kern w:val="2"/>
          <w:sz w:val="24"/>
          <w:szCs w:val="24"/>
          <w:highlight w:val="none"/>
          <w:lang w:val="en-US" w:eastAsia="zh-CN" w:bidi="ar-SA"/>
        </w:rPr>
        <w:t>3.6</w:t>
      </w:r>
      <w:r>
        <w:rPr>
          <w:rFonts w:hint="eastAsia" w:ascii="宋体" w:hAnsi="Calibri" w:eastAsia="宋体" w:cs="宋体"/>
          <w:b w:val="0"/>
          <w:color w:val="auto"/>
          <w:kern w:val="2"/>
          <w:sz w:val="24"/>
          <w:szCs w:val="24"/>
          <w:highlight w:val="none"/>
          <w:lang w:val="zh-CN" w:eastAsia="zh-CN" w:bidi="ar-SA"/>
        </w:rPr>
        <w:t>为本采购项目提供整体设计、规范编制或者项目管理、监理、检测等服务的投标人，不得再参加该采购项目的其他采购活动；</w:t>
      </w:r>
    </w:p>
    <w:p>
      <w:pPr>
        <w:pStyle w:val="2"/>
        <w:ind w:firstLine="480" w:firstLineChars="200"/>
        <w:jc w:val="both"/>
        <w:rPr>
          <w:rFonts w:hint="default" w:ascii="宋体" w:hAnsi="Calibri" w:eastAsia="宋体" w:cs="宋体"/>
          <w:b w:val="0"/>
          <w:color w:val="auto"/>
          <w:kern w:val="2"/>
          <w:sz w:val="24"/>
          <w:szCs w:val="24"/>
          <w:highlight w:val="none"/>
          <w:lang w:val="en-US" w:eastAsia="zh-CN" w:bidi="ar-SA"/>
        </w:rPr>
      </w:pPr>
      <w:r>
        <w:rPr>
          <w:rFonts w:hint="eastAsia" w:ascii="宋体" w:eastAsia="宋体" w:cs="宋体"/>
          <w:b w:val="0"/>
          <w:color w:val="auto"/>
          <w:kern w:val="2"/>
          <w:sz w:val="24"/>
          <w:szCs w:val="24"/>
          <w:highlight w:val="none"/>
          <w:lang w:val="en-US" w:eastAsia="zh-CN" w:bidi="ar-SA"/>
        </w:rPr>
        <w:t>3.7其他资质条件</w:t>
      </w:r>
    </w:p>
    <w:p>
      <w:pPr>
        <w:pStyle w:val="35"/>
        <w:jc w:val="both"/>
        <w:rPr>
          <w:color w:val="auto"/>
          <w:highlight w:val="none"/>
        </w:rPr>
      </w:pPr>
    </w:p>
    <w:p>
      <w:pPr>
        <w:tabs>
          <w:tab w:val="left" w:pos="312"/>
        </w:tabs>
        <w:spacing w:line="360" w:lineRule="auto"/>
        <w:rPr>
          <w:rFonts w:ascii="宋体" w:hAnsi="宋体"/>
          <w:b/>
          <w:bCs/>
          <w:color w:val="auto"/>
          <w:sz w:val="28"/>
          <w:szCs w:val="28"/>
          <w:highlight w:val="none"/>
        </w:rPr>
      </w:pPr>
      <w:r>
        <w:rPr>
          <w:rFonts w:hint="eastAsia" w:ascii="宋体" w:hAnsi="宋体"/>
          <w:b/>
          <w:bCs/>
          <w:color w:val="auto"/>
          <w:sz w:val="28"/>
          <w:szCs w:val="28"/>
          <w:highlight w:val="none"/>
        </w:rPr>
        <w:t>4.询比采购文件的获取</w:t>
      </w:r>
    </w:p>
    <w:p>
      <w:pPr>
        <w:autoSpaceDE w:val="0"/>
        <w:autoSpaceDN w:val="0"/>
        <w:adjustRightInd w:val="0"/>
        <w:spacing w:line="360" w:lineRule="auto"/>
        <w:ind w:firstLine="480" w:firstLineChars="200"/>
        <w:rPr>
          <w:rFonts w:ascii="宋体" w:hAnsi="宋体"/>
          <w:color w:val="auto"/>
          <w:sz w:val="24"/>
          <w:szCs w:val="28"/>
          <w:highlight w:val="none"/>
        </w:rPr>
      </w:pPr>
      <w:r>
        <w:rPr>
          <w:rFonts w:hint="eastAsia" w:ascii="宋体" w:hAnsi="宋体"/>
          <w:color w:val="auto"/>
          <w:sz w:val="24"/>
          <w:szCs w:val="28"/>
          <w:highlight w:val="none"/>
        </w:rPr>
        <w:t>4.1凡有意参加的供应商，请于</w:t>
      </w:r>
      <w:r>
        <w:rPr>
          <w:rFonts w:hint="eastAsia" w:ascii="宋体" w:hAnsi="宋体"/>
          <w:color w:val="auto"/>
          <w:sz w:val="24"/>
          <w:szCs w:val="28"/>
          <w:highlight w:val="none"/>
        </w:rPr>
        <w:t>2</w:t>
      </w:r>
      <w:r>
        <w:rPr>
          <w:rFonts w:hint="eastAsia" w:ascii="宋体" w:hAnsi="宋体"/>
          <w:color w:val="auto"/>
          <w:sz w:val="24"/>
          <w:szCs w:val="28"/>
          <w:highlight w:val="none"/>
          <w:u w:val="single"/>
        </w:rPr>
        <w:t>02</w:t>
      </w:r>
      <w:r>
        <w:rPr>
          <w:rFonts w:hint="eastAsia" w:ascii="宋体" w:hAnsi="宋体"/>
          <w:color w:val="auto"/>
          <w:sz w:val="24"/>
          <w:szCs w:val="28"/>
          <w:highlight w:val="none"/>
          <w:u w:val="single"/>
          <w:lang w:val="en-US" w:eastAsia="zh-CN"/>
        </w:rPr>
        <w:t>2</w:t>
      </w:r>
      <w:r>
        <w:rPr>
          <w:rFonts w:hint="eastAsia" w:ascii="宋体" w:hAnsi="宋体"/>
          <w:color w:val="auto"/>
          <w:sz w:val="24"/>
          <w:szCs w:val="28"/>
          <w:highlight w:val="none"/>
        </w:rPr>
        <w:t>年</w:t>
      </w:r>
      <w:r>
        <w:rPr>
          <w:rFonts w:hint="eastAsia" w:ascii="宋体" w:hAnsi="宋体"/>
          <w:color w:val="auto"/>
          <w:sz w:val="24"/>
          <w:szCs w:val="28"/>
          <w:highlight w:val="none"/>
          <w:u w:val="single"/>
        </w:rPr>
        <w:t xml:space="preserve"> </w:t>
      </w:r>
      <w:r>
        <w:rPr>
          <w:rFonts w:hint="eastAsia" w:ascii="宋体" w:hAnsi="宋体"/>
          <w:color w:val="auto"/>
          <w:sz w:val="24"/>
          <w:szCs w:val="28"/>
          <w:highlight w:val="none"/>
          <w:u w:val="single"/>
          <w:lang w:val="en-US" w:eastAsia="zh-CN"/>
        </w:rPr>
        <w:t>5</w:t>
      </w:r>
      <w:r>
        <w:rPr>
          <w:rFonts w:hint="eastAsia" w:ascii="宋体" w:hAnsi="宋体"/>
          <w:color w:val="auto"/>
          <w:sz w:val="24"/>
          <w:szCs w:val="28"/>
          <w:highlight w:val="none"/>
          <w:u w:val="single"/>
        </w:rPr>
        <w:t xml:space="preserve"> </w:t>
      </w:r>
      <w:r>
        <w:rPr>
          <w:rFonts w:hint="eastAsia" w:ascii="宋体" w:hAnsi="宋体"/>
          <w:color w:val="auto"/>
          <w:sz w:val="24"/>
          <w:szCs w:val="28"/>
          <w:highlight w:val="none"/>
        </w:rPr>
        <w:t>月</w:t>
      </w:r>
      <w:r>
        <w:rPr>
          <w:rFonts w:hint="eastAsia" w:ascii="宋体" w:hAnsi="宋体"/>
          <w:color w:val="auto"/>
          <w:sz w:val="24"/>
          <w:szCs w:val="28"/>
          <w:highlight w:val="none"/>
          <w:u w:val="single"/>
        </w:rPr>
        <w:t xml:space="preserve"> </w:t>
      </w:r>
      <w:r>
        <w:rPr>
          <w:rFonts w:hint="eastAsia" w:ascii="宋体" w:hAnsi="宋体"/>
          <w:color w:val="auto"/>
          <w:sz w:val="24"/>
          <w:szCs w:val="28"/>
          <w:highlight w:val="none"/>
          <w:u w:val="single"/>
          <w:lang w:val="en-US" w:eastAsia="zh-CN"/>
        </w:rPr>
        <w:t>9</w:t>
      </w:r>
      <w:r>
        <w:rPr>
          <w:rFonts w:hint="eastAsia" w:ascii="宋体" w:hAnsi="宋体"/>
          <w:color w:val="auto"/>
          <w:sz w:val="24"/>
          <w:szCs w:val="28"/>
          <w:highlight w:val="none"/>
          <w:u w:val="single"/>
        </w:rPr>
        <w:t xml:space="preserve"> </w:t>
      </w:r>
      <w:r>
        <w:rPr>
          <w:rFonts w:hint="eastAsia" w:ascii="宋体" w:hAnsi="宋体"/>
          <w:color w:val="auto"/>
          <w:sz w:val="24"/>
          <w:szCs w:val="28"/>
          <w:highlight w:val="none"/>
        </w:rPr>
        <w:t>日至</w:t>
      </w:r>
      <w:r>
        <w:rPr>
          <w:rFonts w:hint="eastAsia" w:ascii="宋体" w:hAnsi="宋体"/>
          <w:color w:val="auto"/>
          <w:sz w:val="24"/>
          <w:szCs w:val="28"/>
          <w:highlight w:val="none"/>
          <w:u w:val="single"/>
        </w:rPr>
        <w:t xml:space="preserve"> 202</w:t>
      </w:r>
      <w:r>
        <w:rPr>
          <w:rFonts w:hint="eastAsia" w:ascii="宋体" w:hAnsi="宋体"/>
          <w:color w:val="auto"/>
          <w:sz w:val="24"/>
          <w:szCs w:val="28"/>
          <w:highlight w:val="none"/>
          <w:u w:val="single"/>
          <w:lang w:val="en-US" w:eastAsia="zh-CN"/>
        </w:rPr>
        <w:t>2</w:t>
      </w:r>
      <w:r>
        <w:rPr>
          <w:rFonts w:hint="eastAsia" w:ascii="宋体" w:hAnsi="宋体"/>
          <w:color w:val="auto"/>
          <w:sz w:val="24"/>
          <w:szCs w:val="28"/>
          <w:highlight w:val="none"/>
          <w:u w:val="single"/>
        </w:rPr>
        <w:t xml:space="preserve"> </w:t>
      </w:r>
      <w:r>
        <w:rPr>
          <w:rFonts w:hint="eastAsia" w:ascii="宋体" w:hAnsi="宋体"/>
          <w:color w:val="auto"/>
          <w:sz w:val="24"/>
          <w:szCs w:val="28"/>
          <w:highlight w:val="none"/>
        </w:rPr>
        <w:t>年</w:t>
      </w:r>
      <w:r>
        <w:rPr>
          <w:rFonts w:hint="eastAsia" w:ascii="宋体" w:hAnsi="宋体"/>
          <w:color w:val="auto"/>
          <w:sz w:val="24"/>
          <w:szCs w:val="28"/>
          <w:highlight w:val="none"/>
          <w:u w:val="single"/>
        </w:rPr>
        <w:t xml:space="preserve"> </w:t>
      </w:r>
      <w:r>
        <w:rPr>
          <w:rFonts w:hint="eastAsia" w:ascii="宋体" w:hAnsi="宋体"/>
          <w:color w:val="auto"/>
          <w:sz w:val="24"/>
          <w:szCs w:val="28"/>
          <w:highlight w:val="none"/>
          <w:u w:val="single"/>
          <w:lang w:val="en-US" w:eastAsia="zh-CN"/>
        </w:rPr>
        <w:t xml:space="preserve">5 </w:t>
      </w:r>
      <w:r>
        <w:rPr>
          <w:rFonts w:hint="eastAsia" w:ascii="宋体" w:hAnsi="宋体"/>
          <w:color w:val="auto"/>
          <w:sz w:val="24"/>
          <w:szCs w:val="28"/>
          <w:highlight w:val="none"/>
        </w:rPr>
        <w:t>月</w:t>
      </w:r>
      <w:r>
        <w:rPr>
          <w:rFonts w:hint="eastAsia" w:ascii="宋体" w:hAnsi="宋体"/>
          <w:color w:val="auto"/>
          <w:sz w:val="24"/>
          <w:szCs w:val="28"/>
          <w:highlight w:val="none"/>
          <w:u w:val="single"/>
          <w:lang w:val="en-US" w:eastAsia="zh-CN"/>
        </w:rPr>
        <w:t xml:space="preserve"> 13</w:t>
      </w:r>
      <w:r>
        <w:rPr>
          <w:rFonts w:hint="eastAsia" w:ascii="宋体" w:hAnsi="宋体"/>
          <w:color w:val="auto"/>
          <w:sz w:val="24"/>
          <w:szCs w:val="28"/>
          <w:highlight w:val="none"/>
        </w:rPr>
        <w:t>日(节假日休息)，每天上午9:00-12:00,下午14:30-17:30</w:t>
      </w:r>
      <w:r>
        <w:rPr>
          <w:rFonts w:hint="eastAsia" w:ascii="宋体" w:hAnsi="宋体"/>
          <w:color w:val="auto"/>
          <w:sz w:val="24"/>
          <w:szCs w:val="28"/>
          <w:highlight w:val="none"/>
        </w:rPr>
        <w:t>（北京时间，下同）在青海锦翔工程项目管理有限公司（青海省西宁市城西区西川南路76号4号楼14506室）</w:t>
      </w:r>
      <w:r>
        <w:rPr>
          <w:rFonts w:hint="eastAsia" w:ascii="宋体" w:hAnsi="宋体"/>
          <w:color w:val="auto"/>
          <w:sz w:val="24"/>
          <w:szCs w:val="28"/>
          <w:highlight w:val="none"/>
          <w:lang w:eastAsia="zh-CN"/>
        </w:rPr>
        <w:t>现场购买或者网上购买，</w:t>
      </w:r>
      <w:r>
        <w:rPr>
          <w:rFonts w:hint="eastAsia" w:ascii="宋体" w:hAnsi="宋体"/>
          <w:color w:val="auto"/>
          <w:sz w:val="24"/>
          <w:szCs w:val="28"/>
          <w:highlight w:val="none"/>
        </w:rPr>
        <w:t>持以下资料领取询比采购文件。</w:t>
      </w:r>
    </w:p>
    <w:p>
      <w:pPr>
        <w:tabs>
          <w:tab w:val="left" w:pos="360"/>
        </w:tabs>
        <w:spacing w:line="360" w:lineRule="auto"/>
        <w:rPr>
          <w:rFonts w:ascii="宋体" w:hAnsi="宋体"/>
          <w:color w:val="auto"/>
          <w:sz w:val="24"/>
          <w:szCs w:val="28"/>
          <w:highlight w:val="none"/>
        </w:rPr>
      </w:pPr>
      <w:r>
        <w:rPr>
          <w:rFonts w:hint="eastAsia" w:ascii="宋体" w:hAnsi="宋体"/>
          <w:color w:val="auto"/>
          <w:sz w:val="24"/>
          <w:szCs w:val="28"/>
          <w:highlight w:val="none"/>
        </w:rPr>
        <w:t>（1）法定代表人授权书（原件加盖公章）</w:t>
      </w:r>
    </w:p>
    <w:p>
      <w:pPr>
        <w:pStyle w:val="21"/>
        <w:spacing w:line="360" w:lineRule="auto"/>
        <w:rPr>
          <w:rFonts w:hAnsi="宋体"/>
          <w:color w:val="auto"/>
          <w:sz w:val="24"/>
          <w:szCs w:val="28"/>
          <w:highlight w:val="none"/>
        </w:rPr>
      </w:pPr>
      <w:r>
        <w:rPr>
          <w:rFonts w:hint="eastAsia" w:hAnsi="宋体"/>
          <w:color w:val="auto"/>
          <w:sz w:val="24"/>
          <w:szCs w:val="28"/>
          <w:highlight w:val="none"/>
        </w:rPr>
        <w:t>（2）被授权人身份证复印件（加盖公章）</w:t>
      </w:r>
    </w:p>
    <w:p>
      <w:pPr>
        <w:pStyle w:val="21"/>
        <w:spacing w:line="360" w:lineRule="auto"/>
        <w:rPr>
          <w:rFonts w:hint="eastAsia" w:hAnsi="宋体"/>
          <w:color w:val="auto"/>
          <w:sz w:val="24"/>
          <w:szCs w:val="28"/>
          <w:highlight w:val="none"/>
        </w:rPr>
      </w:pPr>
      <w:r>
        <w:rPr>
          <w:rFonts w:hint="eastAsia" w:hAnsi="宋体"/>
          <w:color w:val="auto"/>
          <w:sz w:val="24"/>
          <w:szCs w:val="28"/>
          <w:highlight w:val="none"/>
        </w:rPr>
        <w:t>（3）营业执照（复印件加盖公章）</w:t>
      </w:r>
    </w:p>
    <w:p>
      <w:pPr>
        <w:pStyle w:val="21"/>
        <w:spacing w:line="360" w:lineRule="auto"/>
        <w:rPr>
          <w:rFonts w:hint="eastAsia" w:hAnsi="宋体"/>
          <w:color w:val="auto"/>
          <w:sz w:val="24"/>
          <w:szCs w:val="28"/>
          <w:highlight w:val="none"/>
        </w:rPr>
      </w:pPr>
      <w:r>
        <w:rPr>
          <w:rFonts w:hint="eastAsia" w:hAnsi="宋体" w:cs="Times New Roman"/>
          <w:b/>
          <w:bCs/>
          <w:color w:val="auto"/>
          <w:kern w:val="0"/>
          <w:sz w:val="24"/>
          <w:szCs w:val="24"/>
          <w:highlight w:val="none"/>
          <w:lang w:val="en-US" w:eastAsia="zh-CN" w:bidi="ar-SA"/>
        </w:rPr>
        <w:t>注</w:t>
      </w:r>
      <w:r>
        <w:rPr>
          <w:rFonts w:hint="eastAsia" w:ascii="宋体" w:hAnsi="宋体" w:eastAsia="宋体" w:cs="Times New Roman"/>
          <w:color w:val="auto"/>
          <w:kern w:val="0"/>
          <w:sz w:val="24"/>
          <w:szCs w:val="24"/>
          <w:highlight w:val="none"/>
          <w:lang w:val="en-US" w:eastAsia="zh-CN" w:bidi="ar-SA"/>
        </w:rPr>
        <w:t>：需网上购买询比采购文件的供应商可将以上材料扫描后发送至采购代理机构电子邮箱，在邮件中标明项目编号、项目名称、联系人及联系方式，并联系代理机构工作人员进行确认 ，否则造成的遗漏我公司概不承担。报名通过后将纸质版的公司资料寄往代理公司指定地点（</w:t>
      </w:r>
      <w:r>
        <w:rPr>
          <w:rFonts w:hint="eastAsia" w:ascii="宋体" w:hAnsi="宋体"/>
          <w:color w:val="auto"/>
          <w:kern w:val="0"/>
          <w:sz w:val="24"/>
          <w:szCs w:val="24"/>
          <w:highlight w:val="none"/>
          <w:lang w:val="zh-CN" w:eastAsia="zh-CN" w:bidi="ar-SA"/>
        </w:rPr>
        <w:t>青海省西宁市城西区西川南路76号万达4号楼14506室</w:t>
      </w:r>
      <w:r>
        <w:rPr>
          <w:rFonts w:hint="eastAsia" w:ascii="宋体" w:hAnsi="宋体" w:eastAsia="宋体" w:cs="Times New Roman"/>
          <w:color w:val="auto"/>
          <w:kern w:val="0"/>
          <w:sz w:val="24"/>
          <w:szCs w:val="24"/>
          <w:highlight w:val="none"/>
          <w:lang w:val="zh-CN" w:eastAsia="zh-CN" w:bidi="ar-SA"/>
        </w:rPr>
        <w:t>。</w:t>
      </w:r>
      <w:r>
        <w:rPr>
          <w:rFonts w:hint="eastAsia" w:ascii="宋体" w:hAnsi="宋体" w:eastAsia="宋体" w:cs="Times New Roman"/>
          <w:color w:val="auto"/>
          <w:kern w:val="0"/>
          <w:sz w:val="24"/>
          <w:szCs w:val="24"/>
          <w:highlight w:val="none"/>
          <w:lang w:val="en-US" w:eastAsia="zh-CN" w:bidi="ar-SA"/>
        </w:rPr>
        <w:t>）逾期不候。</w:t>
      </w:r>
    </w:p>
    <w:p>
      <w:pPr>
        <w:autoSpaceDE w:val="0"/>
        <w:autoSpaceDN w:val="0"/>
        <w:adjustRightInd w:val="0"/>
        <w:spacing w:line="360" w:lineRule="auto"/>
        <w:ind w:firstLine="480" w:firstLineChars="200"/>
        <w:rPr>
          <w:rFonts w:ascii="宋体" w:hAnsi="宋体"/>
          <w:color w:val="auto"/>
          <w:sz w:val="24"/>
          <w:szCs w:val="28"/>
          <w:highlight w:val="none"/>
        </w:rPr>
      </w:pPr>
      <w:r>
        <w:rPr>
          <w:rFonts w:hint="eastAsia" w:ascii="宋体" w:hAnsi="宋体"/>
          <w:color w:val="auto"/>
          <w:sz w:val="24"/>
          <w:szCs w:val="28"/>
          <w:highlight w:val="none"/>
        </w:rPr>
        <w:t>4.2询比采购文件每套售价500元。（采购文件售后不退,询比资格不能转让。）</w:t>
      </w:r>
    </w:p>
    <w:p>
      <w:pPr>
        <w:tabs>
          <w:tab w:val="left" w:pos="312"/>
        </w:tabs>
        <w:spacing w:line="360" w:lineRule="auto"/>
        <w:rPr>
          <w:rFonts w:ascii="宋体" w:hAnsi="宋体"/>
          <w:b/>
          <w:bCs/>
          <w:color w:val="auto"/>
          <w:sz w:val="28"/>
          <w:szCs w:val="28"/>
          <w:highlight w:val="none"/>
        </w:rPr>
      </w:pPr>
      <w:r>
        <w:rPr>
          <w:rFonts w:hint="eastAsia" w:ascii="宋体" w:hAnsi="宋体"/>
          <w:b/>
          <w:bCs/>
          <w:color w:val="auto"/>
          <w:sz w:val="28"/>
          <w:szCs w:val="28"/>
          <w:highlight w:val="none"/>
        </w:rPr>
        <w:t>5.响应文件的递交</w:t>
      </w:r>
    </w:p>
    <w:p>
      <w:pPr>
        <w:tabs>
          <w:tab w:val="left" w:pos="312"/>
        </w:tabs>
        <w:spacing w:line="360" w:lineRule="auto"/>
        <w:ind w:firstLine="480" w:firstLineChars="200"/>
        <w:rPr>
          <w:rFonts w:hint="eastAsia" w:ascii="宋体" w:hAnsi="宋体"/>
          <w:color w:val="auto"/>
          <w:sz w:val="24"/>
          <w:szCs w:val="28"/>
          <w:highlight w:val="none"/>
        </w:rPr>
      </w:pPr>
      <w:r>
        <w:rPr>
          <w:rFonts w:hint="eastAsia" w:ascii="宋体" w:hAnsi="宋体"/>
          <w:color w:val="auto"/>
          <w:sz w:val="24"/>
          <w:szCs w:val="28"/>
          <w:highlight w:val="none"/>
        </w:rPr>
        <w:t xml:space="preserve">响应文件递交的截止时间为 </w:t>
      </w:r>
      <w:r>
        <w:rPr>
          <w:rFonts w:hint="eastAsia" w:ascii="宋体" w:hAnsi="宋体"/>
          <w:color w:val="auto"/>
          <w:sz w:val="24"/>
          <w:szCs w:val="28"/>
          <w:highlight w:val="none"/>
          <w:u w:val="single"/>
        </w:rPr>
        <w:t xml:space="preserve">2021 </w:t>
      </w:r>
      <w:r>
        <w:rPr>
          <w:rFonts w:hint="eastAsia" w:ascii="宋体" w:hAnsi="宋体"/>
          <w:color w:val="auto"/>
          <w:sz w:val="24"/>
          <w:szCs w:val="28"/>
          <w:highlight w:val="none"/>
        </w:rPr>
        <w:t>年</w:t>
      </w:r>
      <w:r>
        <w:rPr>
          <w:rFonts w:hint="eastAsia" w:ascii="宋体" w:hAnsi="宋体"/>
          <w:color w:val="auto"/>
          <w:sz w:val="24"/>
          <w:szCs w:val="28"/>
          <w:highlight w:val="none"/>
          <w:u w:val="single"/>
        </w:rPr>
        <w:t xml:space="preserve"> </w:t>
      </w:r>
      <w:r>
        <w:rPr>
          <w:rFonts w:hint="eastAsia" w:ascii="宋体" w:hAnsi="宋体"/>
          <w:color w:val="auto"/>
          <w:sz w:val="24"/>
          <w:szCs w:val="28"/>
          <w:highlight w:val="none"/>
          <w:u w:val="single"/>
          <w:lang w:val="en-US" w:eastAsia="zh-CN"/>
        </w:rPr>
        <w:t>5</w:t>
      </w:r>
      <w:r>
        <w:rPr>
          <w:rFonts w:hint="eastAsia" w:ascii="宋体" w:hAnsi="宋体"/>
          <w:color w:val="auto"/>
          <w:sz w:val="24"/>
          <w:szCs w:val="28"/>
          <w:highlight w:val="none"/>
          <w:u w:val="single"/>
        </w:rPr>
        <w:t xml:space="preserve"> </w:t>
      </w:r>
      <w:r>
        <w:rPr>
          <w:rFonts w:hint="eastAsia" w:ascii="宋体" w:hAnsi="宋体"/>
          <w:color w:val="auto"/>
          <w:sz w:val="24"/>
          <w:szCs w:val="28"/>
          <w:highlight w:val="none"/>
        </w:rPr>
        <w:t>月</w:t>
      </w:r>
      <w:r>
        <w:rPr>
          <w:rFonts w:hint="eastAsia" w:ascii="宋体" w:hAnsi="宋体"/>
          <w:color w:val="auto"/>
          <w:sz w:val="24"/>
          <w:szCs w:val="28"/>
          <w:highlight w:val="none"/>
          <w:u w:val="single"/>
          <w:lang w:val="en-US" w:eastAsia="zh-CN"/>
        </w:rPr>
        <w:t>16</w:t>
      </w:r>
      <w:r>
        <w:rPr>
          <w:rFonts w:hint="eastAsia" w:ascii="宋体" w:hAnsi="宋体"/>
          <w:color w:val="auto"/>
          <w:sz w:val="24"/>
          <w:szCs w:val="28"/>
          <w:highlight w:val="none"/>
          <w:u w:val="single"/>
        </w:rPr>
        <w:t xml:space="preserve"> </w:t>
      </w:r>
      <w:r>
        <w:rPr>
          <w:rFonts w:hint="eastAsia" w:ascii="宋体" w:hAnsi="宋体"/>
          <w:color w:val="auto"/>
          <w:sz w:val="24"/>
          <w:szCs w:val="28"/>
          <w:highlight w:val="none"/>
        </w:rPr>
        <w:t xml:space="preserve">日 </w:t>
      </w:r>
      <w:r>
        <w:rPr>
          <w:rFonts w:hint="eastAsia" w:ascii="宋体" w:hAnsi="宋体"/>
          <w:color w:val="auto"/>
          <w:sz w:val="24"/>
          <w:szCs w:val="28"/>
          <w:highlight w:val="none"/>
          <w:u w:val="single"/>
        </w:rPr>
        <w:t xml:space="preserve">09 </w:t>
      </w:r>
      <w:r>
        <w:rPr>
          <w:rFonts w:hint="eastAsia" w:ascii="宋体" w:hAnsi="宋体"/>
          <w:color w:val="auto"/>
          <w:sz w:val="24"/>
          <w:szCs w:val="28"/>
          <w:highlight w:val="none"/>
        </w:rPr>
        <w:t>时</w:t>
      </w:r>
      <w:r>
        <w:rPr>
          <w:rFonts w:hint="eastAsia" w:ascii="宋体" w:hAnsi="宋体"/>
          <w:color w:val="auto"/>
          <w:sz w:val="24"/>
          <w:szCs w:val="28"/>
          <w:highlight w:val="none"/>
          <w:u w:val="single"/>
        </w:rPr>
        <w:t xml:space="preserve"> 30</w:t>
      </w:r>
      <w:r>
        <w:rPr>
          <w:rFonts w:hint="eastAsia" w:ascii="宋体" w:hAnsi="宋体"/>
          <w:color w:val="auto"/>
          <w:sz w:val="24"/>
          <w:szCs w:val="28"/>
          <w:highlight w:val="none"/>
        </w:rPr>
        <w:t xml:space="preserve"> 分</w:t>
      </w:r>
      <w:r>
        <w:rPr>
          <w:rFonts w:hint="eastAsia" w:ascii="宋体" w:hAnsi="宋体"/>
          <w:color w:val="auto"/>
          <w:sz w:val="24"/>
          <w:szCs w:val="28"/>
          <w:highlight w:val="none"/>
        </w:rPr>
        <w:t>，地点为</w:t>
      </w:r>
      <w:r>
        <w:rPr>
          <w:rFonts w:hint="eastAsia" w:ascii="宋体" w:hAnsi="宋体"/>
          <w:color w:val="auto"/>
          <w:sz w:val="24"/>
          <w:szCs w:val="28"/>
          <w:highlight w:val="none"/>
          <w:u w:val="single"/>
        </w:rPr>
        <w:t>青海锦翔工程项目管理有限公司</w:t>
      </w:r>
      <w:r>
        <w:rPr>
          <w:rFonts w:hint="eastAsia" w:ascii="宋体" w:hAnsi="宋体"/>
          <w:color w:val="auto"/>
          <w:sz w:val="24"/>
          <w:szCs w:val="28"/>
          <w:highlight w:val="none"/>
        </w:rPr>
        <w:t>（青海省西宁市城西区西川南路76号4号楼14506室开标室）。</w:t>
      </w:r>
    </w:p>
    <w:p>
      <w:pPr>
        <w:tabs>
          <w:tab w:val="left" w:pos="312"/>
        </w:tabs>
        <w:spacing w:line="360" w:lineRule="auto"/>
        <w:rPr>
          <w:rFonts w:hint="eastAsia" w:ascii="宋体" w:hAnsi="宋体"/>
          <w:b/>
          <w:bCs/>
          <w:color w:val="auto"/>
          <w:sz w:val="28"/>
          <w:szCs w:val="28"/>
          <w:highlight w:val="none"/>
          <w:lang w:val="en-US" w:eastAsia="zh-CN"/>
        </w:rPr>
      </w:pPr>
      <w:r>
        <w:rPr>
          <w:rFonts w:hint="eastAsia" w:ascii="宋体" w:hAnsi="宋体"/>
          <w:b/>
          <w:bCs/>
          <w:color w:val="auto"/>
          <w:sz w:val="28"/>
          <w:szCs w:val="28"/>
          <w:highlight w:val="none"/>
          <w:lang w:val="en-US" w:eastAsia="zh-CN"/>
        </w:rPr>
        <w:t>6.响应文件的开启时间及地点</w:t>
      </w:r>
    </w:p>
    <w:p>
      <w:pPr>
        <w:tabs>
          <w:tab w:val="left" w:pos="312"/>
        </w:tabs>
        <w:spacing w:line="360" w:lineRule="auto"/>
        <w:ind w:firstLine="480" w:firstLineChars="200"/>
        <w:rPr>
          <w:rFonts w:hint="eastAsia" w:ascii="宋体" w:hAnsi="宋体" w:eastAsia="宋体"/>
          <w:color w:val="auto"/>
          <w:sz w:val="24"/>
          <w:szCs w:val="28"/>
          <w:highlight w:val="none"/>
          <w:lang w:eastAsia="zh-CN"/>
        </w:rPr>
      </w:pPr>
      <w:r>
        <w:rPr>
          <w:rFonts w:hint="eastAsia" w:ascii="宋体" w:hAnsi="宋体"/>
          <w:color w:val="auto"/>
          <w:sz w:val="24"/>
          <w:szCs w:val="28"/>
          <w:highlight w:val="none"/>
          <w:lang w:eastAsia="zh-CN"/>
        </w:rPr>
        <w:t>开启</w:t>
      </w:r>
      <w:r>
        <w:rPr>
          <w:rFonts w:hint="eastAsia" w:ascii="宋体" w:hAnsi="宋体"/>
          <w:color w:val="auto"/>
          <w:sz w:val="24"/>
          <w:szCs w:val="28"/>
          <w:highlight w:val="none"/>
        </w:rPr>
        <w:t>时间</w:t>
      </w:r>
      <w:r>
        <w:rPr>
          <w:rFonts w:hint="eastAsia" w:ascii="宋体" w:hAnsi="宋体"/>
          <w:color w:val="auto"/>
          <w:sz w:val="24"/>
          <w:szCs w:val="28"/>
          <w:highlight w:val="none"/>
          <w:lang w:eastAsia="zh-CN"/>
        </w:rPr>
        <w:t>：</w:t>
      </w:r>
      <w:r>
        <w:rPr>
          <w:rFonts w:hint="eastAsia" w:ascii="宋体" w:hAnsi="宋体"/>
          <w:color w:val="auto"/>
          <w:sz w:val="24"/>
          <w:szCs w:val="28"/>
          <w:highlight w:val="none"/>
        </w:rPr>
        <w:t xml:space="preserve"> </w:t>
      </w:r>
      <w:r>
        <w:rPr>
          <w:rFonts w:hint="eastAsia" w:ascii="宋体" w:hAnsi="宋体"/>
          <w:color w:val="auto"/>
          <w:sz w:val="24"/>
          <w:szCs w:val="28"/>
          <w:highlight w:val="none"/>
          <w:u w:val="single"/>
        </w:rPr>
        <w:t xml:space="preserve">2021 </w:t>
      </w:r>
      <w:r>
        <w:rPr>
          <w:rFonts w:hint="eastAsia" w:ascii="宋体" w:hAnsi="宋体"/>
          <w:color w:val="auto"/>
          <w:sz w:val="24"/>
          <w:szCs w:val="28"/>
          <w:highlight w:val="none"/>
        </w:rPr>
        <w:t>年</w:t>
      </w:r>
      <w:r>
        <w:rPr>
          <w:rFonts w:hint="eastAsia" w:ascii="宋体" w:hAnsi="宋体"/>
          <w:color w:val="auto"/>
          <w:sz w:val="24"/>
          <w:szCs w:val="28"/>
          <w:highlight w:val="none"/>
          <w:u w:val="single"/>
        </w:rPr>
        <w:t xml:space="preserve"> </w:t>
      </w:r>
      <w:r>
        <w:rPr>
          <w:rFonts w:hint="eastAsia" w:ascii="宋体" w:hAnsi="宋体"/>
          <w:color w:val="auto"/>
          <w:sz w:val="24"/>
          <w:szCs w:val="28"/>
          <w:highlight w:val="none"/>
          <w:u w:val="single"/>
          <w:lang w:val="en-US" w:eastAsia="zh-CN"/>
        </w:rPr>
        <w:t>5</w:t>
      </w:r>
      <w:r>
        <w:rPr>
          <w:rFonts w:hint="eastAsia" w:ascii="宋体" w:hAnsi="宋体"/>
          <w:color w:val="auto"/>
          <w:sz w:val="24"/>
          <w:szCs w:val="28"/>
          <w:highlight w:val="none"/>
          <w:u w:val="single"/>
        </w:rPr>
        <w:t xml:space="preserve"> </w:t>
      </w:r>
      <w:r>
        <w:rPr>
          <w:rFonts w:hint="eastAsia" w:ascii="宋体" w:hAnsi="宋体"/>
          <w:color w:val="auto"/>
          <w:sz w:val="24"/>
          <w:szCs w:val="28"/>
          <w:highlight w:val="none"/>
        </w:rPr>
        <w:t>月</w:t>
      </w:r>
      <w:r>
        <w:rPr>
          <w:rFonts w:hint="eastAsia" w:ascii="宋体" w:hAnsi="宋体"/>
          <w:color w:val="auto"/>
          <w:sz w:val="24"/>
          <w:szCs w:val="28"/>
          <w:highlight w:val="none"/>
          <w:u w:val="single"/>
          <w:lang w:val="en-US" w:eastAsia="zh-CN"/>
        </w:rPr>
        <w:t>16</w:t>
      </w:r>
      <w:r>
        <w:rPr>
          <w:rFonts w:hint="eastAsia" w:ascii="宋体" w:hAnsi="宋体"/>
          <w:color w:val="auto"/>
          <w:sz w:val="24"/>
          <w:szCs w:val="28"/>
          <w:highlight w:val="none"/>
          <w:u w:val="single"/>
        </w:rPr>
        <w:t xml:space="preserve"> </w:t>
      </w:r>
      <w:r>
        <w:rPr>
          <w:rFonts w:hint="eastAsia" w:ascii="宋体" w:hAnsi="宋体"/>
          <w:color w:val="auto"/>
          <w:sz w:val="24"/>
          <w:szCs w:val="28"/>
          <w:highlight w:val="none"/>
        </w:rPr>
        <w:t xml:space="preserve">日 </w:t>
      </w:r>
      <w:r>
        <w:rPr>
          <w:rFonts w:hint="eastAsia" w:ascii="宋体" w:hAnsi="宋体"/>
          <w:color w:val="auto"/>
          <w:sz w:val="24"/>
          <w:szCs w:val="28"/>
          <w:highlight w:val="none"/>
          <w:u w:val="single"/>
        </w:rPr>
        <w:t xml:space="preserve">09 </w:t>
      </w:r>
      <w:r>
        <w:rPr>
          <w:rFonts w:hint="eastAsia" w:ascii="宋体" w:hAnsi="宋体"/>
          <w:color w:val="auto"/>
          <w:sz w:val="24"/>
          <w:szCs w:val="28"/>
          <w:highlight w:val="none"/>
        </w:rPr>
        <w:t>时</w:t>
      </w:r>
      <w:r>
        <w:rPr>
          <w:rFonts w:hint="eastAsia" w:ascii="宋体" w:hAnsi="宋体"/>
          <w:color w:val="auto"/>
          <w:sz w:val="24"/>
          <w:szCs w:val="28"/>
          <w:highlight w:val="none"/>
          <w:u w:val="single"/>
        </w:rPr>
        <w:t xml:space="preserve"> 30</w:t>
      </w:r>
      <w:r>
        <w:rPr>
          <w:rFonts w:hint="eastAsia" w:ascii="宋体" w:hAnsi="宋体"/>
          <w:color w:val="auto"/>
          <w:sz w:val="24"/>
          <w:szCs w:val="28"/>
          <w:highlight w:val="none"/>
        </w:rPr>
        <w:t xml:space="preserve"> 分</w:t>
      </w:r>
      <w:r>
        <w:rPr>
          <w:rFonts w:hint="eastAsia" w:ascii="宋体" w:hAnsi="宋体"/>
          <w:color w:val="auto"/>
          <w:sz w:val="24"/>
          <w:szCs w:val="28"/>
          <w:highlight w:val="none"/>
          <w:lang w:eastAsia="zh-CN"/>
        </w:rPr>
        <w:t>。</w:t>
      </w:r>
    </w:p>
    <w:p>
      <w:pPr>
        <w:tabs>
          <w:tab w:val="left" w:pos="312"/>
        </w:tabs>
        <w:spacing w:line="360" w:lineRule="auto"/>
        <w:ind w:firstLine="480" w:firstLineChars="200"/>
        <w:rPr>
          <w:rFonts w:hint="eastAsia"/>
          <w:color w:val="auto"/>
          <w:highlight w:val="none"/>
          <w:lang w:val="en-US" w:eastAsia="zh-CN"/>
        </w:rPr>
      </w:pPr>
      <w:r>
        <w:rPr>
          <w:rFonts w:hint="eastAsia" w:ascii="宋体" w:hAnsi="宋体"/>
          <w:color w:val="auto"/>
          <w:sz w:val="24"/>
          <w:szCs w:val="28"/>
          <w:highlight w:val="none"/>
          <w:lang w:eastAsia="zh-CN"/>
        </w:rPr>
        <w:t>开启</w:t>
      </w:r>
      <w:r>
        <w:rPr>
          <w:rFonts w:hint="eastAsia" w:ascii="宋体" w:hAnsi="宋体"/>
          <w:color w:val="auto"/>
          <w:sz w:val="24"/>
          <w:szCs w:val="28"/>
          <w:highlight w:val="none"/>
        </w:rPr>
        <w:t>地点</w:t>
      </w:r>
      <w:r>
        <w:rPr>
          <w:rFonts w:hint="eastAsia" w:ascii="宋体" w:hAnsi="宋体"/>
          <w:color w:val="auto"/>
          <w:sz w:val="24"/>
          <w:szCs w:val="28"/>
          <w:highlight w:val="none"/>
          <w:lang w:eastAsia="zh-CN"/>
        </w:rPr>
        <w:t>：</w:t>
      </w:r>
      <w:r>
        <w:rPr>
          <w:rFonts w:hint="eastAsia" w:ascii="宋体" w:hAnsi="宋体"/>
          <w:color w:val="auto"/>
          <w:sz w:val="24"/>
          <w:szCs w:val="28"/>
          <w:highlight w:val="none"/>
          <w:u w:val="single"/>
        </w:rPr>
        <w:t>青海锦翔工程项目管理有限公司</w:t>
      </w:r>
      <w:r>
        <w:rPr>
          <w:rFonts w:hint="eastAsia" w:ascii="宋体" w:hAnsi="宋体"/>
          <w:color w:val="auto"/>
          <w:sz w:val="24"/>
          <w:szCs w:val="28"/>
          <w:highlight w:val="none"/>
        </w:rPr>
        <w:t>（青海省西宁市城西区西川南路76号4号楼14506室开标室）。</w:t>
      </w:r>
    </w:p>
    <w:p>
      <w:pPr>
        <w:tabs>
          <w:tab w:val="left" w:pos="312"/>
        </w:tabs>
        <w:spacing w:line="360" w:lineRule="auto"/>
        <w:rPr>
          <w:rFonts w:ascii="宋体" w:hAnsi="宋体"/>
          <w:b/>
          <w:bCs/>
          <w:color w:val="auto"/>
          <w:sz w:val="28"/>
          <w:szCs w:val="28"/>
          <w:highlight w:val="none"/>
        </w:rPr>
      </w:pPr>
      <w:r>
        <w:rPr>
          <w:rFonts w:hint="eastAsia" w:ascii="宋体" w:hAnsi="宋体"/>
          <w:b/>
          <w:bCs/>
          <w:color w:val="auto"/>
          <w:sz w:val="28"/>
          <w:szCs w:val="28"/>
          <w:highlight w:val="none"/>
          <w:lang w:val="en-US" w:eastAsia="zh-CN"/>
        </w:rPr>
        <w:t>7</w:t>
      </w:r>
      <w:r>
        <w:rPr>
          <w:rFonts w:hint="eastAsia" w:ascii="宋体" w:hAnsi="宋体"/>
          <w:b/>
          <w:bCs/>
          <w:color w:val="auto"/>
          <w:sz w:val="28"/>
          <w:szCs w:val="28"/>
          <w:highlight w:val="none"/>
        </w:rPr>
        <w:t>.发布公告的媒介</w:t>
      </w:r>
    </w:p>
    <w:p>
      <w:pPr>
        <w:pStyle w:val="34"/>
        <w:shd w:val="clear" w:color="auto" w:fill="FFFFFF"/>
        <w:spacing w:beforeAutospacing="0" w:afterAutospacing="0" w:line="500" w:lineRule="exact"/>
        <w:ind w:firstLine="280"/>
        <w:rPr>
          <w:rFonts w:hint="eastAsia" w:ascii="宋体" w:hAnsi="宋体"/>
          <w:color w:val="auto"/>
          <w:kern w:val="2"/>
          <w:szCs w:val="28"/>
          <w:highlight w:val="none"/>
        </w:rPr>
      </w:pPr>
      <w:r>
        <w:rPr>
          <w:rFonts w:hint="eastAsia" w:ascii="宋体" w:hAnsi="宋体"/>
          <w:color w:val="auto"/>
          <w:kern w:val="2"/>
          <w:szCs w:val="28"/>
          <w:highlight w:val="none"/>
        </w:rPr>
        <w:t>本公告在《中国采购与招标网》《青海项目信息网》上发布。</w:t>
      </w:r>
    </w:p>
    <w:p>
      <w:pPr>
        <w:tabs>
          <w:tab w:val="left" w:pos="312"/>
        </w:tabs>
        <w:spacing w:line="360" w:lineRule="auto"/>
        <w:rPr>
          <w:rFonts w:hint="eastAsia" w:ascii="宋体" w:hAnsi="宋体" w:eastAsia="宋体"/>
          <w:b/>
          <w:bCs/>
          <w:color w:val="auto"/>
          <w:sz w:val="28"/>
          <w:szCs w:val="28"/>
          <w:highlight w:val="none"/>
          <w:lang w:val="en-US" w:eastAsia="zh-CN"/>
        </w:rPr>
      </w:pPr>
      <w:r>
        <w:rPr>
          <w:rFonts w:hint="eastAsia" w:ascii="宋体" w:hAnsi="宋体"/>
          <w:b/>
          <w:bCs/>
          <w:color w:val="auto"/>
          <w:sz w:val="28"/>
          <w:szCs w:val="28"/>
          <w:highlight w:val="none"/>
          <w:lang w:val="en-US" w:eastAsia="zh-CN"/>
        </w:rPr>
        <w:t>8</w:t>
      </w:r>
      <w:r>
        <w:rPr>
          <w:rFonts w:hint="eastAsia" w:ascii="宋体" w:hAnsi="宋体"/>
          <w:b/>
          <w:bCs/>
          <w:color w:val="auto"/>
          <w:sz w:val="28"/>
          <w:szCs w:val="28"/>
          <w:highlight w:val="none"/>
        </w:rPr>
        <w:t>.联系方式</w:t>
      </w:r>
      <w:r>
        <w:rPr>
          <w:rFonts w:hint="eastAsia" w:ascii="宋体" w:hAnsi="宋体"/>
          <w:b/>
          <w:bCs/>
          <w:color w:val="auto"/>
          <w:sz w:val="28"/>
          <w:szCs w:val="28"/>
          <w:highlight w:val="none"/>
          <w:lang w:val="en-US" w:eastAsia="zh-CN"/>
        </w:rPr>
        <w:t xml:space="preserve"> </w:t>
      </w:r>
    </w:p>
    <w:p>
      <w:pPr>
        <w:autoSpaceDE w:val="0"/>
        <w:autoSpaceDN w:val="0"/>
        <w:adjustRightInd w:val="0"/>
        <w:spacing w:line="360" w:lineRule="auto"/>
        <w:ind w:firstLine="240" w:firstLineChars="100"/>
        <w:rPr>
          <w:rFonts w:hint="eastAsia" w:ascii="宋体" w:hAnsi="宋体" w:eastAsia="宋体"/>
          <w:color w:val="auto"/>
          <w:sz w:val="24"/>
          <w:szCs w:val="28"/>
          <w:highlight w:val="none"/>
          <w:lang w:val="zh-CN" w:eastAsia="zh-CN"/>
        </w:rPr>
      </w:pPr>
      <w:r>
        <w:rPr>
          <w:rFonts w:hint="eastAsia" w:ascii="宋体" w:hAnsi="宋体"/>
          <w:color w:val="auto"/>
          <w:sz w:val="24"/>
          <w:szCs w:val="28"/>
          <w:highlight w:val="none"/>
          <w:lang w:val="zh-CN"/>
        </w:rPr>
        <w:t>采</w:t>
      </w:r>
      <w:r>
        <w:rPr>
          <w:rFonts w:hint="eastAsia" w:ascii="宋体" w:hAnsi="宋体"/>
          <w:color w:val="auto"/>
          <w:sz w:val="24"/>
          <w:szCs w:val="28"/>
          <w:highlight w:val="none"/>
          <w:lang w:val="en-US" w:eastAsia="zh-CN"/>
        </w:rPr>
        <w:t xml:space="preserve"> </w:t>
      </w:r>
      <w:r>
        <w:rPr>
          <w:rFonts w:hint="eastAsia" w:ascii="宋体" w:hAnsi="宋体"/>
          <w:color w:val="auto"/>
          <w:sz w:val="24"/>
          <w:szCs w:val="28"/>
          <w:highlight w:val="none"/>
          <w:lang w:val="zh-CN"/>
        </w:rPr>
        <w:t>购 人：</w:t>
      </w:r>
      <w:r>
        <w:rPr>
          <w:rFonts w:hint="eastAsia" w:ascii="宋体" w:hAnsi="宋体"/>
          <w:bCs/>
          <w:color w:val="auto"/>
          <w:sz w:val="24"/>
          <w:szCs w:val="28"/>
          <w:highlight w:val="none"/>
          <w:lang w:eastAsia="zh-CN"/>
        </w:rPr>
        <w:t xml:space="preserve">乌兰县恒信国有资产投资管理有限公司 </w:t>
      </w:r>
    </w:p>
    <w:p>
      <w:pPr>
        <w:autoSpaceDE w:val="0"/>
        <w:autoSpaceDN w:val="0"/>
        <w:adjustRightInd w:val="0"/>
        <w:spacing w:line="360" w:lineRule="auto"/>
        <w:ind w:firstLine="240" w:firstLineChars="100"/>
        <w:rPr>
          <w:rFonts w:hint="eastAsia" w:ascii="宋体" w:hAnsi="宋体" w:eastAsia="宋体" w:cs="Times New Roman"/>
          <w:color w:val="auto"/>
          <w:sz w:val="24"/>
          <w:szCs w:val="28"/>
          <w:highlight w:val="none"/>
          <w:lang w:val="zh-CN"/>
        </w:rPr>
      </w:pPr>
      <w:r>
        <w:rPr>
          <w:rFonts w:hint="eastAsia" w:ascii="宋体" w:hAnsi="宋体"/>
          <w:color w:val="auto"/>
          <w:sz w:val="24"/>
          <w:szCs w:val="28"/>
          <w:highlight w:val="none"/>
          <w:lang w:val="zh-CN"/>
        </w:rPr>
        <w:t>联</w:t>
      </w:r>
      <w:r>
        <w:rPr>
          <w:rFonts w:hint="eastAsia" w:ascii="宋体" w:hAnsi="宋体"/>
          <w:color w:val="auto"/>
          <w:sz w:val="24"/>
          <w:szCs w:val="28"/>
          <w:highlight w:val="none"/>
          <w:lang w:val="en-US" w:eastAsia="zh-CN"/>
        </w:rPr>
        <w:t xml:space="preserve"> </w:t>
      </w:r>
      <w:r>
        <w:rPr>
          <w:rFonts w:hint="eastAsia" w:ascii="宋体" w:hAnsi="宋体"/>
          <w:color w:val="auto"/>
          <w:sz w:val="24"/>
          <w:szCs w:val="28"/>
          <w:highlight w:val="none"/>
          <w:lang w:val="zh-CN"/>
        </w:rPr>
        <w:t>系</w:t>
      </w:r>
      <w:r>
        <w:rPr>
          <w:rFonts w:hint="eastAsia" w:ascii="宋体" w:hAnsi="宋体"/>
          <w:color w:val="auto"/>
          <w:sz w:val="24"/>
          <w:szCs w:val="28"/>
          <w:highlight w:val="none"/>
          <w:lang w:val="en-US" w:eastAsia="zh-CN"/>
        </w:rPr>
        <w:t xml:space="preserve"> </w:t>
      </w:r>
      <w:r>
        <w:rPr>
          <w:rFonts w:hint="eastAsia" w:ascii="宋体" w:hAnsi="宋体"/>
          <w:color w:val="auto"/>
          <w:sz w:val="24"/>
          <w:szCs w:val="28"/>
          <w:highlight w:val="none"/>
          <w:lang w:val="zh-CN"/>
        </w:rPr>
        <w:t>人</w:t>
      </w:r>
      <w:r>
        <w:rPr>
          <w:rFonts w:hint="eastAsia" w:ascii="宋体" w:hAnsi="宋体" w:eastAsia="宋体" w:cs="Times New Roman"/>
          <w:color w:val="auto"/>
          <w:sz w:val="24"/>
          <w:szCs w:val="28"/>
          <w:highlight w:val="none"/>
          <w:lang w:val="zh-CN"/>
        </w:rPr>
        <w:t>：</w:t>
      </w:r>
      <w:r>
        <w:rPr>
          <w:rFonts w:hint="eastAsia" w:ascii="宋体" w:hAnsi="宋体" w:eastAsia="宋体" w:cs="Times New Roman"/>
          <w:color w:val="auto"/>
          <w:sz w:val="24"/>
          <w:szCs w:val="28"/>
          <w:highlight w:val="none"/>
          <w:lang w:val="zh-CN" w:eastAsia="zh-CN"/>
        </w:rPr>
        <w:t>姚兴宁</w:t>
      </w:r>
    </w:p>
    <w:p>
      <w:pPr>
        <w:autoSpaceDE w:val="0"/>
        <w:autoSpaceDN w:val="0"/>
        <w:adjustRightInd w:val="0"/>
        <w:spacing w:line="360" w:lineRule="auto"/>
        <w:ind w:firstLine="240" w:firstLineChars="100"/>
        <w:rPr>
          <w:rFonts w:hint="eastAsia" w:ascii="宋体" w:hAnsi="宋体" w:eastAsia="宋体" w:cs="Times New Roman"/>
          <w:color w:val="auto"/>
          <w:sz w:val="24"/>
          <w:szCs w:val="28"/>
          <w:highlight w:val="none"/>
          <w:lang w:val="zh-CN"/>
        </w:rPr>
      </w:pPr>
      <w:r>
        <w:rPr>
          <w:rFonts w:hint="eastAsia" w:ascii="宋体" w:hAnsi="宋体" w:eastAsia="宋体" w:cs="Times New Roman"/>
          <w:color w:val="auto"/>
          <w:sz w:val="24"/>
          <w:szCs w:val="28"/>
          <w:highlight w:val="none"/>
          <w:lang w:val="zh-CN"/>
        </w:rPr>
        <w:t>联系电话：</w:t>
      </w:r>
      <w:r>
        <w:rPr>
          <w:rFonts w:hint="eastAsia" w:ascii="宋体" w:hAnsi="宋体" w:eastAsia="宋体" w:cs="Times New Roman"/>
          <w:color w:val="auto"/>
          <w:sz w:val="24"/>
          <w:szCs w:val="28"/>
          <w:highlight w:val="none"/>
          <w:lang w:val="en-US" w:eastAsia="zh-CN"/>
        </w:rPr>
        <w:t>18997471666</w:t>
      </w:r>
    </w:p>
    <w:p>
      <w:pPr>
        <w:autoSpaceDE w:val="0"/>
        <w:autoSpaceDN w:val="0"/>
        <w:adjustRightInd w:val="0"/>
        <w:spacing w:line="360" w:lineRule="auto"/>
        <w:ind w:firstLine="240" w:firstLineChars="100"/>
        <w:rPr>
          <w:rFonts w:ascii="宋体" w:hAnsi="宋体"/>
          <w:color w:val="auto"/>
          <w:sz w:val="24"/>
          <w:szCs w:val="28"/>
          <w:highlight w:val="none"/>
          <w:lang w:val="zh-CN"/>
        </w:rPr>
      </w:pPr>
      <w:r>
        <w:rPr>
          <w:rFonts w:hint="eastAsia" w:ascii="宋体" w:hAnsi="宋体"/>
          <w:color w:val="auto"/>
          <w:sz w:val="24"/>
          <w:szCs w:val="28"/>
          <w:highlight w:val="none"/>
          <w:lang w:val="zh-CN"/>
        </w:rPr>
        <w:t xml:space="preserve">采购代理机构：青海锦翔工程项目管理有限公司 </w:t>
      </w:r>
    </w:p>
    <w:p>
      <w:pPr>
        <w:autoSpaceDE w:val="0"/>
        <w:autoSpaceDN w:val="0"/>
        <w:adjustRightInd w:val="0"/>
        <w:spacing w:line="360" w:lineRule="auto"/>
        <w:ind w:firstLine="240" w:firstLineChars="100"/>
        <w:rPr>
          <w:rFonts w:ascii="宋体" w:hAnsi="宋体"/>
          <w:color w:val="auto"/>
          <w:sz w:val="24"/>
          <w:szCs w:val="28"/>
          <w:highlight w:val="none"/>
          <w:lang w:val="zh-CN"/>
        </w:rPr>
      </w:pPr>
      <w:r>
        <w:rPr>
          <w:rFonts w:hint="eastAsia" w:ascii="宋体" w:hAnsi="宋体"/>
          <w:color w:val="auto"/>
          <w:sz w:val="24"/>
          <w:szCs w:val="28"/>
          <w:highlight w:val="none"/>
          <w:lang w:val="zh-CN"/>
        </w:rPr>
        <w:t>地 址：</w:t>
      </w:r>
      <w:r>
        <w:rPr>
          <w:rFonts w:hint="eastAsia" w:ascii="宋体" w:hAnsi="宋体"/>
          <w:color w:val="auto"/>
          <w:sz w:val="24"/>
          <w:szCs w:val="28"/>
          <w:highlight w:val="none"/>
        </w:rPr>
        <w:t>青海省西宁市城西区西川南路76号4号楼14506室</w:t>
      </w:r>
    </w:p>
    <w:p>
      <w:pPr>
        <w:autoSpaceDE w:val="0"/>
        <w:autoSpaceDN w:val="0"/>
        <w:adjustRightInd w:val="0"/>
        <w:spacing w:line="360" w:lineRule="auto"/>
        <w:ind w:firstLine="240" w:firstLineChars="100"/>
        <w:rPr>
          <w:rFonts w:ascii="宋体" w:hAnsi="宋体"/>
          <w:color w:val="auto"/>
          <w:sz w:val="24"/>
          <w:szCs w:val="28"/>
          <w:highlight w:val="none"/>
          <w:lang w:val="zh-CN"/>
        </w:rPr>
      </w:pPr>
      <w:r>
        <w:rPr>
          <w:rFonts w:hint="eastAsia" w:ascii="宋体" w:hAnsi="宋体"/>
          <w:color w:val="auto"/>
          <w:sz w:val="24"/>
          <w:szCs w:val="28"/>
          <w:highlight w:val="none"/>
          <w:lang w:val="zh-CN"/>
        </w:rPr>
        <w:t>联 系 人：王女士</w:t>
      </w:r>
    </w:p>
    <w:p>
      <w:pPr>
        <w:autoSpaceDE w:val="0"/>
        <w:autoSpaceDN w:val="0"/>
        <w:adjustRightInd w:val="0"/>
        <w:spacing w:line="360" w:lineRule="auto"/>
        <w:ind w:firstLine="240" w:firstLineChars="100"/>
        <w:rPr>
          <w:rFonts w:hint="default" w:ascii="宋体" w:hAnsi="宋体" w:eastAsia="宋体"/>
          <w:color w:val="auto"/>
          <w:sz w:val="24"/>
          <w:szCs w:val="28"/>
          <w:highlight w:val="none"/>
          <w:lang w:val="en-US" w:eastAsia="zh-CN"/>
        </w:rPr>
      </w:pPr>
      <w:r>
        <w:rPr>
          <w:rFonts w:hint="eastAsia" w:ascii="宋体" w:hAnsi="宋体"/>
          <w:color w:val="auto"/>
          <w:sz w:val="24"/>
          <w:szCs w:val="28"/>
          <w:highlight w:val="none"/>
          <w:lang w:val="zh-CN"/>
        </w:rPr>
        <w:t>电    话：</w:t>
      </w:r>
      <w:r>
        <w:rPr>
          <w:rFonts w:hint="eastAsia" w:ascii="宋体" w:hAnsi="宋体"/>
          <w:color w:val="auto"/>
          <w:sz w:val="24"/>
          <w:szCs w:val="28"/>
          <w:highlight w:val="none"/>
        </w:rPr>
        <w:t xml:space="preserve">0971-8010626  </w:t>
      </w:r>
      <w:r>
        <w:rPr>
          <w:rFonts w:hint="eastAsia" w:ascii="宋体" w:hAnsi="宋体"/>
          <w:color w:val="auto"/>
          <w:sz w:val="24"/>
          <w:szCs w:val="28"/>
          <w:highlight w:val="none"/>
          <w:lang w:val="en-US" w:eastAsia="zh-CN"/>
        </w:rPr>
        <w:t>18009725433</w:t>
      </w:r>
    </w:p>
    <w:p>
      <w:pPr>
        <w:autoSpaceDE w:val="0"/>
        <w:autoSpaceDN w:val="0"/>
        <w:adjustRightInd w:val="0"/>
        <w:spacing w:line="360" w:lineRule="auto"/>
        <w:ind w:firstLine="240" w:firstLineChars="100"/>
        <w:rPr>
          <w:rFonts w:ascii="宋体" w:hAnsi="宋体"/>
          <w:color w:val="auto"/>
          <w:sz w:val="24"/>
          <w:szCs w:val="28"/>
          <w:highlight w:val="none"/>
          <w:lang w:val="zh-CN"/>
        </w:rPr>
      </w:pPr>
      <w:r>
        <w:rPr>
          <w:rFonts w:hint="eastAsia" w:ascii="宋体" w:hAnsi="宋体"/>
          <w:color w:val="auto"/>
          <w:sz w:val="24"/>
          <w:szCs w:val="28"/>
          <w:highlight w:val="none"/>
          <w:lang w:val="zh-CN"/>
        </w:rPr>
        <w:t>开户银行：</w:t>
      </w:r>
      <w:r>
        <w:rPr>
          <w:rFonts w:hint="eastAsia" w:ascii="宋体" w:hAnsi="宋体" w:cs="宋体"/>
          <w:color w:val="auto"/>
          <w:sz w:val="24"/>
          <w:highlight w:val="none"/>
        </w:rPr>
        <w:t>建行西宁万达广场支行</w:t>
      </w:r>
    </w:p>
    <w:p>
      <w:pPr>
        <w:autoSpaceDE w:val="0"/>
        <w:autoSpaceDN w:val="0"/>
        <w:adjustRightInd w:val="0"/>
        <w:spacing w:line="360" w:lineRule="auto"/>
        <w:ind w:firstLine="240" w:firstLineChars="100"/>
        <w:rPr>
          <w:rFonts w:ascii="宋体" w:hAnsi="宋体"/>
          <w:color w:val="auto"/>
          <w:sz w:val="24"/>
          <w:szCs w:val="28"/>
          <w:highlight w:val="none"/>
          <w:lang w:val="zh-CN"/>
        </w:rPr>
      </w:pPr>
      <w:r>
        <w:rPr>
          <w:rFonts w:hint="eastAsia" w:ascii="宋体" w:hAnsi="宋体"/>
          <w:color w:val="auto"/>
          <w:sz w:val="24"/>
          <w:szCs w:val="28"/>
          <w:highlight w:val="none"/>
          <w:lang w:val="zh-CN"/>
        </w:rPr>
        <w:t>账    号：63050110251300000419</w:t>
      </w:r>
    </w:p>
    <w:p>
      <w:pPr>
        <w:spacing w:line="360" w:lineRule="auto"/>
        <w:rPr>
          <w:rFonts w:ascii="宋体" w:hAnsi="宋体"/>
          <w:color w:val="auto"/>
          <w:sz w:val="24"/>
          <w:szCs w:val="28"/>
          <w:highlight w:val="none"/>
          <w:lang w:val="zh-CN"/>
        </w:rPr>
      </w:pPr>
    </w:p>
    <w:p>
      <w:pPr>
        <w:pStyle w:val="2"/>
        <w:rPr>
          <w:rFonts w:ascii="宋体" w:hAnsi="宋体"/>
          <w:color w:val="auto"/>
          <w:sz w:val="24"/>
          <w:szCs w:val="28"/>
          <w:highlight w:val="none"/>
          <w:lang w:val="zh-CN"/>
        </w:rPr>
      </w:pPr>
    </w:p>
    <w:p>
      <w:pPr>
        <w:pStyle w:val="2"/>
        <w:rPr>
          <w:rFonts w:ascii="宋体" w:hAnsi="宋体"/>
          <w:color w:val="auto"/>
          <w:sz w:val="24"/>
          <w:szCs w:val="28"/>
          <w:highlight w:val="none"/>
          <w:lang w:val="zh-CN"/>
        </w:rPr>
      </w:pPr>
    </w:p>
    <w:p>
      <w:pPr>
        <w:spacing w:line="360" w:lineRule="auto"/>
        <w:ind w:left="720" w:firstLine="3720" w:firstLineChars="1550"/>
        <w:jc w:val="right"/>
        <w:rPr>
          <w:rFonts w:ascii="宋体" w:hAnsi="宋体"/>
          <w:color w:val="auto"/>
          <w:sz w:val="24"/>
          <w:szCs w:val="28"/>
          <w:highlight w:val="none"/>
        </w:rPr>
      </w:pPr>
      <w:r>
        <w:rPr>
          <w:rFonts w:hint="eastAsia" w:ascii="宋体" w:hAnsi="宋体"/>
          <w:color w:val="auto"/>
          <w:sz w:val="24"/>
          <w:szCs w:val="28"/>
          <w:highlight w:val="none"/>
          <w:lang w:val="zh-CN"/>
        </w:rPr>
        <w:t>青海锦翔工程项目管理有限公司</w:t>
      </w:r>
    </w:p>
    <w:p>
      <w:pPr>
        <w:autoSpaceDE w:val="0"/>
        <w:autoSpaceDN w:val="0"/>
        <w:adjustRightInd w:val="0"/>
        <w:spacing w:line="360" w:lineRule="auto"/>
        <w:jc w:val="right"/>
        <w:rPr>
          <w:rFonts w:ascii="宋体" w:hAnsi="宋体"/>
          <w:color w:val="auto"/>
          <w:sz w:val="24"/>
          <w:szCs w:val="28"/>
          <w:highlight w:val="none"/>
        </w:rPr>
      </w:pPr>
      <w:r>
        <w:rPr>
          <w:rFonts w:hint="eastAsia" w:ascii="宋体" w:hAnsi="宋体"/>
          <w:color w:val="auto"/>
          <w:sz w:val="24"/>
          <w:szCs w:val="28"/>
          <w:highlight w:val="none"/>
        </w:rPr>
        <w:t xml:space="preserve"> 202</w:t>
      </w:r>
      <w:r>
        <w:rPr>
          <w:rFonts w:hint="eastAsia" w:ascii="宋体" w:hAnsi="宋体"/>
          <w:color w:val="auto"/>
          <w:sz w:val="24"/>
          <w:szCs w:val="28"/>
          <w:highlight w:val="none"/>
          <w:lang w:val="en-US" w:eastAsia="zh-CN"/>
        </w:rPr>
        <w:t>2</w:t>
      </w:r>
      <w:r>
        <w:rPr>
          <w:rFonts w:hint="eastAsia" w:ascii="宋体" w:hAnsi="宋体"/>
          <w:color w:val="auto"/>
          <w:sz w:val="24"/>
          <w:szCs w:val="28"/>
          <w:highlight w:val="none"/>
        </w:rPr>
        <w:t>年</w:t>
      </w:r>
      <w:r>
        <w:rPr>
          <w:rFonts w:hint="eastAsia" w:ascii="宋体" w:hAnsi="宋体"/>
          <w:color w:val="auto"/>
          <w:sz w:val="24"/>
          <w:szCs w:val="28"/>
          <w:highlight w:val="none"/>
          <w:lang w:val="en-US" w:eastAsia="zh-CN"/>
        </w:rPr>
        <w:t>5</w:t>
      </w:r>
      <w:r>
        <w:rPr>
          <w:rFonts w:hint="eastAsia" w:ascii="宋体" w:hAnsi="宋体"/>
          <w:color w:val="auto"/>
          <w:sz w:val="24"/>
          <w:szCs w:val="28"/>
          <w:highlight w:val="none"/>
        </w:rPr>
        <w:t>月</w:t>
      </w:r>
      <w:r>
        <w:rPr>
          <w:rFonts w:hint="eastAsia" w:ascii="宋体" w:hAnsi="宋体"/>
          <w:color w:val="auto"/>
          <w:sz w:val="24"/>
          <w:szCs w:val="28"/>
          <w:highlight w:val="none"/>
          <w:lang w:val="en-US" w:eastAsia="zh-CN"/>
        </w:rPr>
        <w:t>9</w:t>
      </w:r>
      <w:r>
        <w:rPr>
          <w:rFonts w:hint="eastAsia" w:ascii="宋体" w:hAnsi="宋体"/>
          <w:color w:val="auto"/>
          <w:sz w:val="24"/>
          <w:szCs w:val="28"/>
          <w:highlight w:val="none"/>
        </w:rPr>
        <w:t>日</w:t>
      </w:r>
      <w:bookmarkStart w:id="7" w:name="_Toc10730532"/>
      <w:bookmarkStart w:id="8" w:name="_Toc13582292"/>
      <w:bookmarkStart w:id="9" w:name="_Toc20350"/>
    </w:p>
    <w:p>
      <w:pPr>
        <w:pStyle w:val="21"/>
        <w:jc w:val="center"/>
        <w:rPr>
          <w:b/>
          <w:color w:val="auto"/>
          <w:sz w:val="44"/>
          <w:highlight w:val="none"/>
          <w:lang w:val="zh-CN"/>
        </w:rPr>
      </w:pPr>
    </w:p>
    <w:p>
      <w:pPr>
        <w:pStyle w:val="21"/>
        <w:rPr>
          <w:b/>
          <w:color w:val="auto"/>
          <w:sz w:val="44"/>
          <w:highlight w:val="none"/>
          <w:lang w:val="zh-CN"/>
        </w:rPr>
      </w:pPr>
    </w:p>
    <w:p>
      <w:pPr>
        <w:pStyle w:val="21"/>
        <w:rPr>
          <w:b/>
          <w:color w:val="auto"/>
          <w:sz w:val="44"/>
          <w:highlight w:val="none"/>
          <w:lang w:val="zh-CN"/>
        </w:rPr>
      </w:pPr>
    </w:p>
    <w:p>
      <w:pPr>
        <w:pStyle w:val="21"/>
        <w:rPr>
          <w:b/>
          <w:color w:val="auto"/>
          <w:sz w:val="44"/>
          <w:highlight w:val="none"/>
          <w:lang w:val="zh-CN"/>
        </w:rPr>
      </w:pPr>
    </w:p>
    <w:p>
      <w:pPr>
        <w:pStyle w:val="21"/>
        <w:rPr>
          <w:b/>
          <w:color w:val="auto"/>
          <w:sz w:val="44"/>
          <w:highlight w:val="none"/>
          <w:lang w:val="zh-CN"/>
        </w:rPr>
      </w:pPr>
    </w:p>
    <w:p>
      <w:pPr>
        <w:pStyle w:val="21"/>
        <w:rPr>
          <w:b/>
          <w:color w:val="auto"/>
          <w:sz w:val="44"/>
          <w:highlight w:val="none"/>
          <w:lang w:val="zh-CN"/>
        </w:rPr>
      </w:pPr>
    </w:p>
    <w:p>
      <w:pPr>
        <w:pStyle w:val="21"/>
        <w:rPr>
          <w:b/>
          <w:color w:val="auto"/>
          <w:sz w:val="44"/>
          <w:highlight w:val="none"/>
          <w:lang w:val="zh-CN"/>
        </w:rPr>
      </w:pPr>
    </w:p>
    <w:p>
      <w:pPr>
        <w:pStyle w:val="21"/>
        <w:rPr>
          <w:b/>
          <w:color w:val="auto"/>
          <w:sz w:val="44"/>
          <w:highlight w:val="none"/>
          <w:lang w:val="zh-CN"/>
        </w:rPr>
      </w:pPr>
    </w:p>
    <w:bookmarkEnd w:id="7"/>
    <w:bookmarkEnd w:id="8"/>
    <w:bookmarkEnd w:id="9"/>
    <w:p>
      <w:pPr>
        <w:pStyle w:val="35"/>
        <w:spacing w:line="360" w:lineRule="auto"/>
        <w:jc w:val="center"/>
        <w:rPr>
          <w:rFonts w:hint="default"/>
          <w:color w:val="auto"/>
          <w:sz w:val="44"/>
          <w:szCs w:val="36"/>
          <w:highlight w:val="none"/>
          <w:lang w:val="en-US" w:eastAsia="zh-CN"/>
        </w:rPr>
      </w:pPr>
      <w:bookmarkStart w:id="10" w:name="_Toc6589"/>
      <w:bookmarkStart w:id="11" w:name="_Toc4933"/>
      <w:r>
        <w:rPr>
          <w:rFonts w:hint="eastAsia"/>
          <w:color w:val="auto"/>
          <w:sz w:val="44"/>
          <w:szCs w:val="36"/>
          <w:highlight w:val="none"/>
          <w:lang w:eastAsia="zh-CN"/>
        </w:rPr>
        <w:t>第二部分</w:t>
      </w:r>
      <w:r>
        <w:rPr>
          <w:rFonts w:hint="eastAsia"/>
          <w:color w:val="auto"/>
          <w:sz w:val="44"/>
          <w:szCs w:val="36"/>
          <w:highlight w:val="none"/>
          <w:lang w:val="en-US" w:eastAsia="zh-CN"/>
        </w:rPr>
        <w:t xml:space="preserve">  供应商须知</w:t>
      </w:r>
      <w:bookmarkEnd w:id="10"/>
      <w:bookmarkEnd w:id="11"/>
    </w:p>
    <w:p>
      <w:pPr>
        <w:pStyle w:val="35"/>
        <w:numPr>
          <w:ilvl w:val="0"/>
          <w:numId w:val="0"/>
        </w:numPr>
        <w:jc w:val="center"/>
        <w:rPr>
          <w:rFonts w:hAnsi="宋体"/>
          <w:b/>
          <w:color w:val="auto"/>
          <w:sz w:val="28"/>
          <w:szCs w:val="28"/>
          <w:highlight w:val="none"/>
        </w:rPr>
      </w:pPr>
      <w:bookmarkStart w:id="12" w:name="_Toc12343"/>
      <w:bookmarkStart w:id="13" w:name="_Toc3760"/>
      <w:bookmarkStart w:id="14" w:name="_Toc20868"/>
      <w:bookmarkStart w:id="15" w:name="_Toc22277"/>
      <w:r>
        <w:rPr>
          <w:rFonts w:hint="eastAsia" w:ascii="Calibri" w:cs="Calibri"/>
          <w:color w:val="auto"/>
          <w:sz w:val="32"/>
          <w:highlight w:val="none"/>
        </w:rPr>
        <w:t>（一）</w:t>
      </w:r>
      <w:r>
        <w:rPr>
          <w:rFonts w:hint="eastAsia"/>
          <w:color w:val="auto"/>
          <w:sz w:val="32"/>
          <w:highlight w:val="none"/>
          <w:lang w:val="zh-CN"/>
        </w:rPr>
        <w:t>供应商须知前附表</w:t>
      </w:r>
      <w:bookmarkEnd w:id="12"/>
      <w:bookmarkEnd w:id="13"/>
      <w:bookmarkEnd w:id="14"/>
      <w:bookmarkEnd w:id="15"/>
    </w:p>
    <w:tbl>
      <w:tblPr>
        <w:tblStyle w:val="36"/>
        <w:tblpPr w:leftFromText="180" w:rightFromText="180" w:vertAnchor="text" w:horzAnchor="page" w:tblpX="1282" w:tblpY="664"/>
        <w:tblOverlap w:val="never"/>
        <w:tblW w:w="9525" w:type="dxa"/>
        <w:tblInd w:w="0" w:type="dxa"/>
        <w:tblLayout w:type="fixed"/>
        <w:tblCellMar>
          <w:top w:w="0" w:type="dxa"/>
          <w:left w:w="108" w:type="dxa"/>
          <w:bottom w:w="0" w:type="dxa"/>
          <w:right w:w="108" w:type="dxa"/>
        </w:tblCellMar>
      </w:tblPr>
      <w:tblGrid>
        <w:gridCol w:w="825"/>
        <w:gridCol w:w="2193"/>
        <w:gridCol w:w="6507"/>
      </w:tblGrid>
      <w:tr>
        <w:tblPrEx>
          <w:tblCellMar>
            <w:top w:w="0" w:type="dxa"/>
            <w:left w:w="108" w:type="dxa"/>
            <w:bottom w:w="0" w:type="dxa"/>
            <w:right w:w="108" w:type="dxa"/>
          </w:tblCellMar>
        </w:tblPrEx>
        <w:trPr>
          <w:trHeight w:val="434" w:hRule="atLeast"/>
        </w:trPr>
        <w:tc>
          <w:tcPr>
            <w:tcW w:w="825"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rPr>
                <w:rFonts w:hint="eastAsia" w:ascii="宋体" w:hAnsi="宋体" w:eastAsia="宋体" w:cs="宋体"/>
                <w:color w:val="auto"/>
                <w:kern w:val="0"/>
                <w:sz w:val="24"/>
                <w:szCs w:val="24"/>
                <w:highlight w:val="none"/>
                <w:lang w:val="zh-CN"/>
              </w:rPr>
            </w:pPr>
            <w:bookmarkStart w:id="16" w:name="_Toc25463"/>
            <w:bookmarkStart w:id="17" w:name="_Toc13582293"/>
            <w:bookmarkStart w:id="18" w:name="_Toc10730533"/>
            <w:r>
              <w:rPr>
                <w:rFonts w:hint="eastAsia" w:ascii="宋体" w:hAnsi="宋体" w:eastAsia="宋体" w:cs="宋体"/>
                <w:color w:val="auto"/>
                <w:kern w:val="0"/>
                <w:sz w:val="24"/>
                <w:szCs w:val="24"/>
                <w:highlight w:val="none"/>
                <w:lang w:val="zh-CN"/>
              </w:rPr>
              <w:t>序号</w:t>
            </w:r>
          </w:p>
        </w:tc>
        <w:tc>
          <w:tcPr>
            <w:tcW w:w="8700" w:type="dxa"/>
            <w:gridSpan w:val="2"/>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jc w:val="center"/>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zh-CN"/>
              </w:rPr>
              <w:t>内容</w:t>
            </w:r>
          </w:p>
        </w:tc>
      </w:tr>
      <w:tr>
        <w:tblPrEx>
          <w:tblCellMar>
            <w:top w:w="0" w:type="dxa"/>
            <w:left w:w="108" w:type="dxa"/>
            <w:bottom w:w="0" w:type="dxa"/>
            <w:right w:w="108" w:type="dxa"/>
          </w:tblCellMar>
        </w:tblPrEx>
        <w:trPr>
          <w:trHeight w:val="473" w:hRule="atLeast"/>
        </w:trPr>
        <w:tc>
          <w:tcPr>
            <w:tcW w:w="825"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jc w:val="center"/>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zh-CN"/>
              </w:rPr>
              <w:t>1</w:t>
            </w:r>
          </w:p>
        </w:tc>
        <w:tc>
          <w:tcPr>
            <w:tcW w:w="2193"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zh-CN"/>
              </w:rPr>
              <w:t>项目名称</w:t>
            </w:r>
          </w:p>
        </w:tc>
        <w:tc>
          <w:tcPr>
            <w:tcW w:w="6507"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rPr>
                <w:rFonts w:hint="eastAsia" w:ascii="宋体" w:hAnsi="宋体" w:eastAsia="宋体" w:cs="宋体"/>
                <w:color w:val="auto"/>
                <w:kern w:val="0"/>
                <w:sz w:val="24"/>
                <w:szCs w:val="24"/>
                <w:highlight w:val="none"/>
                <w:lang w:val="zh-CN" w:eastAsia="zh-CN"/>
              </w:rPr>
            </w:pPr>
            <w:r>
              <w:rPr>
                <w:rFonts w:hint="eastAsia" w:ascii="宋体" w:hAnsi="宋体" w:eastAsia="宋体" w:cs="宋体"/>
                <w:color w:val="auto"/>
                <w:kern w:val="0"/>
                <w:sz w:val="24"/>
                <w:szCs w:val="24"/>
                <w:highlight w:val="none"/>
                <w:lang w:val="zh-CN"/>
              </w:rPr>
              <w:t>乌兰县藜麦深加工设备采购项目</w:t>
            </w:r>
          </w:p>
        </w:tc>
      </w:tr>
      <w:tr>
        <w:tblPrEx>
          <w:tblCellMar>
            <w:top w:w="0" w:type="dxa"/>
            <w:left w:w="108" w:type="dxa"/>
            <w:bottom w:w="0" w:type="dxa"/>
            <w:right w:w="108" w:type="dxa"/>
          </w:tblCellMar>
        </w:tblPrEx>
        <w:trPr>
          <w:trHeight w:val="419" w:hRule="atLeast"/>
        </w:trPr>
        <w:tc>
          <w:tcPr>
            <w:tcW w:w="825"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jc w:val="center"/>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zh-CN"/>
              </w:rPr>
              <w:t>2</w:t>
            </w:r>
          </w:p>
        </w:tc>
        <w:tc>
          <w:tcPr>
            <w:tcW w:w="2193"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zh-CN"/>
              </w:rPr>
              <w:t>项目编号</w:t>
            </w:r>
          </w:p>
        </w:tc>
        <w:tc>
          <w:tcPr>
            <w:tcW w:w="6507"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rPr>
                <w:rFonts w:hint="eastAsia" w:ascii="宋体" w:hAnsi="宋体" w:eastAsia="宋体" w:cs="宋体"/>
                <w:color w:val="auto"/>
                <w:kern w:val="0"/>
                <w:sz w:val="24"/>
                <w:szCs w:val="24"/>
                <w:highlight w:val="none"/>
              </w:rPr>
            </w:pPr>
            <w:r>
              <w:rPr>
                <w:rFonts w:hint="eastAsia" w:ascii="宋体" w:hAnsi="宋体" w:eastAsia="宋体" w:cs="宋体"/>
                <w:b w:val="0"/>
                <w:bCs/>
                <w:color w:val="auto"/>
                <w:sz w:val="24"/>
                <w:szCs w:val="24"/>
                <w:highlight w:val="none"/>
                <w:u w:val="none"/>
                <w:lang w:val="zh-CN"/>
              </w:rPr>
              <w:t>QHJX-XBHW-202</w:t>
            </w:r>
            <w:r>
              <w:rPr>
                <w:rFonts w:hint="eastAsia" w:ascii="宋体" w:hAnsi="宋体" w:eastAsia="宋体" w:cs="宋体"/>
                <w:b w:val="0"/>
                <w:bCs/>
                <w:color w:val="auto"/>
                <w:sz w:val="24"/>
                <w:szCs w:val="24"/>
                <w:highlight w:val="none"/>
                <w:u w:val="none"/>
                <w:lang w:val="en-US" w:eastAsia="zh-CN"/>
              </w:rPr>
              <w:t>2</w:t>
            </w:r>
            <w:r>
              <w:rPr>
                <w:rFonts w:hint="eastAsia" w:ascii="宋体" w:hAnsi="宋体" w:eastAsia="宋体" w:cs="宋体"/>
                <w:b w:val="0"/>
                <w:bCs/>
                <w:color w:val="auto"/>
                <w:sz w:val="24"/>
                <w:szCs w:val="24"/>
                <w:highlight w:val="none"/>
                <w:u w:val="none"/>
                <w:lang w:val="zh-CN"/>
              </w:rPr>
              <w:t>00</w:t>
            </w:r>
            <w:r>
              <w:rPr>
                <w:rFonts w:hint="eastAsia" w:ascii="宋体" w:hAnsi="宋体" w:eastAsia="宋体" w:cs="宋体"/>
                <w:b w:val="0"/>
                <w:bCs/>
                <w:color w:val="auto"/>
                <w:sz w:val="24"/>
                <w:szCs w:val="24"/>
                <w:highlight w:val="none"/>
                <w:u w:val="none"/>
                <w:lang w:val="en-US" w:eastAsia="zh-CN"/>
              </w:rPr>
              <w:t>2</w:t>
            </w:r>
          </w:p>
        </w:tc>
      </w:tr>
      <w:tr>
        <w:tblPrEx>
          <w:tblCellMar>
            <w:top w:w="0" w:type="dxa"/>
            <w:left w:w="108" w:type="dxa"/>
            <w:bottom w:w="0" w:type="dxa"/>
            <w:right w:w="108" w:type="dxa"/>
          </w:tblCellMar>
        </w:tblPrEx>
        <w:trPr>
          <w:trHeight w:val="391" w:hRule="atLeast"/>
        </w:trPr>
        <w:tc>
          <w:tcPr>
            <w:tcW w:w="825"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jc w:val="center"/>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zh-CN"/>
              </w:rPr>
              <w:t>3</w:t>
            </w:r>
          </w:p>
        </w:tc>
        <w:tc>
          <w:tcPr>
            <w:tcW w:w="2193"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zh-CN"/>
              </w:rPr>
              <w:t>采购人</w:t>
            </w:r>
          </w:p>
        </w:tc>
        <w:tc>
          <w:tcPr>
            <w:tcW w:w="6507"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rPr>
                <w:rFonts w:hint="eastAsia" w:ascii="宋体" w:hAnsi="宋体" w:eastAsia="宋体" w:cs="宋体"/>
                <w:color w:val="auto"/>
                <w:kern w:val="0"/>
                <w:sz w:val="24"/>
                <w:szCs w:val="24"/>
                <w:highlight w:val="none"/>
                <w:lang w:val="zh-CN" w:eastAsia="zh-CN"/>
              </w:rPr>
            </w:pPr>
            <w:r>
              <w:rPr>
                <w:rFonts w:hint="eastAsia" w:ascii="宋体" w:hAnsi="宋体" w:eastAsia="宋体" w:cs="宋体"/>
                <w:bCs/>
                <w:color w:val="auto"/>
                <w:sz w:val="24"/>
                <w:szCs w:val="24"/>
                <w:highlight w:val="none"/>
                <w:lang w:eastAsia="zh-CN"/>
              </w:rPr>
              <w:t xml:space="preserve">乌兰县恒信国有资产投资管理有限公司 </w:t>
            </w:r>
          </w:p>
        </w:tc>
      </w:tr>
      <w:tr>
        <w:tblPrEx>
          <w:tblCellMar>
            <w:top w:w="0" w:type="dxa"/>
            <w:left w:w="108" w:type="dxa"/>
            <w:bottom w:w="0" w:type="dxa"/>
            <w:right w:w="108" w:type="dxa"/>
          </w:tblCellMar>
        </w:tblPrEx>
        <w:trPr>
          <w:trHeight w:val="392" w:hRule="atLeast"/>
        </w:trPr>
        <w:tc>
          <w:tcPr>
            <w:tcW w:w="825"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jc w:val="center"/>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zh-CN"/>
              </w:rPr>
              <w:t>4</w:t>
            </w:r>
          </w:p>
        </w:tc>
        <w:tc>
          <w:tcPr>
            <w:tcW w:w="2193"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zh-CN"/>
              </w:rPr>
              <w:t>采购代理机构</w:t>
            </w:r>
          </w:p>
        </w:tc>
        <w:tc>
          <w:tcPr>
            <w:tcW w:w="6507"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zh-CN"/>
              </w:rPr>
              <w:t>青海锦翔工程项目管理有限公司</w:t>
            </w:r>
          </w:p>
        </w:tc>
      </w:tr>
      <w:tr>
        <w:tblPrEx>
          <w:tblCellMar>
            <w:top w:w="0" w:type="dxa"/>
            <w:left w:w="108" w:type="dxa"/>
            <w:bottom w:w="0" w:type="dxa"/>
            <w:right w:w="108" w:type="dxa"/>
          </w:tblCellMar>
        </w:tblPrEx>
        <w:trPr>
          <w:trHeight w:val="433" w:hRule="atLeast"/>
        </w:trPr>
        <w:tc>
          <w:tcPr>
            <w:tcW w:w="825"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jc w:val="center"/>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zh-CN"/>
              </w:rPr>
              <w:t>5</w:t>
            </w:r>
          </w:p>
        </w:tc>
        <w:tc>
          <w:tcPr>
            <w:tcW w:w="2193"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zh-CN"/>
              </w:rPr>
              <w:t>采购方式</w:t>
            </w:r>
          </w:p>
        </w:tc>
        <w:tc>
          <w:tcPr>
            <w:tcW w:w="6507"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zh-CN"/>
              </w:rPr>
              <w:t>询比采购</w:t>
            </w:r>
          </w:p>
        </w:tc>
      </w:tr>
      <w:tr>
        <w:tblPrEx>
          <w:tblCellMar>
            <w:top w:w="0" w:type="dxa"/>
            <w:left w:w="108" w:type="dxa"/>
            <w:bottom w:w="0" w:type="dxa"/>
            <w:right w:w="108" w:type="dxa"/>
          </w:tblCellMar>
        </w:tblPrEx>
        <w:trPr>
          <w:trHeight w:val="419" w:hRule="atLeast"/>
        </w:trPr>
        <w:tc>
          <w:tcPr>
            <w:tcW w:w="825"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jc w:val="center"/>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zh-CN"/>
              </w:rPr>
              <w:t>6</w:t>
            </w:r>
          </w:p>
        </w:tc>
        <w:tc>
          <w:tcPr>
            <w:tcW w:w="2193"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zh-CN"/>
              </w:rPr>
              <w:t>采购控制价</w:t>
            </w:r>
          </w:p>
        </w:tc>
        <w:tc>
          <w:tcPr>
            <w:tcW w:w="6507"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183.68</w:t>
            </w:r>
            <w:r>
              <w:rPr>
                <w:rFonts w:hint="eastAsia" w:ascii="宋体" w:hAnsi="宋体" w:eastAsia="宋体" w:cs="宋体"/>
                <w:color w:val="auto"/>
                <w:kern w:val="0"/>
                <w:sz w:val="24"/>
                <w:szCs w:val="24"/>
                <w:highlight w:val="none"/>
                <w:lang w:val="en-US" w:eastAsia="zh-CN" w:bidi="ar-SA"/>
              </w:rPr>
              <w:t>万元</w:t>
            </w:r>
            <w:r>
              <w:rPr>
                <w:rFonts w:hint="eastAsia" w:ascii="宋体" w:hAnsi="宋体" w:eastAsia="宋体" w:cs="宋体"/>
                <w:color w:val="auto"/>
                <w:kern w:val="0"/>
                <w:sz w:val="24"/>
                <w:szCs w:val="24"/>
                <w:highlight w:val="none"/>
              </w:rPr>
              <w:t xml:space="preserve">  </w:t>
            </w:r>
          </w:p>
        </w:tc>
      </w:tr>
      <w:tr>
        <w:tblPrEx>
          <w:tblCellMar>
            <w:top w:w="0" w:type="dxa"/>
            <w:left w:w="108" w:type="dxa"/>
            <w:bottom w:w="0" w:type="dxa"/>
            <w:right w:w="108" w:type="dxa"/>
          </w:tblCellMar>
        </w:tblPrEx>
        <w:trPr>
          <w:trHeight w:val="420" w:hRule="atLeast"/>
        </w:trPr>
        <w:tc>
          <w:tcPr>
            <w:tcW w:w="825"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jc w:val="center"/>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zh-CN"/>
              </w:rPr>
              <w:t>7</w:t>
            </w:r>
          </w:p>
        </w:tc>
        <w:tc>
          <w:tcPr>
            <w:tcW w:w="2193"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zh-CN"/>
              </w:rPr>
              <w:t>项目分包个数</w:t>
            </w:r>
          </w:p>
        </w:tc>
        <w:tc>
          <w:tcPr>
            <w:tcW w:w="6507"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zh-CN"/>
              </w:rPr>
              <w:t>1</w:t>
            </w:r>
          </w:p>
        </w:tc>
      </w:tr>
      <w:tr>
        <w:tblPrEx>
          <w:tblCellMar>
            <w:top w:w="0" w:type="dxa"/>
            <w:left w:w="108" w:type="dxa"/>
            <w:bottom w:w="0" w:type="dxa"/>
            <w:right w:w="108" w:type="dxa"/>
          </w:tblCellMar>
        </w:tblPrEx>
        <w:trPr>
          <w:trHeight w:val="20" w:hRule="atLeast"/>
        </w:trPr>
        <w:tc>
          <w:tcPr>
            <w:tcW w:w="825"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jc w:val="center"/>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zh-CN"/>
              </w:rPr>
              <w:t>8</w:t>
            </w:r>
          </w:p>
        </w:tc>
        <w:tc>
          <w:tcPr>
            <w:tcW w:w="2193"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zh-CN"/>
              </w:rPr>
              <w:t>资金来源</w:t>
            </w:r>
          </w:p>
        </w:tc>
        <w:tc>
          <w:tcPr>
            <w:tcW w:w="6507"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en-US" w:eastAsia="zh-CN"/>
              </w:rPr>
              <w:t>2022年第一批财政衔接乡村振兴补助资金</w:t>
            </w:r>
          </w:p>
        </w:tc>
      </w:tr>
      <w:tr>
        <w:tblPrEx>
          <w:tblCellMar>
            <w:top w:w="0" w:type="dxa"/>
            <w:left w:w="108" w:type="dxa"/>
            <w:bottom w:w="0" w:type="dxa"/>
            <w:right w:w="108" w:type="dxa"/>
          </w:tblCellMar>
        </w:tblPrEx>
        <w:trPr>
          <w:trHeight w:val="20" w:hRule="atLeast"/>
        </w:trPr>
        <w:tc>
          <w:tcPr>
            <w:tcW w:w="825"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jc w:val="center"/>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zh-CN"/>
              </w:rPr>
              <w:t>9</w:t>
            </w:r>
          </w:p>
        </w:tc>
        <w:tc>
          <w:tcPr>
            <w:tcW w:w="2193"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zh-CN"/>
              </w:rPr>
              <w:t>资金落实情况</w:t>
            </w:r>
          </w:p>
        </w:tc>
        <w:tc>
          <w:tcPr>
            <w:tcW w:w="6507"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zh-CN"/>
              </w:rPr>
              <w:t>已落实</w:t>
            </w:r>
          </w:p>
        </w:tc>
      </w:tr>
      <w:tr>
        <w:tblPrEx>
          <w:tblCellMar>
            <w:top w:w="0" w:type="dxa"/>
            <w:left w:w="108" w:type="dxa"/>
            <w:bottom w:w="0" w:type="dxa"/>
            <w:right w:w="108" w:type="dxa"/>
          </w:tblCellMar>
        </w:tblPrEx>
        <w:trPr>
          <w:trHeight w:val="20" w:hRule="atLeast"/>
        </w:trPr>
        <w:tc>
          <w:tcPr>
            <w:tcW w:w="825"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jc w:val="center"/>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zh-CN"/>
              </w:rPr>
              <w:t>10</w:t>
            </w:r>
          </w:p>
        </w:tc>
        <w:tc>
          <w:tcPr>
            <w:tcW w:w="2193"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zh-CN"/>
              </w:rPr>
              <w:t>交付期</w:t>
            </w:r>
          </w:p>
        </w:tc>
        <w:tc>
          <w:tcPr>
            <w:tcW w:w="6507"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zh-CN"/>
              </w:rPr>
              <w:t>自合同签定之日起</w:t>
            </w:r>
            <w:r>
              <w:rPr>
                <w:rFonts w:hint="eastAsia" w:ascii="宋体" w:hAnsi="宋体" w:eastAsia="宋体" w:cs="宋体"/>
                <w:color w:val="auto"/>
                <w:kern w:val="0"/>
                <w:sz w:val="24"/>
                <w:szCs w:val="24"/>
                <w:highlight w:val="none"/>
                <w:lang w:val="en-US" w:eastAsia="zh-CN"/>
              </w:rPr>
              <w:t>90</w:t>
            </w:r>
            <w:r>
              <w:rPr>
                <w:rFonts w:hint="eastAsia" w:ascii="宋体" w:hAnsi="宋体" w:eastAsia="宋体" w:cs="宋体"/>
                <w:color w:val="auto"/>
                <w:kern w:val="0"/>
                <w:sz w:val="24"/>
                <w:szCs w:val="24"/>
                <w:highlight w:val="none"/>
                <w:lang w:val="zh-CN"/>
              </w:rPr>
              <w:t>个日历日内</w:t>
            </w:r>
            <w:r>
              <w:rPr>
                <w:rFonts w:hint="eastAsia" w:ascii="宋体" w:hAnsi="宋体" w:eastAsia="宋体" w:cs="宋体"/>
                <w:color w:val="auto"/>
                <w:kern w:val="0"/>
                <w:sz w:val="24"/>
                <w:szCs w:val="24"/>
                <w:highlight w:val="none"/>
                <w:lang w:val="zh-CN"/>
              </w:rPr>
              <w:t>（具体以合同为准）</w:t>
            </w:r>
          </w:p>
        </w:tc>
      </w:tr>
      <w:tr>
        <w:tblPrEx>
          <w:tblCellMar>
            <w:top w:w="0" w:type="dxa"/>
            <w:left w:w="108" w:type="dxa"/>
            <w:bottom w:w="0" w:type="dxa"/>
            <w:right w:w="108" w:type="dxa"/>
          </w:tblCellMar>
        </w:tblPrEx>
        <w:trPr>
          <w:trHeight w:val="20" w:hRule="atLeast"/>
        </w:trPr>
        <w:tc>
          <w:tcPr>
            <w:tcW w:w="825"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jc w:val="center"/>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zh-CN"/>
              </w:rPr>
              <w:t>11</w:t>
            </w:r>
          </w:p>
        </w:tc>
        <w:tc>
          <w:tcPr>
            <w:tcW w:w="2193"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zh-CN"/>
              </w:rPr>
              <w:t>采购范围及要求</w:t>
            </w:r>
          </w:p>
        </w:tc>
        <w:tc>
          <w:tcPr>
            <w:tcW w:w="6507"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zh-CN"/>
              </w:rPr>
              <w:t>详见采购文件第五部分</w:t>
            </w:r>
          </w:p>
        </w:tc>
      </w:tr>
      <w:tr>
        <w:tblPrEx>
          <w:tblCellMar>
            <w:top w:w="0" w:type="dxa"/>
            <w:left w:w="108" w:type="dxa"/>
            <w:bottom w:w="0" w:type="dxa"/>
            <w:right w:w="108" w:type="dxa"/>
          </w:tblCellMar>
        </w:tblPrEx>
        <w:trPr>
          <w:trHeight w:val="1119" w:hRule="atLeast"/>
        </w:trPr>
        <w:tc>
          <w:tcPr>
            <w:tcW w:w="825"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jc w:val="center"/>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zh-CN"/>
              </w:rPr>
              <w:t>12</w:t>
            </w:r>
          </w:p>
        </w:tc>
        <w:tc>
          <w:tcPr>
            <w:tcW w:w="2193"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zh-CN"/>
              </w:rPr>
              <w:t>供应商资格条件</w:t>
            </w:r>
          </w:p>
        </w:tc>
        <w:tc>
          <w:tcPr>
            <w:tcW w:w="6507" w:type="dxa"/>
            <w:tcBorders>
              <w:top w:val="single" w:color="000000" w:sz="6" w:space="0"/>
              <w:left w:val="single" w:color="000000" w:sz="6" w:space="0"/>
              <w:bottom w:val="single" w:color="000000" w:sz="6" w:space="0"/>
              <w:right w:val="single" w:color="000000" w:sz="6" w:space="0"/>
            </w:tcBorders>
            <w:shd w:val="clear" w:color="000000" w:fill="FFFFFF"/>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次招标要求投标人是在中华人民共和国工商行政管理部门注册，具有有效的营业执照三证合一新证，且投标人营业执照经营范围必须包含相关营业范围经营许可资质。近三年有类似业绩，并在人员、管理方面具有相应的服务能力。</w:t>
            </w:r>
          </w:p>
          <w:p>
            <w:pPr>
              <w:spacing w:line="360" w:lineRule="auto"/>
              <w:rPr>
                <w:rFonts w:hint="eastAsia" w:ascii="宋体" w:hAnsi="宋体" w:eastAsia="宋体" w:cs="Times New Roman"/>
                <w:color w:val="auto"/>
                <w:sz w:val="24"/>
                <w:highlight w:val="none"/>
                <w:lang w:val="en-US" w:eastAsia="zh-CN"/>
              </w:rPr>
            </w:pPr>
            <w:r>
              <w:rPr>
                <w:rFonts w:hint="eastAsia" w:ascii="宋体" w:hAnsi="宋体" w:eastAsia="宋体" w:cs="宋体"/>
                <w:color w:val="auto"/>
                <w:sz w:val="24"/>
                <w:szCs w:val="24"/>
                <w:highlight w:val="none"/>
              </w:rPr>
              <w:t>2、</w:t>
            </w:r>
            <w:r>
              <w:rPr>
                <w:rFonts w:hint="eastAsia" w:ascii="宋体" w:hAnsi="宋体" w:eastAsia="宋体" w:cs="Times New Roman"/>
                <w:color w:val="auto"/>
                <w:sz w:val="24"/>
                <w:highlight w:val="none"/>
                <w:lang w:val="en-US" w:eastAsia="zh-CN"/>
              </w:rPr>
              <w:t>供应商具备</w:t>
            </w:r>
            <w:r>
              <w:rPr>
                <w:rFonts w:hint="eastAsia" w:ascii="宋体" w:hAnsi="宋体" w:eastAsia="宋体" w:cs="Times New Roman"/>
                <w:color w:val="auto"/>
                <w:sz w:val="24"/>
                <w:highlight w:val="none"/>
                <w:lang w:val="zh-CN" w:eastAsia="zh-CN"/>
              </w:rPr>
              <w:t>基本开户银行近三个月内出具的资信证明（同时提供基本存款账户开户许可证）或</w:t>
            </w:r>
            <w:r>
              <w:rPr>
                <w:rFonts w:hint="eastAsia" w:ascii="宋体" w:hAnsi="宋体" w:eastAsia="宋体" w:cs="Times New Roman"/>
                <w:color w:val="auto"/>
                <w:sz w:val="24"/>
                <w:highlight w:val="none"/>
                <w:lang w:val="en-US" w:eastAsia="zh-CN"/>
              </w:rPr>
              <w:t>2020年度或2021年度经第三方审计的财务状况报告</w:t>
            </w:r>
            <w:r>
              <w:rPr>
                <w:rFonts w:hint="eastAsia" w:ascii="宋体" w:hAnsi="宋体" w:eastAsia="宋体" w:cs="Times New Roman"/>
                <w:color w:val="auto"/>
                <w:sz w:val="24"/>
                <w:highlight w:val="none"/>
                <w:lang w:val="zh-CN" w:eastAsia="zh-CN"/>
              </w:rPr>
              <w:t>（扫描或复印件应全面、完整、清晰），包括资产负债表、现金流量表、利润表和财务（会计）报表附注</w:t>
            </w:r>
            <w:r>
              <w:rPr>
                <w:rFonts w:hint="eastAsia" w:ascii="宋体" w:hAnsi="宋体" w:eastAsia="宋体" w:cs="Times New Roman"/>
                <w:color w:val="auto"/>
                <w:sz w:val="24"/>
                <w:highlight w:val="none"/>
                <w:lang w:val="en-US" w:eastAsia="zh-CN"/>
              </w:rPr>
              <w:t>，</w:t>
            </w:r>
            <w:r>
              <w:rPr>
                <w:rFonts w:hint="eastAsia" w:ascii="宋体" w:hAnsi="宋体" w:eastAsia="宋体" w:cs="Times New Roman"/>
                <w:color w:val="auto"/>
                <w:sz w:val="24"/>
                <w:highlight w:val="none"/>
                <w:lang w:val="zh-CN" w:eastAsia="zh-CN"/>
              </w:rPr>
              <w:t>并提供第三方机构的营业执照、执业证书。</w:t>
            </w:r>
            <w:r>
              <w:rPr>
                <w:rFonts w:hint="eastAsia" w:ascii="宋体" w:hAnsi="宋体" w:eastAsia="宋体" w:cs="Times New Roman"/>
                <w:color w:val="auto"/>
                <w:sz w:val="24"/>
                <w:highlight w:val="none"/>
                <w:lang w:val="en-US" w:eastAsia="zh-CN"/>
              </w:rPr>
              <w:t>投标人是其他组织和自然人，没有经审计的财务报告，可以提供基本开户银行出具的资信证明（同时提供基本存款账户开户许可证）。</w:t>
            </w:r>
          </w:p>
          <w:p>
            <w:pPr>
              <w:spacing w:line="360" w:lineRule="auto"/>
              <w:ind w:firstLine="480" w:firstLineChars="200"/>
              <w:rPr>
                <w:color w:val="auto"/>
                <w:highlight w:val="none"/>
              </w:rPr>
            </w:pPr>
            <w:r>
              <w:rPr>
                <w:rFonts w:hint="eastAsia" w:ascii="宋体" w:hAnsi="宋体" w:eastAsia="宋体" w:cs="Times New Roman"/>
                <w:color w:val="auto"/>
                <w:sz w:val="24"/>
                <w:highlight w:val="none"/>
                <w:lang w:val="en-US" w:eastAsia="zh-CN"/>
              </w:rPr>
              <w:t>2021年12月至今任意3个月</w:t>
            </w:r>
            <w:r>
              <w:rPr>
                <w:rFonts w:hint="eastAsia" w:ascii="宋体" w:hAnsi="宋体" w:eastAsia="宋体" w:cs="Times New Roman"/>
                <w:color w:val="auto"/>
                <w:sz w:val="24"/>
                <w:highlight w:val="none"/>
                <w:lang w:val="zh-CN" w:eastAsia="zh-CN"/>
              </w:rPr>
              <w:t>的依法</w:t>
            </w:r>
            <w:r>
              <w:rPr>
                <w:rFonts w:hint="eastAsia" w:ascii="宋体" w:hAnsi="宋体" w:eastAsia="宋体" w:cs="Times New Roman"/>
                <w:color w:val="auto"/>
                <w:sz w:val="24"/>
                <w:highlight w:val="none"/>
                <w:lang w:val="zh-CN"/>
              </w:rPr>
              <w:t>缴纳税收和社会保障资金记录的证明材料；依法免税或不需要缴纳社会保障资金的投标人须提供相应文件证明其依法免税或不需要缴纳社会保障资金。</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3、经信用中国（www.creditchina.gov.cn）渠道查询后，列入失信被执行人、重大税收违法案件当事人名单严重违法失信行为记录名单的，取消递交响应文件资格。（提供“信用中国”网站无任何不良记录的查询截图, 时间为投标截止时间前5天内）。</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4、本次采购不接受联合体递交响应文件。</w:t>
            </w:r>
          </w:p>
          <w:p>
            <w:pPr>
              <w:numPr>
                <w:ilvl w:val="0"/>
                <w:numId w:val="0"/>
              </w:numPr>
              <w:autoSpaceDE w:val="0"/>
              <w:autoSpaceDN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val="zh-CN"/>
              </w:rPr>
              <w:t>单位负责人为同一人或者存在直接控股、管理关系的不同投标人，不得参加同一合同项下的政府采购活动。否则，皆取消投标资格；</w:t>
            </w:r>
          </w:p>
          <w:p>
            <w:pPr>
              <w:pStyle w:val="2"/>
              <w:jc w:val="both"/>
              <w:rPr>
                <w:rFonts w:hint="eastAsia" w:ascii="宋体" w:hAnsi="宋体" w:eastAsia="宋体" w:cs="宋体"/>
                <w:b w:val="0"/>
                <w:color w:val="auto"/>
                <w:kern w:val="2"/>
                <w:sz w:val="24"/>
                <w:szCs w:val="24"/>
                <w:highlight w:val="none"/>
                <w:lang w:val="zh-CN" w:eastAsia="zh-CN" w:bidi="ar-SA"/>
              </w:rPr>
            </w:pPr>
            <w:r>
              <w:rPr>
                <w:rFonts w:hint="eastAsia" w:ascii="宋体" w:hAnsi="宋体" w:eastAsia="宋体" w:cs="宋体"/>
                <w:b w:val="0"/>
                <w:color w:val="auto"/>
                <w:kern w:val="2"/>
                <w:sz w:val="24"/>
                <w:szCs w:val="24"/>
                <w:highlight w:val="none"/>
                <w:lang w:val="en-US" w:eastAsia="zh-CN" w:bidi="ar-SA"/>
              </w:rPr>
              <w:t>6、</w:t>
            </w:r>
            <w:r>
              <w:rPr>
                <w:rFonts w:hint="eastAsia" w:ascii="宋体" w:hAnsi="宋体" w:eastAsia="宋体" w:cs="宋体"/>
                <w:b w:val="0"/>
                <w:color w:val="auto"/>
                <w:kern w:val="2"/>
                <w:sz w:val="24"/>
                <w:szCs w:val="24"/>
                <w:highlight w:val="none"/>
                <w:lang w:val="zh-CN" w:eastAsia="zh-CN" w:bidi="ar-SA"/>
              </w:rPr>
              <w:t>为本采购项目提供整体设计、规范编制或者项目管理、监理、检测等服务的投标人，不得再参加该采购项目的其他采购活动；</w:t>
            </w:r>
          </w:p>
          <w:p>
            <w:pPr>
              <w:pStyle w:val="2"/>
              <w:jc w:val="both"/>
              <w:rPr>
                <w:rFonts w:hint="eastAsia" w:ascii="宋体" w:hAnsi="宋体" w:eastAsia="宋体" w:cs="宋体"/>
                <w:color w:val="auto"/>
                <w:sz w:val="24"/>
                <w:szCs w:val="24"/>
                <w:highlight w:val="none"/>
              </w:rPr>
            </w:pPr>
            <w:r>
              <w:rPr>
                <w:rFonts w:hint="eastAsia" w:ascii="宋体" w:hAnsi="宋体" w:eastAsia="宋体" w:cs="宋体"/>
                <w:b w:val="0"/>
                <w:color w:val="auto"/>
                <w:kern w:val="2"/>
                <w:sz w:val="24"/>
                <w:szCs w:val="24"/>
                <w:highlight w:val="none"/>
                <w:lang w:val="en-US" w:eastAsia="zh-CN" w:bidi="ar-SA"/>
              </w:rPr>
              <w:t>7、其他资质条件</w:t>
            </w:r>
          </w:p>
        </w:tc>
      </w:tr>
      <w:tr>
        <w:tblPrEx>
          <w:tblCellMar>
            <w:top w:w="0" w:type="dxa"/>
            <w:left w:w="108" w:type="dxa"/>
            <w:bottom w:w="0" w:type="dxa"/>
            <w:right w:w="108" w:type="dxa"/>
          </w:tblCellMar>
        </w:tblPrEx>
        <w:trPr>
          <w:trHeight w:val="20" w:hRule="atLeast"/>
        </w:trPr>
        <w:tc>
          <w:tcPr>
            <w:tcW w:w="825"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jc w:val="center"/>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zh-CN"/>
              </w:rPr>
              <w:t>13</w:t>
            </w:r>
          </w:p>
        </w:tc>
        <w:tc>
          <w:tcPr>
            <w:tcW w:w="2193"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zh-CN"/>
              </w:rPr>
              <w:t>响应文件编制要求</w:t>
            </w:r>
          </w:p>
        </w:tc>
        <w:tc>
          <w:tcPr>
            <w:tcW w:w="6507"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zh-CN"/>
              </w:rPr>
              <w:t>1.供应商应按照采购文件所提供的响应文件格式，分别填写采购文件第六部分的内容，并由法定代表人或委托代理人按要求签字、加盖公章。</w:t>
            </w:r>
          </w:p>
          <w:p>
            <w:pPr>
              <w:autoSpaceDE w:val="0"/>
              <w:autoSpaceDN w:val="0"/>
              <w:adjustRightInd w:val="0"/>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zh-CN"/>
              </w:rPr>
              <w:t>2.供应商在响应文件中对所投产品，应提供产品彩页。</w:t>
            </w:r>
          </w:p>
          <w:p>
            <w:pPr>
              <w:autoSpaceDE w:val="0"/>
              <w:autoSpaceDN w:val="0"/>
              <w:adjustRightInd w:val="0"/>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zh-CN"/>
              </w:rPr>
              <w:t>3.供应商应按询比采购文件要求准备响应文件（正本1份、副本2份，电子文档1份及用于开启响应文件环节单独提交的“报价表”1份并密封）每份响应文件都必须清楚地标明“正本”或“副本”字样。响应文件统一使用A4幅面的纸张印制，必须胶装成册并编码，其他方式装订的响应文件（图纸除外）一概不予接受。</w:t>
            </w:r>
          </w:p>
        </w:tc>
      </w:tr>
      <w:tr>
        <w:tblPrEx>
          <w:tblCellMar>
            <w:top w:w="0" w:type="dxa"/>
            <w:left w:w="108" w:type="dxa"/>
            <w:bottom w:w="0" w:type="dxa"/>
            <w:right w:w="108" w:type="dxa"/>
          </w:tblCellMar>
        </w:tblPrEx>
        <w:trPr>
          <w:trHeight w:val="20" w:hRule="atLeast"/>
        </w:trPr>
        <w:tc>
          <w:tcPr>
            <w:tcW w:w="825"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jc w:val="center"/>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zh-CN"/>
              </w:rPr>
              <w:t>14</w:t>
            </w:r>
          </w:p>
        </w:tc>
        <w:tc>
          <w:tcPr>
            <w:tcW w:w="2193"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zh-CN"/>
              </w:rPr>
              <w:t>响应文件的密封</w:t>
            </w:r>
          </w:p>
        </w:tc>
        <w:tc>
          <w:tcPr>
            <w:tcW w:w="6507"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zh-CN"/>
              </w:rPr>
              <w:t>响应文件外层密封袋的标注：采购项目名称、采购项目编号、供应商名称、年月日以及“于202</w:t>
            </w:r>
            <w:r>
              <w:rPr>
                <w:rFonts w:hint="eastAsia" w:ascii="宋体" w:hAnsi="宋体"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lang w:val="zh-CN"/>
              </w:rPr>
              <w:t>年</w:t>
            </w:r>
            <w:r>
              <w:rPr>
                <w:rFonts w:hint="eastAsia" w:ascii="宋体" w:hAnsi="宋体" w:cs="宋体"/>
                <w:color w:val="auto"/>
                <w:kern w:val="0"/>
                <w:sz w:val="24"/>
                <w:szCs w:val="24"/>
                <w:highlight w:val="none"/>
                <w:lang w:val="en-US" w:eastAsia="zh-CN"/>
              </w:rPr>
              <w:t>5</w:t>
            </w:r>
            <w:r>
              <w:rPr>
                <w:rFonts w:hint="eastAsia" w:ascii="宋体" w:hAnsi="宋体" w:eastAsia="宋体" w:cs="宋体"/>
                <w:color w:val="auto"/>
                <w:kern w:val="0"/>
                <w:sz w:val="24"/>
                <w:szCs w:val="24"/>
                <w:highlight w:val="none"/>
                <w:lang w:val="zh-CN"/>
              </w:rPr>
              <w:t>月</w:t>
            </w:r>
            <w:r>
              <w:rPr>
                <w:rFonts w:hint="eastAsia" w:ascii="宋体" w:hAnsi="宋体" w:cs="宋体"/>
                <w:color w:val="auto"/>
                <w:kern w:val="0"/>
                <w:sz w:val="24"/>
                <w:szCs w:val="24"/>
                <w:highlight w:val="none"/>
                <w:lang w:val="en-US" w:eastAsia="zh-CN"/>
              </w:rPr>
              <w:t>16</w:t>
            </w:r>
            <w:r>
              <w:rPr>
                <w:rFonts w:hint="eastAsia" w:ascii="宋体" w:hAnsi="宋体" w:eastAsia="宋体" w:cs="宋体"/>
                <w:color w:val="auto"/>
                <w:kern w:val="0"/>
                <w:sz w:val="24"/>
                <w:szCs w:val="24"/>
                <w:highlight w:val="none"/>
                <w:lang w:val="zh-CN"/>
              </w:rPr>
              <w:t>日</w:t>
            </w:r>
            <w:r>
              <w:rPr>
                <w:rFonts w:hint="eastAsia" w:ascii="宋体" w:hAnsi="宋体" w:eastAsia="宋体" w:cs="宋体"/>
                <w:color w:val="auto"/>
                <w:kern w:val="0"/>
                <w:sz w:val="24"/>
                <w:szCs w:val="24"/>
                <w:highlight w:val="none"/>
              </w:rPr>
              <w:t>0</w:t>
            </w:r>
            <w:r>
              <w:rPr>
                <w:rFonts w:hint="eastAsia" w:ascii="宋体" w:hAnsi="宋体" w:eastAsia="宋体" w:cs="宋体"/>
                <w:color w:val="auto"/>
                <w:kern w:val="0"/>
                <w:sz w:val="24"/>
                <w:szCs w:val="24"/>
                <w:highlight w:val="none"/>
                <w:lang w:val="zh-CN"/>
              </w:rPr>
              <w:t>9时30分（北京时间）之前不准启封”字样。</w:t>
            </w:r>
          </w:p>
        </w:tc>
      </w:tr>
      <w:tr>
        <w:tblPrEx>
          <w:tblCellMar>
            <w:top w:w="0" w:type="dxa"/>
            <w:left w:w="108" w:type="dxa"/>
            <w:bottom w:w="0" w:type="dxa"/>
            <w:right w:w="108" w:type="dxa"/>
          </w:tblCellMar>
        </w:tblPrEx>
        <w:trPr>
          <w:trHeight w:val="493" w:hRule="atLeast"/>
        </w:trPr>
        <w:tc>
          <w:tcPr>
            <w:tcW w:w="825"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jc w:val="center"/>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zh-CN"/>
              </w:rPr>
              <w:t>15</w:t>
            </w:r>
          </w:p>
        </w:tc>
        <w:tc>
          <w:tcPr>
            <w:tcW w:w="2193"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zh-CN"/>
              </w:rPr>
              <w:t>递交响应文件方式</w:t>
            </w:r>
          </w:p>
        </w:tc>
        <w:tc>
          <w:tcPr>
            <w:tcW w:w="6507"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zh-CN"/>
              </w:rPr>
              <w:t>现场递交，不接受邮寄递交</w:t>
            </w:r>
          </w:p>
        </w:tc>
      </w:tr>
      <w:tr>
        <w:tblPrEx>
          <w:tblCellMar>
            <w:top w:w="0" w:type="dxa"/>
            <w:left w:w="108" w:type="dxa"/>
            <w:bottom w:w="0" w:type="dxa"/>
            <w:right w:w="108" w:type="dxa"/>
          </w:tblCellMar>
        </w:tblPrEx>
        <w:trPr>
          <w:trHeight w:val="20" w:hRule="atLeast"/>
        </w:trPr>
        <w:tc>
          <w:tcPr>
            <w:tcW w:w="825"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jc w:val="center"/>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zh-CN"/>
              </w:rPr>
              <w:t>16</w:t>
            </w:r>
          </w:p>
        </w:tc>
        <w:tc>
          <w:tcPr>
            <w:tcW w:w="2193"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zh-CN"/>
              </w:rPr>
              <w:t>递交响应文件</w:t>
            </w:r>
          </w:p>
          <w:p>
            <w:pPr>
              <w:autoSpaceDE w:val="0"/>
              <w:autoSpaceDN w:val="0"/>
              <w:adjustRightInd w:val="0"/>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zh-CN"/>
              </w:rPr>
              <w:t>截止时间</w:t>
            </w:r>
          </w:p>
        </w:tc>
        <w:tc>
          <w:tcPr>
            <w:tcW w:w="6507"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zh-CN"/>
              </w:rPr>
              <w:t>202</w:t>
            </w:r>
            <w:r>
              <w:rPr>
                <w:rFonts w:hint="eastAsia" w:ascii="宋体" w:hAnsi="宋体"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lang w:val="zh-CN"/>
              </w:rPr>
              <w:t>年</w:t>
            </w:r>
            <w:r>
              <w:rPr>
                <w:rFonts w:hint="eastAsia" w:ascii="宋体" w:hAnsi="宋体" w:cs="宋体"/>
                <w:color w:val="auto"/>
                <w:kern w:val="0"/>
                <w:sz w:val="24"/>
                <w:szCs w:val="24"/>
                <w:highlight w:val="none"/>
                <w:lang w:val="en-US" w:eastAsia="zh-CN"/>
              </w:rPr>
              <w:t>5</w:t>
            </w:r>
            <w:r>
              <w:rPr>
                <w:rFonts w:hint="eastAsia" w:ascii="宋体" w:hAnsi="宋体" w:eastAsia="宋体" w:cs="宋体"/>
                <w:color w:val="auto"/>
                <w:kern w:val="0"/>
                <w:sz w:val="24"/>
                <w:szCs w:val="24"/>
                <w:highlight w:val="none"/>
                <w:lang w:val="zh-CN"/>
              </w:rPr>
              <w:t>月</w:t>
            </w:r>
            <w:r>
              <w:rPr>
                <w:rFonts w:hint="eastAsia" w:ascii="宋体" w:hAnsi="宋体" w:cs="宋体"/>
                <w:color w:val="auto"/>
                <w:kern w:val="0"/>
                <w:sz w:val="24"/>
                <w:szCs w:val="24"/>
                <w:highlight w:val="none"/>
                <w:lang w:val="en-US" w:eastAsia="zh-CN"/>
              </w:rPr>
              <w:t>16</w:t>
            </w:r>
            <w:r>
              <w:rPr>
                <w:rFonts w:hint="eastAsia" w:ascii="宋体" w:hAnsi="宋体" w:eastAsia="宋体" w:cs="宋体"/>
                <w:color w:val="auto"/>
                <w:kern w:val="0"/>
                <w:sz w:val="24"/>
                <w:szCs w:val="24"/>
                <w:highlight w:val="none"/>
                <w:lang w:val="zh-CN"/>
              </w:rPr>
              <w:t>日09时30分（北京时间）</w:t>
            </w:r>
          </w:p>
        </w:tc>
      </w:tr>
      <w:tr>
        <w:tblPrEx>
          <w:tblCellMar>
            <w:top w:w="0" w:type="dxa"/>
            <w:left w:w="108" w:type="dxa"/>
            <w:bottom w:w="0" w:type="dxa"/>
            <w:right w:w="108" w:type="dxa"/>
          </w:tblCellMar>
        </w:tblPrEx>
        <w:trPr>
          <w:trHeight w:val="20" w:hRule="atLeast"/>
        </w:trPr>
        <w:tc>
          <w:tcPr>
            <w:tcW w:w="825"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jc w:val="center"/>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zh-CN"/>
              </w:rPr>
              <w:t>17</w:t>
            </w:r>
          </w:p>
        </w:tc>
        <w:tc>
          <w:tcPr>
            <w:tcW w:w="2193"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zh-CN"/>
              </w:rPr>
              <w:t>递交响应文件地点</w:t>
            </w:r>
          </w:p>
        </w:tc>
        <w:tc>
          <w:tcPr>
            <w:tcW w:w="6507"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zh-CN"/>
              </w:rPr>
              <w:t>青海锦翔工程项目管理有限公司（</w:t>
            </w:r>
            <w:r>
              <w:rPr>
                <w:rFonts w:hint="eastAsia" w:ascii="宋体" w:hAnsi="宋体" w:eastAsia="宋体" w:cs="宋体"/>
                <w:color w:val="auto"/>
                <w:sz w:val="24"/>
                <w:szCs w:val="24"/>
                <w:highlight w:val="none"/>
              </w:rPr>
              <w:t>青海省西宁市城西区西川南路76号4号楼14506室</w:t>
            </w:r>
            <w:r>
              <w:rPr>
                <w:rFonts w:hint="eastAsia" w:ascii="宋体" w:hAnsi="宋体" w:eastAsia="宋体" w:cs="宋体"/>
                <w:color w:val="auto"/>
                <w:kern w:val="0"/>
                <w:sz w:val="24"/>
                <w:szCs w:val="24"/>
                <w:highlight w:val="none"/>
                <w:lang w:val="zh-CN"/>
              </w:rPr>
              <w:t>）</w:t>
            </w:r>
          </w:p>
        </w:tc>
      </w:tr>
      <w:tr>
        <w:tblPrEx>
          <w:tblCellMar>
            <w:top w:w="0" w:type="dxa"/>
            <w:left w:w="108" w:type="dxa"/>
            <w:bottom w:w="0" w:type="dxa"/>
            <w:right w:w="108" w:type="dxa"/>
          </w:tblCellMar>
        </w:tblPrEx>
        <w:trPr>
          <w:trHeight w:val="20" w:hRule="atLeast"/>
        </w:trPr>
        <w:tc>
          <w:tcPr>
            <w:tcW w:w="825"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jc w:val="center"/>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zh-CN"/>
              </w:rPr>
              <w:t>18</w:t>
            </w:r>
          </w:p>
        </w:tc>
        <w:tc>
          <w:tcPr>
            <w:tcW w:w="2193"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zh-CN"/>
              </w:rPr>
              <w:t>答疑澄清方式</w:t>
            </w:r>
          </w:p>
        </w:tc>
        <w:tc>
          <w:tcPr>
            <w:tcW w:w="6507"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zh-CN"/>
              </w:rPr>
              <w:t>采用现场答疑。供应商须提供准确的联系方式（手机和固定电话），应在规定的时间内到达评审现场进行答疑澄清，如在规定的时间内联系无果或未按时到达的，视同放弃答疑。</w:t>
            </w:r>
          </w:p>
        </w:tc>
      </w:tr>
      <w:tr>
        <w:tblPrEx>
          <w:tblCellMar>
            <w:top w:w="0" w:type="dxa"/>
            <w:left w:w="108" w:type="dxa"/>
            <w:bottom w:w="0" w:type="dxa"/>
            <w:right w:w="108" w:type="dxa"/>
          </w:tblCellMar>
        </w:tblPrEx>
        <w:trPr>
          <w:trHeight w:val="489" w:hRule="atLeast"/>
        </w:trPr>
        <w:tc>
          <w:tcPr>
            <w:tcW w:w="825"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jc w:val="center"/>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zh-CN"/>
              </w:rPr>
              <w:t>19</w:t>
            </w:r>
          </w:p>
        </w:tc>
        <w:tc>
          <w:tcPr>
            <w:tcW w:w="2193"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zh-CN"/>
              </w:rPr>
              <w:t>代理服务费</w:t>
            </w:r>
          </w:p>
        </w:tc>
        <w:tc>
          <w:tcPr>
            <w:tcW w:w="6507"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zh-CN"/>
              </w:rPr>
              <w:t>由招标人支付</w:t>
            </w:r>
          </w:p>
        </w:tc>
      </w:tr>
      <w:tr>
        <w:tblPrEx>
          <w:tblCellMar>
            <w:top w:w="0" w:type="dxa"/>
            <w:left w:w="108" w:type="dxa"/>
            <w:bottom w:w="0" w:type="dxa"/>
            <w:right w:w="108" w:type="dxa"/>
          </w:tblCellMar>
        </w:tblPrEx>
        <w:trPr>
          <w:trHeight w:val="20" w:hRule="atLeast"/>
        </w:trPr>
        <w:tc>
          <w:tcPr>
            <w:tcW w:w="825"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jc w:val="center"/>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zh-CN"/>
              </w:rPr>
              <w:t>20</w:t>
            </w:r>
          </w:p>
        </w:tc>
        <w:tc>
          <w:tcPr>
            <w:tcW w:w="2193"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zh-CN"/>
              </w:rPr>
              <w:t>合同签订有效期</w:t>
            </w:r>
          </w:p>
        </w:tc>
        <w:tc>
          <w:tcPr>
            <w:tcW w:w="6507"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zh-CN"/>
              </w:rPr>
              <w:t>自成交结果通知书发出之日起30日内与采购人签订采购合同。</w:t>
            </w:r>
          </w:p>
        </w:tc>
      </w:tr>
      <w:tr>
        <w:tblPrEx>
          <w:tblCellMar>
            <w:top w:w="0" w:type="dxa"/>
            <w:left w:w="108" w:type="dxa"/>
            <w:bottom w:w="0" w:type="dxa"/>
            <w:right w:w="108" w:type="dxa"/>
          </w:tblCellMar>
        </w:tblPrEx>
        <w:trPr>
          <w:trHeight w:val="518" w:hRule="atLeast"/>
        </w:trPr>
        <w:tc>
          <w:tcPr>
            <w:tcW w:w="825"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jc w:val="center"/>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zh-CN"/>
              </w:rPr>
              <w:t>21</w:t>
            </w:r>
          </w:p>
        </w:tc>
        <w:tc>
          <w:tcPr>
            <w:tcW w:w="2193"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zh-CN"/>
              </w:rPr>
              <w:t>响应文件有效期</w:t>
            </w:r>
          </w:p>
        </w:tc>
        <w:tc>
          <w:tcPr>
            <w:tcW w:w="6507"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zh-CN"/>
              </w:rPr>
              <w:t>本次有效期为递交响应文件之日起60个日历日。</w:t>
            </w:r>
          </w:p>
        </w:tc>
      </w:tr>
      <w:tr>
        <w:tblPrEx>
          <w:tblCellMar>
            <w:top w:w="0" w:type="dxa"/>
            <w:left w:w="108" w:type="dxa"/>
            <w:bottom w:w="0" w:type="dxa"/>
            <w:right w:w="108" w:type="dxa"/>
          </w:tblCellMar>
        </w:tblPrEx>
        <w:trPr>
          <w:trHeight w:val="20" w:hRule="atLeast"/>
        </w:trPr>
        <w:tc>
          <w:tcPr>
            <w:tcW w:w="825"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jc w:val="center"/>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zh-CN"/>
              </w:rPr>
              <w:t>22</w:t>
            </w:r>
          </w:p>
        </w:tc>
        <w:tc>
          <w:tcPr>
            <w:tcW w:w="2193"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zh-CN"/>
              </w:rPr>
              <w:t>其他事项</w:t>
            </w:r>
          </w:p>
        </w:tc>
        <w:tc>
          <w:tcPr>
            <w:tcW w:w="6507"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zh-CN"/>
              </w:rPr>
              <w:t>供应商在响应文件中须提供产品彩页（或厂家公开发布的资料参数）等证明材料。</w:t>
            </w:r>
          </w:p>
        </w:tc>
      </w:tr>
      <w:tr>
        <w:tblPrEx>
          <w:tblCellMar>
            <w:top w:w="0" w:type="dxa"/>
            <w:left w:w="108" w:type="dxa"/>
            <w:bottom w:w="0" w:type="dxa"/>
            <w:right w:w="108" w:type="dxa"/>
          </w:tblCellMar>
        </w:tblPrEx>
        <w:trPr>
          <w:trHeight w:val="20" w:hRule="atLeast"/>
        </w:trPr>
        <w:tc>
          <w:tcPr>
            <w:tcW w:w="825"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jc w:val="center"/>
              <w:rPr>
                <w:rFonts w:hint="default" w:ascii="宋体" w:hAnsi="宋体" w:eastAsia="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23</w:t>
            </w:r>
          </w:p>
        </w:tc>
        <w:tc>
          <w:tcPr>
            <w:tcW w:w="2193"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zh-CN"/>
              </w:rPr>
              <w:t>财政监督部门及电话</w:t>
            </w:r>
          </w:p>
        </w:tc>
        <w:tc>
          <w:tcPr>
            <w:tcW w:w="6507"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zh-CN"/>
              </w:rPr>
              <w:t>监督部门：乌兰县财政局</w:t>
            </w:r>
            <w:r>
              <w:rPr>
                <w:rFonts w:hint="eastAsia" w:ascii="宋体" w:hAnsi="宋体" w:eastAsia="宋体" w:cs="宋体"/>
                <w:color w:val="auto"/>
                <w:kern w:val="0"/>
                <w:sz w:val="24"/>
                <w:szCs w:val="24"/>
                <w:highlight w:val="none"/>
                <w:lang w:val="en-US" w:eastAsia="zh-CN"/>
              </w:rPr>
              <w:t xml:space="preserve">      </w:t>
            </w:r>
          </w:p>
          <w:p>
            <w:pPr>
              <w:autoSpaceDE w:val="0"/>
              <w:autoSpaceDN w:val="0"/>
              <w:adjustRightInd w:val="0"/>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zh-CN"/>
              </w:rPr>
              <w:t>监督电话：</w:t>
            </w:r>
            <w:r>
              <w:rPr>
                <w:rFonts w:hint="default" w:ascii="宋体" w:hAnsi="宋体" w:eastAsia="宋体" w:cs="宋体"/>
                <w:color w:val="auto"/>
                <w:kern w:val="0"/>
                <w:sz w:val="24"/>
                <w:szCs w:val="24"/>
                <w:highlight w:val="none"/>
                <w:lang w:val="zh-CN"/>
              </w:rPr>
              <w:t>0977-8243909 </w:t>
            </w:r>
          </w:p>
        </w:tc>
      </w:tr>
      <w:bookmarkEnd w:id="16"/>
      <w:bookmarkEnd w:id="17"/>
      <w:bookmarkEnd w:id="18"/>
    </w:tbl>
    <w:p>
      <w:pPr>
        <w:pStyle w:val="35"/>
        <w:jc w:val="both"/>
        <w:rPr>
          <w:b w:val="0"/>
          <w:color w:val="auto"/>
          <w:szCs w:val="36"/>
          <w:highlight w:val="none"/>
          <w:lang w:val="zh-CN"/>
        </w:rPr>
      </w:pPr>
      <w:bookmarkStart w:id="19" w:name="_Toc13582294"/>
      <w:bookmarkStart w:id="20" w:name="_Toc10730534"/>
      <w:bookmarkStart w:id="21" w:name="_Toc1293"/>
    </w:p>
    <w:p>
      <w:pPr>
        <w:pStyle w:val="35"/>
        <w:rPr>
          <w:rFonts w:ascii="Calibri" w:cs="Calibri"/>
          <w:color w:val="auto"/>
          <w:szCs w:val="36"/>
          <w:highlight w:val="none"/>
        </w:rPr>
      </w:pPr>
      <w:bookmarkStart w:id="22" w:name="_Toc6603"/>
      <w:bookmarkStart w:id="23" w:name="_Toc2283"/>
      <w:bookmarkStart w:id="24" w:name="_Toc11833"/>
      <w:bookmarkStart w:id="25" w:name="_Toc8763"/>
      <w:r>
        <w:rPr>
          <w:rFonts w:hint="eastAsia"/>
          <w:b w:val="0"/>
          <w:color w:val="auto"/>
          <w:szCs w:val="36"/>
          <w:highlight w:val="none"/>
          <w:lang w:val="zh-CN"/>
        </w:rPr>
        <w:t>（二）</w:t>
      </w:r>
      <w:r>
        <w:rPr>
          <w:rFonts w:hint="eastAsia"/>
          <w:color w:val="auto"/>
          <w:szCs w:val="36"/>
          <w:highlight w:val="none"/>
          <w:lang w:val="zh-CN"/>
        </w:rPr>
        <w:t>供应商须知</w:t>
      </w:r>
      <w:bookmarkEnd w:id="19"/>
      <w:bookmarkEnd w:id="20"/>
      <w:bookmarkEnd w:id="21"/>
      <w:bookmarkEnd w:id="22"/>
      <w:bookmarkEnd w:id="23"/>
      <w:bookmarkEnd w:id="24"/>
      <w:bookmarkEnd w:id="25"/>
    </w:p>
    <w:p>
      <w:pPr>
        <w:pStyle w:val="35"/>
        <w:rPr>
          <w:rFonts w:cs="Cambria"/>
          <w:color w:val="auto"/>
          <w:highlight w:val="none"/>
        </w:rPr>
      </w:pPr>
      <w:bookmarkStart w:id="26" w:name="_Toc10730535"/>
      <w:bookmarkStart w:id="27" w:name="_Toc13582295"/>
      <w:bookmarkStart w:id="28" w:name="_Toc22772"/>
      <w:bookmarkStart w:id="29" w:name="_Toc22621"/>
      <w:bookmarkStart w:id="30" w:name="_Toc26419"/>
      <w:bookmarkStart w:id="31" w:name="_Toc13938"/>
      <w:bookmarkStart w:id="32" w:name="_Toc31848"/>
      <w:r>
        <w:rPr>
          <w:rFonts w:hint="eastAsia" w:hAnsi="Calibri"/>
          <w:color w:val="auto"/>
          <w:highlight w:val="none"/>
          <w:lang w:val="zh-CN"/>
        </w:rPr>
        <w:t>一、说</w:t>
      </w:r>
      <w:r>
        <w:rPr>
          <w:rFonts w:hint="eastAsia"/>
          <w:color w:val="auto"/>
          <w:highlight w:val="none"/>
          <w:lang w:val="zh-CN"/>
        </w:rPr>
        <w:t>明</w:t>
      </w:r>
      <w:bookmarkEnd w:id="26"/>
      <w:bookmarkEnd w:id="27"/>
      <w:bookmarkEnd w:id="28"/>
      <w:bookmarkEnd w:id="29"/>
      <w:bookmarkEnd w:id="30"/>
      <w:bookmarkEnd w:id="31"/>
      <w:bookmarkEnd w:id="32"/>
    </w:p>
    <w:p>
      <w:pPr>
        <w:pStyle w:val="35"/>
        <w:spacing w:line="360" w:lineRule="auto"/>
        <w:jc w:val="left"/>
        <w:rPr>
          <w:color w:val="auto"/>
          <w:sz w:val="28"/>
          <w:highlight w:val="none"/>
          <w:lang w:val="zh-CN"/>
        </w:rPr>
      </w:pPr>
      <w:bookmarkStart w:id="33" w:name="_Toc877"/>
      <w:bookmarkStart w:id="34" w:name="_Toc32695"/>
      <w:bookmarkStart w:id="35" w:name="_Toc10730536"/>
      <w:bookmarkStart w:id="36" w:name="_Toc13582296"/>
      <w:bookmarkStart w:id="37" w:name="_Toc31977"/>
      <w:bookmarkStart w:id="38" w:name="_Toc18466"/>
      <w:bookmarkStart w:id="39" w:name="_Toc31974"/>
      <w:r>
        <w:rPr>
          <w:color w:val="auto"/>
          <w:sz w:val="28"/>
          <w:highlight w:val="none"/>
          <w:lang w:val="zh-CN"/>
        </w:rPr>
        <w:t>1.</w:t>
      </w:r>
      <w:r>
        <w:rPr>
          <w:rFonts w:hint="eastAsia"/>
          <w:color w:val="auto"/>
          <w:sz w:val="28"/>
          <w:highlight w:val="none"/>
          <w:lang w:val="zh-CN"/>
        </w:rPr>
        <w:t>适用范围</w:t>
      </w:r>
      <w:bookmarkEnd w:id="33"/>
      <w:bookmarkEnd w:id="34"/>
      <w:bookmarkEnd w:id="35"/>
      <w:bookmarkEnd w:id="36"/>
      <w:bookmarkEnd w:id="37"/>
      <w:bookmarkEnd w:id="38"/>
      <w:bookmarkEnd w:id="39"/>
    </w:p>
    <w:p>
      <w:pPr>
        <w:autoSpaceDE w:val="0"/>
        <w:autoSpaceDN w:val="0"/>
        <w:adjustRightInd w:val="0"/>
        <w:spacing w:line="360" w:lineRule="auto"/>
        <w:rPr>
          <w:rFonts w:ascii="宋体" w:hAnsi="宋体" w:cs="宋体"/>
          <w:color w:val="auto"/>
          <w:kern w:val="0"/>
          <w:sz w:val="28"/>
          <w:szCs w:val="28"/>
          <w:highlight w:val="none"/>
          <w:lang w:val="zh-CN"/>
        </w:rPr>
      </w:pPr>
      <w:r>
        <w:rPr>
          <w:rFonts w:ascii="宋体" w:hAnsi="宋体" w:cs="宋体"/>
          <w:color w:val="auto"/>
          <w:kern w:val="0"/>
          <w:sz w:val="24"/>
          <w:szCs w:val="28"/>
          <w:highlight w:val="none"/>
          <w:lang w:val="zh-CN"/>
        </w:rPr>
        <w:t>1.1</w:t>
      </w:r>
      <w:r>
        <w:rPr>
          <w:rFonts w:hint="eastAsia" w:ascii="宋体" w:hAnsi="宋体" w:cs="宋体"/>
          <w:color w:val="auto"/>
          <w:kern w:val="0"/>
          <w:sz w:val="24"/>
          <w:szCs w:val="28"/>
          <w:highlight w:val="none"/>
          <w:lang w:val="zh-CN"/>
        </w:rPr>
        <w:t>本次询比采购依据采购人的采购计划，仅适用于本采购文件中所叙述的项目。</w:t>
      </w:r>
      <w:bookmarkStart w:id="40" w:name="_Toc32440"/>
      <w:bookmarkStart w:id="41" w:name="_Toc10730537"/>
      <w:bookmarkStart w:id="42" w:name="_Toc13582297"/>
    </w:p>
    <w:p>
      <w:pPr>
        <w:autoSpaceDE w:val="0"/>
        <w:autoSpaceDN w:val="0"/>
        <w:adjustRightInd w:val="0"/>
        <w:spacing w:line="360" w:lineRule="auto"/>
        <w:rPr>
          <w:rFonts w:ascii="Cambria" w:hAnsi="Cambria"/>
          <w:b/>
          <w:bCs/>
          <w:color w:val="auto"/>
          <w:sz w:val="28"/>
          <w:szCs w:val="32"/>
          <w:highlight w:val="none"/>
          <w:lang w:val="zh-CN"/>
        </w:rPr>
      </w:pPr>
      <w:r>
        <w:rPr>
          <w:rFonts w:ascii="Cambria" w:hAnsi="Cambria"/>
          <w:b/>
          <w:bCs/>
          <w:color w:val="auto"/>
          <w:sz w:val="28"/>
          <w:szCs w:val="32"/>
          <w:highlight w:val="none"/>
          <w:lang w:val="zh-CN"/>
        </w:rPr>
        <w:t>2.</w:t>
      </w:r>
      <w:r>
        <w:rPr>
          <w:rFonts w:hint="eastAsia" w:ascii="Cambria" w:hAnsi="Cambria"/>
          <w:b/>
          <w:bCs/>
          <w:color w:val="auto"/>
          <w:sz w:val="28"/>
          <w:szCs w:val="32"/>
          <w:highlight w:val="none"/>
          <w:lang w:val="zh-CN"/>
        </w:rPr>
        <w:t>采购方式、合格的供应商</w:t>
      </w:r>
      <w:bookmarkEnd w:id="40"/>
      <w:bookmarkEnd w:id="41"/>
      <w:bookmarkEnd w:id="42"/>
    </w:p>
    <w:p>
      <w:pPr>
        <w:autoSpaceDE w:val="0"/>
        <w:autoSpaceDN w:val="0"/>
        <w:adjustRightInd w:val="0"/>
        <w:spacing w:line="360" w:lineRule="auto"/>
        <w:rPr>
          <w:rFonts w:ascii="宋体" w:hAnsi="宋体" w:cs="宋体"/>
          <w:color w:val="auto"/>
          <w:kern w:val="0"/>
          <w:sz w:val="24"/>
          <w:szCs w:val="28"/>
          <w:highlight w:val="none"/>
          <w:lang w:val="zh-CN"/>
        </w:rPr>
      </w:pPr>
      <w:r>
        <w:rPr>
          <w:rFonts w:hint="eastAsia" w:ascii="宋体" w:hAnsi="宋体" w:cs="宋体"/>
          <w:color w:val="auto"/>
          <w:kern w:val="0"/>
          <w:sz w:val="24"/>
          <w:szCs w:val="28"/>
          <w:highlight w:val="none"/>
          <w:lang w:val="zh-CN"/>
        </w:rPr>
        <w:t>2.1本次采购采取询比采购方式。</w:t>
      </w:r>
    </w:p>
    <w:p>
      <w:pPr>
        <w:autoSpaceDE w:val="0"/>
        <w:autoSpaceDN w:val="0"/>
        <w:adjustRightInd w:val="0"/>
        <w:spacing w:line="360" w:lineRule="auto"/>
        <w:rPr>
          <w:rFonts w:ascii="宋体" w:hAnsi="宋体" w:cs="宋体"/>
          <w:color w:val="auto"/>
          <w:kern w:val="0"/>
          <w:sz w:val="24"/>
          <w:szCs w:val="28"/>
          <w:highlight w:val="none"/>
          <w:lang w:val="zh-CN"/>
        </w:rPr>
      </w:pPr>
      <w:r>
        <w:rPr>
          <w:rFonts w:hint="eastAsia" w:ascii="宋体" w:hAnsi="宋体" w:cs="宋体"/>
          <w:color w:val="auto"/>
          <w:kern w:val="0"/>
          <w:sz w:val="24"/>
          <w:szCs w:val="28"/>
          <w:highlight w:val="none"/>
          <w:lang w:val="zh-CN"/>
        </w:rPr>
        <w:t>2.2合格供应商的条件：</w:t>
      </w:r>
    </w:p>
    <w:p>
      <w:pPr>
        <w:spacing w:line="360" w:lineRule="auto"/>
        <w:rPr>
          <w:rFonts w:ascii="宋体" w:hAnsi="宋体"/>
          <w:color w:val="auto"/>
          <w:sz w:val="24"/>
          <w:highlight w:val="none"/>
        </w:rPr>
      </w:pPr>
      <w:bookmarkStart w:id="43" w:name="_Toc10730538"/>
      <w:bookmarkStart w:id="44" w:name="_Toc13582298"/>
      <w:r>
        <w:rPr>
          <w:rFonts w:hint="eastAsia" w:ascii="宋体" w:hAnsi="宋体"/>
          <w:color w:val="auto"/>
          <w:sz w:val="24"/>
          <w:highlight w:val="none"/>
        </w:rPr>
        <w:t>1、本次招标要求投标人是在中华人民共和国工商行政管理部门注册，具有有效的营业执照三证合一新证，且投标人营业执照经营范围必须包含相关营业范围经营许可资质。近三年有类似业绩，并在人员、管理方面具有相应的服务能力。</w:t>
      </w:r>
    </w:p>
    <w:p>
      <w:pPr>
        <w:spacing w:line="360" w:lineRule="auto"/>
        <w:rPr>
          <w:rFonts w:hint="eastAsia" w:ascii="宋体" w:hAnsi="宋体" w:eastAsia="宋体" w:cs="Times New Roman"/>
          <w:color w:val="auto"/>
          <w:sz w:val="24"/>
          <w:highlight w:val="none"/>
          <w:lang w:val="en-US" w:eastAsia="zh-CN"/>
        </w:rPr>
      </w:pPr>
      <w:r>
        <w:rPr>
          <w:rFonts w:hint="eastAsia" w:ascii="宋体" w:hAnsi="宋体"/>
          <w:color w:val="auto"/>
          <w:sz w:val="24"/>
          <w:highlight w:val="none"/>
        </w:rPr>
        <w:t>2、</w:t>
      </w:r>
      <w:r>
        <w:rPr>
          <w:rFonts w:hint="eastAsia" w:ascii="宋体" w:hAnsi="宋体" w:eastAsia="宋体" w:cs="Times New Roman"/>
          <w:color w:val="auto"/>
          <w:sz w:val="24"/>
          <w:highlight w:val="none"/>
          <w:lang w:val="en-US" w:eastAsia="zh-CN"/>
        </w:rPr>
        <w:t>供应商</w:t>
      </w:r>
      <w:r>
        <w:rPr>
          <w:rFonts w:hint="eastAsia" w:ascii="宋体" w:hAnsi="宋体" w:cs="Times New Roman"/>
          <w:color w:val="auto"/>
          <w:sz w:val="24"/>
          <w:highlight w:val="none"/>
          <w:lang w:val="en-US" w:eastAsia="zh-CN"/>
        </w:rPr>
        <w:t>提供</w:t>
      </w:r>
      <w:r>
        <w:rPr>
          <w:rFonts w:hint="eastAsia" w:ascii="宋体" w:hAnsi="宋体" w:eastAsia="宋体" w:cs="Times New Roman"/>
          <w:color w:val="auto"/>
          <w:sz w:val="24"/>
          <w:highlight w:val="none"/>
          <w:lang w:val="zh-CN" w:eastAsia="zh-CN"/>
        </w:rPr>
        <w:t>基本开户银行近三个月内出具的资信证明（同时提供基本存款账户开户许可证）或</w:t>
      </w:r>
      <w:r>
        <w:rPr>
          <w:rFonts w:hint="eastAsia" w:ascii="宋体" w:hAnsi="宋体" w:eastAsia="宋体" w:cs="Times New Roman"/>
          <w:color w:val="auto"/>
          <w:sz w:val="24"/>
          <w:highlight w:val="none"/>
          <w:lang w:val="en-US" w:eastAsia="zh-CN"/>
        </w:rPr>
        <w:t>2020年度或2021年度经第三方审计的财务状况报告</w:t>
      </w:r>
      <w:r>
        <w:rPr>
          <w:rFonts w:hint="eastAsia" w:ascii="宋体" w:hAnsi="宋体" w:eastAsia="宋体" w:cs="Times New Roman"/>
          <w:color w:val="auto"/>
          <w:sz w:val="24"/>
          <w:highlight w:val="none"/>
          <w:lang w:val="zh-CN" w:eastAsia="zh-CN"/>
        </w:rPr>
        <w:t>（扫描或复印件应全面、完整、清晰），包括资产负债表、现金流量表、利润表和财务（会计）报表附注</w:t>
      </w:r>
      <w:r>
        <w:rPr>
          <w:rFonts w:hint="eastAsia" w:ascii="宋体" w:hAnsi="宋体" w:eastAsia="宋体" w:cs="Times New Roman"/>
          <w:color w:val="auto"/>
          <w:sz w:val="24"/>
          <w:highlight w:val="none"/>
          <w:lang w:val="en-US" w:eastAsia="zh-CN"/>
        </w:rPr>
        <w:t>，</w:t>
      </w:r>
      <w:r>
        <w:rPr>
          <w:rFonts w:hint="eastAsia" w:ascii="宋体" w:hAnsi="宋体" w:eastAsia="宋体" w:cs="Times New Roman"/>
          <w:color w:val="auto"/>
          <w:sz w:val="24"/>
          <w:highlight w:val="none"/>
          <w:lang w:val="zh-CN" w:eastAsia="zh-CN"/>
        </w:rPr>
        <w:t>并提供第三方机构的营业执照、执业证书。</w:t>
      </w:r>
      <w:r>
        <w:rPr>
          <w:rFonts w:hint="eastAsia" w:ascii="宋体" w:hAnsi="宋体" w:eastAsia="宋体" w:cs="Times New Roman"/>
          <w:color w:val="auto"/>
          <w:sz w:val="24"/>
          <w:highlight w:val="none"/>
          <w:lang w:val="en-US" w:eastAsia="zh-CN"/>
        </w:rPr>
        <w:t>投标人是其他组织和自然人，没有经审计的财务报告，可以提供基本开户银行出具的资信证明（同时提供基本存款账户开户许可证）。</w:t>
      </w:r>
    </w:p>
    <w:p>
      <w:pPr>
        <w:spacing w:line="360" w:lineRule="auto"/>
        <w:ind w:firstLine="480" w:firstLineChars="200"/>
        <w:rPr>
          <w:color w:val="auto"/>
          <w:highlight w:val="none"/>
        </w:rPr>
      </w:pPr>
      <w:r>
        <w:rPr>
          <w:rFonts w:hint="eastAsia" w:ascii="宋体" w:hAnsi="宋体" w:eastAsia="宋体" w:cs="Times New Roman"/>
          <w:color w:val="auto"/>
          <w:sz w:val="24"/>
          <w:highlight w:val="none"/>
          <w:lang w:val="en-US" w:eastAsia="zh-CN"/>
        </w:rPr>
        <w:t>2021年12月至今任意3个月</w:t>
      </w:r>
      <w:r>
        <w:rPr>
          <w:rFonts w:hint="eastAsia" w:ascii="宋体" w:hAnsi="宋体" w:eastAsia="宋体" w:cs="Times New Roman"/>
          <w:color w:val="auto"/>
          <w:sz w:val="24"/>
          <w:highlight w:val="none"/>
          <w:lang w:val="zh-CN" w:eastAsia="zh-CN"/>
        </w:rPr>
        <w:t>的依法</w:t>
      </w:r>
      <w:r>
        <w:rPr>
          <w:rFonts w:hint="eastAsia" w:ascii="宋体" w:hAnsi="宋体" w:eastAsia="宋体" w:cs="Times New Roman"/>
          <w:color w:val="auto"/>
          <w:sz w:val="24"/>
          <w:highlight w:val="none"/>
          <w:lang w:val="zh-CN"/>
        </w:rPr>
        <w:t>缴纳税收和社会保障资金记录的证明材料；依法免税或不需要缴纳社会保障资金的投标人须提供相应文件证明其依法免税或不需要缴纳社会保障资金。</w:t>
      </w:r>
    </w:p>
    <w:p>
      <w:pPr>
        <w:spacing w:line="360" w:lineRule="auto"/>
        <w:rPr>
          <w:rFonts w:ascii="宋体" w:hAnsi="宋体"/>
          <w:color w:val="auto"/>
          <w:sz w:val="24"/>
          <w:highlight w:val="none"/>
        </w:rPr>
      </w:pPr>
      <w:r>
        <w:rPr>
          <w:rFonts w:hint="eastAsia" w:ascii="宋体" w:hAnsi="宋体"/>
          <w:color w:val="auto"/>
          <w:sz w:val="24"/>
          <w:highlight w:val="none"/>
        </w:rPr>
        <w:t>3、经信用中国（www.creditchina.gov.cn）渠道查询后，列入失信被执行人、重大税收违法案件当事人名单严重违法失信行为记录名单的，取消递交响应文件资格。（提供“信用中国”网站无任何不良记录的查询截图,</w:t>
      </w:r>
      <w:r>
        <w:rPr>
          <w:rFonts w:hint="eastAsia" w:ascii="宋体" w:hAnsi="宋体"/>
          <w:color w:val="auto"/>
          <w:kern w:val="0"/>
          <w:sz w:val="24"/>
          <w:highlight w:val="none"/>
        </w:rPr>
        <w:t xml:space="preserve"> 时间为投标截止时间前5天内</w:t>
      </w:r>
      <w:r>
        <w:rPr>
          <w:rFonts w:hint="eastAsia" w:ascii="宋体" w:hAnsi="宋体"/>
          <w:color w:val="auto"/>
          <w:sz w:val="24"/>
          <w:highlight w:val="none"/>
        </w:rPr>
        <w:t>）。</w:t>
      </w:r>
    </w:p>
    <w:p>
      <w:pPr>
        <w:autoSpaceDE w:val="0"/>
        <w:autoSpaceDN w:val="0"/>
        <w:adjustRightInd w:val="0"/>
        <w:spacing w:line="360" w:lineRule="auto"/>
        <w:jc w:val="left"/>
        <w:rPr>
          <w:rFonts w:hint="eastAsia" w:ascii="宋体" w:hAnsi="宋体"/>
          <w:color w:val="auto"/>
          <w:sz w:val="24"/>
          <w:highlight w:val="none"/>
        </w:rPr>
      </w:pPr>
      <w:r>
        <w:rPr>
          <w:rFonts w:hint="eastAsia" w:ascii="宋体" w:hAnsi="宋体"/>
          <w:color w:val="auto"/>
          <w:sz w:val="24"/>
          <w:highlight w:val="none"/>
        </w:rPr>
        <w:t>4、本次采购不接受联合体递交响应文件。</w:t>
      </w:r>
    </w:p>
    <w:p>
      <w:pPr>
        <w:numPr>
          <w:ilvl w:val="0"/>
          <w:numId w:val="0"/>
        </w:numPr>
        <w:autoSpaceDE w:val="0"/>
        <w:autoSpaceDN w:val="0"/>
        <w:spacing w:line="360" w:lineRule="auto"/>
        <w:rPr>
          <w:rFonts w:hint="eastAsia" w:ascii="宋体" w:cs="宋体"/>
          <w:color w:val="auto"/>
          <w:sz w:val="24"/>
          <w:szCs w:val="24"/>
          <w:highlight w:val="none"/>
          <w:lang w:val="zh-CN"/>
        </w:rPr>
      </w:pPr>
      <w:r>
        <w:rPr>
          <w:rFonts w:hint="eastAsia" w:ascii="宋体" w:cs="宋体"/>
          <w:color w:val="auto"/>
          <w:sz w:val="24"/>
          <w:szCs w:val="24"/>
          <w:highlight w:val="none"/>
          <w:lang w:val="en-US" w:eastAsia="zh-CN"/>
        </w:rPr>
        <w:t>5、</w:t>
      </w:r>
      <w:r>
        <w:rPr>
          <w:rFonts w:hint="eastAsia" w:ascii="宋体" w:cs="宋体"/>
          <w:color w:val="auto"/>
          <w:sz w:val="24"/>
          <w:szCs w:val="24"/>
          <w:highlight w:val="none"/>
          <w:lang w:val="zh-CN"/>
        </w:rPr>
        <w:t>单位负责人为同一人或者存在直接控股、管理关系的不同投标人，不得参加同一合同项下的政府采购活动。否则，皆取消投标资格；</w:t>
      </w:r>
    </w:p>
    <w:p>
      <w:pPr>
        <w:pStyle w:val="2"/>
        <w:jc w:val="both"/>
        <w:rPr>
          <w:rFonts w:hint="eastAsia" w:ascii="宋体" w:hAnsi="Calibri" w:eastAsia="宋体" w:cs="宋体"/>
          <w:b w:val="0"/>
          <w:color w:val="auto"/>
          <w:kern w:val="2"/>
          <w:sz w:val="24"/>
          <w:szCs w:val="24"/>
          <w:highlight w:val="none"/>
          <w:lang w:val="zh-CN" w:eastAsia="zh-CN" w:bidi="ar-SA"/>
        </w:rPr>
      </w:pPr>
      <w:r>
        <w:rPr>
          <w:rFonts w:hint="eastAsia" w:ascii="宋体" w:hAnsi="Calibri" w:eastAsia="宋体" w:cs="宋体"/>
          <w:b w:val="0"/>
          <w:color w:val="auto"/>
          <w:kern w:val="2"/>
          <w:sz w:val="24"/>
          <w:szCs w:val="24"/>
          <w:highlight w:val="none"/>
          <w:lang w:val="en-US" w:eastAsia="zh-CN" w:bidi="ar-SA"/>
        </w:rPr>
        <w:t>6</w:t>
      </w:r>
      <w:r>
        <w:rPr>
          <w:rFonts w:hint="eastAsia" w:ascii="宋体" w:eastAsia="宋体" w:cs="宋体"/>
          <w:b w:val="0"/>
          <w:color w:val="auto"/>
          <w:kern w:val="2"/>
          <w:sz w:val="24"/>
          <w:szCs w:val="24"/>
          <w:highlight w:val="none"/>
          <w:lang w:val="en-US" w:eastAsia="zh-CN" w:bidi="ar-SA"/>
        </w:rPr>
        <w:t>、</w:t>
      </w:r>
      <w:r>
        <w:rPr>
          <w:rFonts w:hint="eastAsia" w:ascii="宋体" w:hAnsi="Calibri" w:eastAsia="宋体" w:cs="宋体"/>
          <w:b w:val="0"/>
          <w:color w:val="auto"/>
          <w:kern w:val="2"/>
          <w:sz w:val="24"/>
          <w:szCs w:val="24"/>
          <w:highlight w:val="none"/>
          <w:lang w:val="zh-CN" w:eastAsia="zh-CN" w:bidi="ar-SA"/>
        </w:rPr>
        <w:t>为本采购项目提供整体设计、规范编制或者项目管理、监理、检测等服务的投标人，不得再参加该采购项目的其他采购活动；</w:t>
      </w:r>
    </w:p>
    <w:p>
      <w:pPr>
        <w:pStyle w:val="2"/>
        <w:jc w:val="both"/>
        <w:rPr>
          <w:color w:val="auto"/>
          <w:highlight w:val="none"/>
        </w:rPr>
      </w:pPr>
      <w:r>
        <w:rPr>
          <w:rFonts w:hint="eastAsia" w:ascii="宋体" w:eastAsia="宋体" w:cs="宋体"/>
          <w:b w:val="0"/>
          <w:color w:val="auto"/>
          <w:kern w:val="2"/>
          <w:sz w:val="24"/>
          <w:szCs w:val="24"/>
          <w:highlight w:val="none"/>
          <w:lang w:val="en-US" w:eastAsia="zh-CN" w:bidi="ar-SA"/>
        </w:rPr>
        <w:t>7、其他资质条件</w:t>
      </w:r>
    </w:p>
    <w:p>
      <w:pPr>
        <w:autoSpaceDE w:val="0"/>
        <w:autoSpaceDN w:val="0"/>
        <w:adjustRightInd w:val="0"/>
        <w:spacing w:line="360" w:lineRule="auto"/>
        <w:jc w:val="left"/>
        <w:rPr>
          <w:rFonts w:ascii="Cambria" w:hAnsi="Cambria"/>
          <w:b/>
          <w:bCs/>
          <w:color w:val="auto"/>
          <w:sz w:val="28"/>
          <w:szCs w:val="32"/>
          <w:highlight w:val="none"/>
          <w:lang w:val="zh-CN"/>
        </w:rPr>
      </w:pPr>
      <w:r>
        <w:rPr>
          <w:rFonts w:hint="eastAsia" w:ascii="Cambria" w:hAnsi="Cambria"/>
          <w:b/>
          <w:bCs/>
          <w:color w:val="auto"/>
          <w:sz w:val="28"/>
          <w:szCs w:val="32"/>
          <w:highlight w:val="none"/>
          <w:lang w:val="zh-CN"/>
        </w:rPr>
        <w:t>3.费用</w:t>
      </w:r>
      <w:bookmarkEnd w:id="43"/>
      <w:bookmarkEnd w:id="44"/>
    </w:p>
    <w:p>
      <w:pPr>
        <w:autoSpaceDE w:val="0"/>
        <w:autoSpaceDN w:val="0"/>
        <w:adjustRightInd w:val="0"/>
        <w:spacing w:line="360" w:lineRule="auto"/>
        <w:ind w:firstLine="480" w:firstLineChars="200"/>
        <w:rPr>
          <w:rFonts w:ascii="宋体" w:hAnsi="宋体" w:cs="Calibri"/>
          <w:color w:val="auto"/>
          <w:kern w:val="0"/>
          <w:sz w:val="24"/>
          <w:highlight w:val="none"/>
        </w:rPr>
      </w:pPr>
      <w:r>
        <w:rPr>
          <w:rFonts w:hint="eastAsia" w:ascii="宋体" w:hAnsi="宋体" w:cs="Calibri"/>
          <w:color w:val="auto"/>
          <w:kern w:val="0"/>
          <w:sz w:val="24"/>
          <w:highlight w:val="none"/>
        </w:rPr>
        <w:t>供应商应自愿承担与参加本次采购有关的费用。采购代理机构和采购人对供应商发生的费用不承担任何责任。</w:t>
      </w:r>
    </w:p>
    <w:p>
      <w:pPr>
        <w:pStyle w:val="35"/>
        <w:rPr>
          <w:rFonts w:cs="Cambria"/>
          <w:color w:val="auto"/>
          <w:highlight w:val="none"/>
        </w:rPr>
      </w:pPr>
      <w:bookmarkStart w:id="45" w:name="_Toc22468"/>
      <w:bookmarkStart w:id="46" w:name="_Toc10730539"/>
      <w:bookmarkStart w:id="47" w:name="_Toc13582299"/>
      <w:bookmarkStart w:id="48" w:name="_Toc14315"/>
      <w:bookmarkStart w:id="49" w:name="_Toc18933"/>
      <w:bookmarkStart w:id="50" w:name="_Toc27001"/>
      <w:bookmarkStart w:id="51" w:name="_Toc18184"/>
      <w:r>
        <w:rPr>
          <w:rFonts w:hint="eastAsia"/>
          <w:color w:val="auto"/>
          <w:highlight w:val="none"/>
          <w:lang w:val="zh-CN"/>
        </w:rPr>
        <w:t>二、询比采购文件说明</w:t>
      </w:r>
      <w:bookmarkEnd w:id="45"/>
      <w:bookmarkEnd w:id="46"/>
      <w:bookmarkEnd w:id="47"/>
      <w:bookmarkEnd w:id="48"/>
      <w:bookmarkEnd w:id="49"/>
      <w:bookmarkEnd w:id="50"/>
      <w:bookmarkEnd w:id="51"/>
    </w:p>
    <w:p>
      <w:pPr>
        <w:pStyle w:val="35"/>
        <w:jc w:val="left"/>
        <w:rPr>
          <w:color w:val="auto"/>
          <w:sz w:val="28"/>
          <w:highlight w:val="none"/>
          <w:lang w:val="zh-CN"/>
        </w:rPr>
      </w:pPr>
      <w:bookmarkStart w:id="52" w:name="_Toc31397"/>
      <w:bookmarkStart w:id="53" w:name="_Toc10730540"/>
      <w:bookmarkStart w:id="54" w:name="_Toc13582300"/>
      <w:bookmarkStart w:id="55" w:name="_Toc28837"/>
      <w:bookmarkStart w:id="56" w:name="_Toc20172"/>
      <w:bookmarkStart w:id="57" w:name="_Toc5777"/>
      <w:bookmarkStart w:id="58" w:name="_Toc23485"/>
      <w:r>
        <w:rPr>
          <w:color w:val="auto"/>
          <w:sz w:val="28"/>
          <w:highlight w:val="none"/>
          <w:lang w:val="zh-CN"/>
        </w:rPr>
        <w:t>4.</w:t>
      </w:r>
      <w:r>
        <w:rPr>
          <w:rFonts w:hint="eastAsia"/>
          <w:color w:val="auto"/>
          <w:sz w:val="28"/>
          <w:highlight w:val="none"/>
          <w:lang w:val="zh-CN"/>
        </w:rPr>
        <w:t>采购文件的构成</w:t>
      </w:r>
      <w:bookmarkEnd w:id="52"/>
      <w:bookmarkEnd w:id="53"/>
      <w:bookmarkEnd w:id="54"/>
      <w:bookmarkEnd w:id="55"/>
      <w:bookmarkEnd w:id="56"/>
      <w:bookmarkEnd w:id="57"/>
      <w:bookmarkEnd w:id="58"/>
    </w:p>
    <w:p>
      <w:pPr>
        <w:autoSpaceDE w:val="0"/>
        <w:autoSpaceDN w:val="0"/>
        <w:adjustRightInd w:val="0"/>
        <w:spacing w:line="360" w:lineRule="auto"/>
        <w:rPr>
          <w:rFonts w:ascii="宋体" w:hAnsi="宋体" w:cs="Calibri"/>
          <w:color w:val="auto"/>
          <w:kern w:val="0"/>
          <w:sz w:val="24"/>
          <w:highlight w:val="none"/>
        </w:rPr>
      </w:pPr>
      <w:r>
        <w:rPr>
          <w:rFonts w:ascii="宋体" w:hAnsi="宋体" w:cs="Calibri"/>
          <w:color w:val="auto"/>
          <w:kern w:val="0"/>
          <w:sz w:val="24"/>
          <w:highlight w:val="none"/>
        </w:rPr>
        <w:t>4.1</w:t>
      </w:r>
      <w:r>
        <w:rPr>
          <w:rFonts w:hint="eastAsia" w:ascii="宋体" w:hAnsi="宋体" w:cs="Calibri"/>
          <w:color w:val="auto"/>
          <w:kern w:val="0"/>
          <w:sz w:val="24"/>
          <w:highlight w:val="none"/>
        </w:rPr>
        <w:t>采购文件包括：</w:t>
      </w:r>
    </w:p>
    <w:p>
      <w:pPr>
        <w:autoSpaceDE w:val="0"/>
        <w:autoSpaceDN w:val="0"/>
        <w:adjustRightInd w:val="0"/>
        <w:spacing w:line="360" w:lineRule="auto"/>
        <w:rPr>
          <w:rFonts w:ascii="宋体" w:hAnsi="宋体" w:cs="Calibri"/>
          <w:color w:val="auto"/>
          <w:kern w:val="0"/>
          <w:sz w:val="24"/>
          <w:highlight w:val="none"/>
        </w:rPr>
      </w:pPr>
      <w:r>
        <w:rPr>
          <w:rFonts w:hint="eastAsia" w:ascii="宋体" w:hAnsi="宋体" w:cs="Calibri"/>
          <w:color w:val="auto"/>
          <w:kern w:val="0"/>
          <w:sz w:val="24"/>
          <w:highlight w:val="none"/>
        </w:rPr>
        <w:t>（1）采购公告；</w:t>
      </w:r>
    </w:p>
    <w:p>
      <w:pPr>
        <w:autoSpaceDE w:val="0"/>
        <w:autoSpaceDN w:val="0"/>
        <w:adjustRightInd w:val="0"/>
        <w:spacing w:line="360" w:lineRule="auto"/>
        <w:rPr>
          <w:rFonts w:ascii="宋体" w:hAnsi="宋体" w:cs="Calibri"/>
          <w:color w:val="auto"/>
          <w:kern w:val="0"/>
          <w:sz w:val="24"/>
          <w:highlight w:val="none"/>
        </w:rPr>
      </w:pPr>
      <w:r>
        <w:rPr>
          <w:rFonts w:hint="eastAsia" w:ascii="宋体" w:hAnsi="宋体" w:cs="Calibri"/>
          <w:color w:val="auto"/>
          <w:kern w:val="0"/>
          <w:sz w:val="24"/>
          <w:highlight w:val="none"/>
        </w:rPr>
        <w:t>（</w:t>
      </w:r>
      <w:r>
        <w:rPr>
          <w:rFonts w:ascii="宋体" w:hAnsi="宋体" w:cs="Calibri"/>
          <w:color w:val="auto"/>
          <w:kern w:val="0"/>
          <w:sz w:val="24"/>
          <w:highlight w:val="none"/>
        </w:rPr>
        <w:t>2</w:t>
      </w:r>
      <w:r>
        <w:rPr>
          <w:rFonts w:hint="eastAsia" w:ascii="宋体" w:hAnsi="宋体" w:cs="Calibri"/>
          <w:color w:val="auto"/>
          <w:kern w:val="0"/>
          <w:sz w:val="24"/>
          <w:highlight w:val="none"/>
        </w:rPr>
        <w:t>）供应商须知；</w:t>
      </w:r>
    </w:p>
    <w:p>
      <w:pPr>
        <w:autoSpaceDE w:val="0"/>
        <w:autoSpaceDN w:val="0"/>
        <w:adjustRightInd w:val="0"/>
        <w:spacing w:line="360" w:lineRule="auto"/>
        <w:rPr>
          <w:rFonts w:ascii="宋体" w:hAnsi="宋体" w:cs="Calibri"/>
          <w:color w:val="auto"/>
          <w:kern w:val="0"/>
          <w:sz w:val="24"/>
          <w:highlight w:val="none"/>
        </w:rPr>
      </w:pPr>
      <w:r>
        <w:rPr>
          <w:rFonts w:hint="eastAsia" w:ascii="宋体" w:hAnsi="宋体" w:cs="Calibri"/>
          <w:color w:val="auto"/>
          <w:kern w:val="0"/>
          <w:sz w:val="24"/>
          <w:highlight w:val="none"/>
        </w:rPr>
        <w:t>（</w:t>
      </w:r>
      <w:r>
        <w:rPr>
          <w:rFonts w:ascii="宋体" w:hAnsi="宋体" w:cs="Calibri"/>
          <w:color w:val="auto"/>
          <w:kern w:val="0"/>
          <w:sz w:val="24"/>
          <w:highlight w:val="none"/>
        </w:rPr>
        <w:t>3</w:t>
      </w:r>
      <w:r>
        <w:rPr>
          <w:rFonts w:hint="eastAsia" w:ascii="宋体" w:hAnsi="宋体" w:cs="Calibri"/>
          <w:color w:val="auto"/>
          <w:kern w:val="0"/>
          <w:sz w:val="24"/>
          <w:highlight w:val="none"/>
        </w:rPr>
        <w:t>）评审办法；</w:t>
      </w:r>
    </w:p>
    <w:p>
      <w:pPr>
        <w:autoSpaceDE w:val="0"/>
        <w:autoSpaceDN w:val="0"/>
        <w:adjustRightInd w:val="0"/>
        <w:spacing w:line="360" w:lineRule="auto"/>
        <w:rPr>
          <w:rFonts w:ascii="宋体" w:hAnsi="宋体" w:cs="Calibri"/>
          <w:color w:val="auto"/>
          <w:kern w:val="0"/>
          <w:sz w:val="24"/>
          <w:highlight w:val="none"/>
        </w:rPr>
      </w:pPr>
      <w:r>
        <w:rPr>
          <w:rFonts w:hint="eastAsia" w:ascii="宋体" w:hAnsi="宋体" w:cs="Calibri"/>
          <w:color w:val="auto"/>
          <w:kern w:val="0"/>
          <w:sz w:val="24"/>
          <w:highlight w:val="none"/>
        </w:rPr>
        <w:t>（4）合同条款及格式；</w:t>
      </w:r>
    </w:p>
    <w:p>
      <w:pPr>
        <w:autoSpaceDE w:val="0"/>
        <w:autoSpaceDN w:val="0"/>
        <w:adjustRightInd w:val="0"/>
        <w:spacing w:line="360" w:lineRule="auto"/>
        <w:rPr>
          <w:rFonts w:ascii="宋体" w:hAnsi="宋体" w:cs="Calibri"/>
          <w:color w:val="auto"/>
          <w:kern w:val="0"/>
          <w:sz w:val="24"/>
          <w:highlight w:val="none"/>
        </w:rPr>
      </w:pPr>
      <w:r>
        <w:rPr>
          <w:rFonts w:hint="eastAsia" w:ascii="宋体" w:hAnsi="宋体" w:cs="Calibri"/>
          <w:color w:val="auto"/>
          <w:kern w:val="0"/>
          <w:sz w:val="24"/>
          <w:highlight w:val="none"/>
        </w:rPr>
        <w:t>（5）采购需求；</w:t>
      </w:r>
    </w:p>
    <w:p>
      <w:pPr>
        <w:autoSpaceDE w:val="0"/>
        <w:autoSpaceDN w:val="0"/>
        <w:adjustRightInd w:val="0"/>
        <w:spacing w:line="360" w:lineRule="auto"/>
        <w:rPr>
          <w:rFonts w:ascii="宋体" w:hAnsi="宋体" w:cs="Calibri"/>
          <w:color w:val="auto"/>
          <w:kern w:val="0"/>
          <w:sz w:val="24"/>
          <w:highlight w:val="none"/>
        </w:rPr>
      </w:pPr>
      <w:r>
        <w:rPr>
          <w:rFonts w:hint="eastAsia" w:ascii="宋体" w:hAnsi="宋体" w:cs="Calibri"/>
          <w:color w:val="auto"/>
          <w:kern w:val="0"/>
          <w:sz w:val="24"/>
          <w:highlight w:val="none"/>
        </w:rPr>
        <w:t>（6）响应文件格式；</w:t>
      </w:r>
    </w:p>
    <w:p>
      <w:pPr>
        <w:autoSpaceDE w:val="0"/>
        <w:autoSpaceDN w:val="0"/>
        <w:adjustRightInd w:val="0"/>
        <w:spacing w:line="360" w:lineRule="auto"/>
        <w:rPr>
          <w:rFonts w:ascii="宋体" w:hAnsi="宋体" w:cs="Calibri"/>
          <w:color w:val="auto"/>
          <w:kern w:val="0"/>
          <w:sz w:val="24"/>
          <w:highlight w:val="none"/>
        </w:rPr>
      </w:pPr>
      <w:r>
        <w:rPr>
          <w:rFonts w:hint="eastAsia" w:ascii="宋体" w:hAnsi="宋体" w:cs="Calibri"/>
          <w:color w:val="auto"/>
          <w:kern w:val="0"/>
          <w:sz w:val="24"/>
          <w:highlight w:val="none"/>
        </w:rPr>
        <w:t>（7）其他内容（包括采购过程中发生的澄清、变更和补充文件）；</w:t>
      </w:r>
    </w:p>
    <w:p>
      <w:pPr>
        <w:autoSpaceDE w:val="0"/>
        <w:autoSpaceDN w:val="0"/>
        <w:adjustRightInd w:val="0"/>
        <w:spacing w:line="360" w:lineRule="auto"/>
        <w:rPr>
          <w:rFonts w:ascii="宋体" w:hAnsi="宋体" w:cs="Calibri"/>
          <w:color w:val="auto"/>
          <w:kern w:val="0"/>
          <w:sz w:val="24"/>
          <w:highlight w:val="none"/>
        </w:rPr>
      </w:pPr>
      <w:r>
        <w:rPr>
          <w:rFonts w:ascii="宋体" w:hAnsi="宋体" w:cs="Calibri"/>
          <w:color w:val="auto"/>
          <w:kern w:val="0"/>
          <w:sz w:val="24"/>
          <w:highlight w:val="none"/>
        </w:rPr>
        <w:t xml:space="preserve">4.2 </w:t>
      </w:r>
      <w:r>
        <w:rPr>
          <w:rFonts w:hint="eastAsia" w:ascii="宋体" w:hAnsi="宋体" w:cs="Calibri"/>
          <w:color w:val="auto"/>
          <w:kern w:val="0"/>
          <w:sz w:val="24"/>
          <w:highlight w:val="none"/>
        </w:rPr>
        <w:t>供应商应认真阅读询比文件中列示的事项、格式、条款和要求等内容。如果供应商未按询比文件要求提交全部资料，或者对询比文件未作出实质性响应的，根据相关法规要求，此类响应文件将被拒绝（视为无效响应）。</w:t>
      </w:r>
      <w:bookmarkStart w:id="59" w:name="_Toc14180"/>
      <w:bookmarkStart w:id="60" w:name="_Toc10730541"/>
      <w:bookmarkStart w:id="61" w:name="_Toc13582301"/>
    </w:p>
    <w:p>
      <w:pPr>
        <w:autoSpaceDE w:val="0"/>
        <w:autoSpaceDN w:val="0"/>
        <w:adjustRightInd w:val="0"/>
        <w:spacing w:line="360" w:lineRule="auto"/>
        <w:rPr>
          <w:rFonts w:ascii="Cambria" w:hAnsi="Cambria"/>
          <w:b/>
          <w:bCs/>
          <w:color w:val="auto"/>
          <w:sz w:val="28"/>
          <w:szCs w:val="32"/>
          <w:highlight w:val="none"/>
          <w:lang w:val="zh-CN"/>
        </w:rPr>
      </w:pPr>
      <w:r>
        <w:rPr>
          <w:rFonts w:ascii="Cambria" w:hAnsi="Cambria"/>
          <w:b/>
          <w:bCs/>
          <w:color w:val="auto"/>
          <w:sz w:val="28"/>
          <w:szCs w:val="32"/>
          <w:highlight w:val="none"/>
          <w:lang w:val="zh-CN"/>
        </w:rPr>
        <w:t>5.</w:t>
      </w:r>
      <w:r>
        <w:rPr>
          <w:rFonts w:hint="eastAsia" w:ascii="Cambria" w:hAnsi="Cambria"/>
          <w:b/>
          <w:bCs/>
          <w:color w:val="auto"/>
          <w:sz w:val="28"/>
          <w:szCs w:val="32"/>
          <w:highlight w:val="none"/>
          <w:lang w:val="zh-CN"/>
        </w:rPr>
        <w:t>采购文件的异议处理</w:t>
      </w:r>
      <w:bookmarkEnd w:id="59"/>
      <w:bookmarkEnd w:id="60"/>
      <w:bookmarkEnd w:id="61"/>
    </w:p>
    <w:p>
      <w:pPr>
        <w:autoSpaceDE w:val="0"/>
        <w:autoSpaceDN w:val="0"/>
        <w:adjustRightInd w:val="0"/>
        <w:spacing w:line="360" w:lineRule="auto"/>
        <w:rPr>
          <w:rFonts w:ascii="宋体" w:hAnsi="宋体" w:cs="Calibri"/>
          <w:color w:val="auto"/>
          <w:kern w:val="0"/>
          <w:sz w:val="24"/>
          <w:highlight w:val="none"/>
        </w:rPr>
      </w:pPr>
      <w:r>
        <w:rPr>
          <w:rFonts w:hint="eastAsia" w:ascii="宋体" w:hAnsi="宋体" w:cs="Calibri"/>
          <w:color w:val="auto"/>
          <w:kern w:val="0"/>
          <w:sz w:val="24"/>
          <w:highlight w:val="none"/>
        </w:rPr>
        <w:t>5.1 供应商或者其他利害关系人认为采购活动存在不合法或违反民事活动中平等自愿、公平诚信原则情形的，或认为采购活动由违本规范规定的物有所值、公平高效、透明规范和诚实信用原则的，可以提出异议。</w:t>
      </w:r>
    </w:p>
    <w:p>
      <w:pPr>
        <w:autoSpaceDE w:val="0"/>
        <w:autoSpaceDN w:val="0"/>
        <w:adjustRightInd w:val="0"/>
        <w:spacing w:line="360" w:lineRule="auto"/>
        <w:rPr>
          <w:rFonts w:ascii="宋体" w:hAnsi="宋体" w:cs="Calibri"/>
          <w:color w:val="auto"/>
          <w:kern w:val="0"/>
          <w:sz w:val="24"/>
          <w:highlight w:val="none"/>
        </w:rPr>
      </w:pPr>
      <w:r>
        <w:rPr>
          <w:rFonts w:hint="eastAsia" w:ascii="宋体" w:hAnsi="宋体" w:cs="Calibri"/>
          <w:color w:val="auto"/>
          <w:kern w:val="0"/>
          <w:sz w:val="24"/>
          <w:highlight w:val="none"/>
        </w:rPr>
        <w:t xml:space="preserve">    供应商或者其他利害关系人提出异议的，一般应向采购代理机构提出，也可直接向采购人提出。</w:t>
      </w:r>
    </w:p>
    <w:p>
      <w:pPr>
        <w:autoSpaceDE w:val="0"/>
        <w:autoSpaceDN w:val="0"/>
        <w:adjustRightInd w:val="0"/>
        <w:spacing w:line="360" w:lineRule="auto"/>
        <w:rPr>
          <w:rFonts w:ascii="宋体" w:hAnsi="宋体" w:cs="Calibri"/>
          <w:color w:val="auto"/>
          <w:kern w:val="0"/>
          <w:sz w:val="24"/>
          <w:highlight w:val="none"/>
        </w:rPr>
      </w:pPr>
      <w:r>
        <w:rPr>
          <w:rFonts w:hint="eastAsia" w:ascii="宋体" w:hAnsi="宋体" w:cs="Calibri"/>
          <w:color w:val="auto"/>
          <w:kern w:val="0"/>
          <w:sz w:val="24"/>
          <w:highlight w:val="none"/>
        </w:rPr>
        <w:t>5.2 采购代理机构应当协助采购人依法、妥善处理异议。</w:t>
      </w:r>
    </w:p>
    <w:p>
      <w:pPr>
        <w:autoSpaceDE w:val="0"/>
        <w:autoSpaceDN w:val="0"/>
        <w:adjustRightInd w:val="0"/>
        <w:spacing w:line="360" w:lineRule="auto"/>
        <w:ind w:firstLine="480" w:firstLineChars="200"/>
        <w:rPr>
          <w:rFonts w:ascii="宋体" w:hAnsi="宋体" w:cs="Calibri"/>
          <w:color w:val="auto"/>
          <w:kern w:val="0"/>
          <w:sz w:val="24"/>
          <w:highlight w:val="none"/>
        </w:rPr>
      </w:pPr>
      <w:r>
        <w:rPr>
          <w:rFonts w:hint="eastAsia" w:ascii="宋体" w:hAnsi="宋体" w:cs="Calibri"/>
          <w:color w:val="auto"/>
          <w:kern w:val="0"/>
          <w:sz w:val="24"/>
          <w:highlight w:val="none"/>
        </w:rPr>
        <w:t>采购代理机构收到异议后，应当首先将异议内容同步反馈给采购人，在提出分析意见和处理建议，报采购人审核确认后，向异议提出人作出答复。答复前，可暂停下一程序的采购活动。</w:t>
      </w:r>
    </w:p>
    <w:p>
      <w:pPr>
        <w:autoSpaceDE w:val="0"/>
        <w:autoSpaceDN w:val="0"/>
        <w:adjustRightInd w:val="0"/>
        <w:spacing w:line="360" w:lineRule="auto"/>
        <w:ind w:firstLine="480" w:firstLineChars="200"/>
        <w:rPr>
          <w:rFonts w:ascii="宋体" w:hAnsi="宋体" w:cs="Calibri"/>
          <w:color w:val="auto"/>
          <w:kern w:val="0"/>
          <w:sz w:val="24"/>
          <w:highlight w:val="none"/>
        </w:rPr>
      </w:pPr>
      <w:r>
        <w:rPr>
          <w:rFonts w:hint="eastAsia" w:ascii="宋体" w:hAnsi="宋体" w:cs="Calibri"/>
          <w:color w:val="auto"/>
          <w:kern w:val="0"/>
          <w:sz w:val="24"/>
          <w:highlight w:val="none"/>
        </w:rPr>
        <w:t>采购代理机构未经采购人同意不得擅自进行异议的答复。</w:t>
      </w:r>
    </w:p>
    <w:p>
      <w:pPr>
        <w:autoSpaceDE w:val="0"/>
        <w:autoSpaceDN w:val="0"/>
        <w:adjustRightInd w:val="0"/>
        <w:spacing w:line="360" w:lineRule="auto"/>
        <w:rPr>
          <w:rFonts w:ascii="宋体" w:hAnsi="宋体" w:cs="Calibri"/>
          <w:color w:val="auto"/>
          <w:kern w:val="0"/>
          <w:sz w:val="24"/>
          <w:highlight w:val="none"/>
        </w:rPr>
      </w:pPr>
      <w:r>
        <w:rPr>
          <w:rFonts w:hint="eastAsia" w:ascii="宋体" w:hAnsi="宋体" w:cs="Calibri"/>
          <w:color w:val="auto"/>
          <w:kern w:val="0"/>
          <w:sz w:val="24"/>
          <w:highlight w:val="none"/>
        </w:rPr>
        <w:t>5.3 在异议处理过程中，如采购代理机构发现异议提出人对相关问题理解有误的，应当详细做出解释；如经核查的发现采购合同确实存在违法或违法本规范第5.1项所述相关原则的，应及时予以改正或补救。</w:t>
      </w:r>
    </w:p>
    <w:p>
      <w:pPr>
        <w:autoSpaceDE w:val="0"/>
        <w:autoSpaceDN w:val="0"/>
        <w:adjustRightInd w:val="0"/>
        <w:spacing w:line="360" w:lineRule="auto"/>
        <w:rPr>
          <w:rFonts w:ascii="宋体" w:hAnsi="宋体" w:cs="Calibri"/>
          <w:color w:val="auto"/>
          <w:kern w:val="0"/>
          <w:sz w:val="24"/>
          <w:highlight w:val="none"/>
        </w:rPr>
      </w:pPr>
      <w:r>
        <w:rPr>
          <w:rFonts w:hint="eastAsia" w:ascii="宋体" w:hAnsi="宋体" w:cs="Calibri"/>
          <w:color w:val="auto"/>
          <w:kern w:val="0"/>
          <w:sz w:val="24"/>
          <w:highlight w:val="none"/>
        </w:rPr>
        <w:t>5.4 采购人和异议提出人无法就异议事项达成一致意见的，双方可将争议提交相应行业组织设立的采购争议调解委员会进行调解，或通过仲裁、诉讼等方式解决。</w:t>
      </w:r>
      <w:bookmarkStart w:id="62" w:name="_Toc13582302"/>
      <w:bookmarkStart w:id="63" w:name="_Toc10730542"/>
      <w:bookmarkStart w:id="64" w:name="_Toc17077"/>
    </w:p>
    <w:p>
      <w:pPr>
        <w:autoSpaceDE w:val="0"/>
        <w:autoSpaceDN w:val="0"/>
        <w:adjustRightInd w:val="0"/>
        <w:spacing w:line="360" w:lineRule="auto"/>
        <w:rPr>
          <w:rFonts w:ascii="Cambria" w:hAnsi="Cambria"/>
          <w:b/>
          <w:bCs/>
          <w:color w:val="auto"/>
          <w:sz w:val="28"/>
          <w:szCs w:val="32"/>
          <w:highlight w:val="none"/>
          <w:lang w:val="zh-CN"/>
        </w:rPr>
      </w:pPr>
      <w:r>
        <w:rPr>
          <w:rFonts w:ascii="Cambria" w:hAnsi="Cambria"/>
          <w:b/>
          <w:bCs/>
          <w:color w:val="auto"/>
          <w:sz w:val="28"/>
          <w:szCs w:val="32"/>
          <w:highlight w:val="none"/>
          <w:lang w:val="zh-CN"/>
        </w:rPr>
        <w:t>6.</w:t>
      </w:r>
      <w:r>
        <w:rPr>
          <w:rFonts w:hint="eastAsia" w:ascii="Cambria" w:hAnsi="Cambria"/>
          <w:b/>
          <w:bCs/>
          <w:color w:val="auto"/>
          <w:sz w:val="28"/>
          <w:szCs w:val="32"/>
          <w:highlight w:val="none"/>
          <w:lang w:val="zh-CN"/>
        </w:rPr>
        <w:t>采购文件的澄清和修改</w:t>
      </w:r>
      <w:bookmarkEnd w:id="62"/>
      <w:bookmarkEnd w:id="63"/>
      <w:bookmarkEnd w:id="64"/>
    </w:p>
    <w:p>
      <w:pPr>
        <w:autoSpaceDE w:val="0"/>
        <w:autoSpaceDN w:val="0"/>
        <w:adjustRightInd w:val="0"/>
        <w:spacing w:line="360" w:lineRule="auto"/>
        <w:rPr>
          <w:rFonts w:ascii="宋体" w:hAnsi="宋体" w:cs="Calibri"/>
          <w:color w:val="auto"/>
          <w:kern w:val="0"/>
          <w:sz w:val="24"/>
          <w:highlight w:val="none"/>
        </w:rPr>
      </w:pPr>
      <w:r>
        <w:rPr>
          <w:rFonts w:ascii="宋体" w:hAnsi="宋体" w:cs="Calibri"/>
          <w:color w:val="auto"/>
          <w:kern w:val="0"/>
          <w:sz w:val="24"/>
          <w:highlight w:val="none"/>
        </w:rPr>
        <w:t xml:space="preserve">6.1 </w:t>
      </w:r>
      <w:r>
        <w:rPr>
          <w:rFonts w:hint="eastAsia" w:ascii="宋体" w:hAnsi="宋体" w:cs="Calibri"/>
          <w:color w:val="auto"/>
          <w:kern w:val="0"/>
          <w:sz w:val="24"/>
          <w:highlight w:val="none"/>
        </w:rPr>
        <w:t>供应商提交相应文件截止之日前，采购代理机构可对已发出的采购文件进行必要的澄清和修改，澄清或修改的内容作为采购文件的组成部分。采购代理机构应当及时将澄清和修改的内容，以发出通知书或者按采购文件约定发布公告的方式，通知所有收到采购文件的供应商。采购代理机构应保证供应商有足够时间修改和补充其响应文件并参加采购活动；否则，应顺延提交响应文件的截止时间。</w:t>
      </w:r>
    </w:p>
    <w:p>
      <w:pPr>
        <w:pStyle w:val="35"/>
        <w:rPr>
          <w:rFonts w:cs="Cambria"/>
          <w:color w:val="auto"/>
          <w:highlight w:val="none"/>
        </w:rPr>
      </w:pPr>
      <w:bookmarkStart w:id="65" w:name="_Toc10730543"/>
      <w:bookmarkStart w:id="66" w:name="_Toc13582303"/>
      <w:bookmarkStart w:id="67" w:name="_Toc1798"/>
      <w:bookmarkStart w:id="68" w:name="_Toc7717"/>
      <w:bookmarkStart w:id="69" w:name="_Toc30921"/>
      <w:bookmarkStart w:id="70" w:name="_Toc24322"/>
      <w:bookmarkStart w:id="71" w:name="_Toc640"/>
      <w:r>
        <w:rPr>
          <w:rFonts w:hint="eastAsia"/>
          <w:color w:val="auto"/>
          <w:highlight w:val="none"/>
          <w:lang w:val="zh-CN"/>
        </w:rPr>
        <w:t>三、响应文件的编制</w:t>
      </w:r>
      <w:bookmarkEnd w:id="65"/>
      <w:bookmarkEnd w:id="66"/>
      <w:bookmarkEnd w:id="67"/>
      <w:bookmarkEnd w:id="68"/>
      <w:bookmarkEnd w:id="69"/>
      <w:bookmarkEnd w:id="70"/>
      <w:bookmarkEnd w:id="71"/>
    </w:p>
    <w:p>
      <w:pPr>
        <w:pStyle w:val="35"/>
        <w:jc w:val="left"/>
        <w:rPr>
          <w:rFonts w:ascii="宋体" w:hAnsi="宋体"/>
          <w:color w:val="auto"/>
          <w:sz w:val="28"/>
          <w:highlight w:val="none"/>
          <w:lang w:val="zh-CN"/>
        </w:rPr>
      </w:pPr>
      <w:bookmarkStart w:id="72" w:name="_Toc13582304"/>
      <w:bookmarkStart w:id="73" w:name="_Toc10730544"/>
      <w:bookmarkStart w:id="74" w:name="_Toc18035"/>
      <w:bookmarkStart w:id="75" w:name="_Toc4041"/>
      <w:bookmarkStart w:id="76" w:name="_Toc2808"/>
      <w:bookmarkStart w:id="77" w:name="_Toc3633"/>
      <w:bookmarkStart w:id="78" w:name="_Toc25856"/>
      <w:r>
        <w:rPr>
          <w:rFonts w:ascii="宋体" w:hAnsi="宋体"/>
          <w:color w:val="auto"/>
          <w:sz w:val="28"/>
          <w:highlight w:val="none"/>
          <w:lang w:val="zh-CN"/>
        </w:rPr>
        <w:t>7.</w:t>
      </w:r>
      <w:r>
        <w:rPr>
          <w:rFonts w:hint="eastAsia" w:ascii="宋体" w:hAnsi="宋体"/>
          <w:color w:val="auto"/>
          <w:sz w:val="28"/>
          <w:highlight w:val="none"/>
          <w:lang w:val="zh-CN"/>
        </w:rPr>
        <w:t>响应文件的语言及度量衡单位</w:t>
      </w:r>
      <w:bookmarkEnd w:id="72"/>
      <w:bookmarkEnd w:id="73"/>
      <w:bookmarkEnd w:id="74"/>
      <w:bookmarkEnd w:id="75"/>
      <w:bookmarkEnd w:id="76"/>
      <w:bookmarkEnd w:id="77"/>
      <w:bookmarkEnd w:id="78"/>
    </w:p>
    <w:p>
      <w:pPr>
        <w:autoSpaceDE w:val="0"/>
        <w:autoSpaceDN w:val="0"/>
        <w:adjustRightInd w:val="0"/>
        <w:spacing w:line="360" w:lineRule="auto"/>
        <w:rPr>
          <w:rFonts w:ascii="宋体" w:hAnsi="宋体" w:cs="Calibri"/>
          <w:color w:val="auto"/>
          <w:kern w:val="0"/>
          <w:sz w:val="24"/>
          <w:highlight w:val="none"/>
        </w:rPr>
      </w:pPr>
      <w:r>
        <w:rPr>
          <w:rFonts w:ascii="宋体" w:hAnsi="宋体" w:cs="Calibri"/>
          <w:color w:val="auto"/>
          <w:kern w:val="0"/>
          <w:sz w:val="24"/>
          <w:highlight w:val="none"/>
        </w:rPr>
        <w:t>7.1</w:t>
      </w:r>
      <w:r>
        <w:rPr>
          <w:rFonts w:hint="eastAsia" w:ascii="宋体" w:hAnsi="宋体" w:cs="Calibri"/>
          <w:color w:val="auto"/>
          <w:kern w:val="0"/>
          <w:sz w:val="24"/>
          <w:highlight w:val="none"/>
        </w:rPr>
        <w:t>供应商提交的响应文件以及供应商与采购代理机构就此</w:t>
      </w:r>
      <w:r>
        <w:rPr>
          <w:rFonts w:hint="eastAsia" w:ascii="宋体" w:hAnsi="宋体" w:cs="宋体"/>
          <w:color w:val="auto"/>
          <w:kern w:val="0"/>
          <w:sz w:val="24"/>
          <w:highlight w:val="none"/>
          <w:lang w:val="zh-CN"/>
        </w:rPr>
        <w:t>递交响应文件</w:t>
      </w:r>
      <w:r>
        <w:rPr>
          <w:rFonts w:hint="eastAsia" w:ascii="宋体" w:hAnsi="宋体" w:cs="Calibri"/>
          <w:color w:val="auto"/>
          <w:kern w:val="0"/>
          <w:sz w:val="24"/>
          <w:highlight w:val="none"/>
        </w:rPr>
        <w:t>发生的所有来往函电均应使用简体中文。</w:t>
      </w:r>
    </w:p>
    <w:p>
      <w:pPr>
        <w:autoSpaceDE w:val="0"/>
        <w:autoSpaceDN w:val="0"/>
        <w:adjustRightInd w:val="0"/>
        <w:spacing w:line="360" w:lineRule="auto"/>
        <w:rPr>
          <w:rFonts w:ascii="宋体" w:hAnsi="宋体" w:cs="Calibri"/>
          <w:color w:val="auto"/>
          <w:kern w:val="0"/>
          <w:sz w:val="24"/>
          <w:highlight w:val="none"/>
        </w:rPr>
      </w:pPr>
      <w:r>
        <w:rPr>
          <w:rFonts w:ascii="宋体" w:hAnsi="宋体" w:cs="Calibri"/>
          <w:color w:val="auto"/>
          <w:kern w:val="0"/>
          <w:sz w:val="24"/>
          <w:highlight w:val="none"/>
        </w:rPr>
        <w:t xml:space="preserve">7.2 </w:t>
      </w:r>
      <w:r>
        <w:rPr>
          <w:rFonts w:hint="eastAsia" w:ascii="宋体" w:hAnsi="宋体" w:cs="Calibri"/>
          <w:color w:val="auto"/>
          <w:kern w:val="0"/>
          <w:sz w:val="24"/>
          <w:highlight w:val="none"/>
        </w:rPr>
        <w:t>除采购文件中另有规定外，响应文件所使用的度量衡单位，均须采用国家法定计量单位。</w:t>
      </w:r>
    </w:p>
    <w:p>
      <w:pPr>
        <w:autoSpaceDE w:val="0"/>
        <w:autoSpaceDN w:val="0"/>
        <w:adjustRightInd w:val="0"/>
        <w:spacing w:line="360" w:lineRule="auto"/>
        <w:rPr>
          <w:rFonts w:ascii="宋体" w:hAnsi="宋体" w:cs="Calibri"/>
          <w:color w:val="auto"/>
          <w:kern w:val="0"/>
          <w:sz w:val="24"/>
          <w:highlight w:val="none"/>
        </w:rPr>
      </w:pPr>
      <w:r>
        <w:rPr>
          <w:rFonts w:ascii="宋体" w:hAnsi="宋体" w:cs="Calibri"/>
          <w:color w:val="auto"/>
          <w:kern w:val="0"/>
          <w:sz w:val="24"/>
          <w:highlight w:val="none"/>
        </w:rPr>
        <w:t>7.3</w:t>
      </w:r>
      <w:r>
        <w:rPr>
          <w:rFonts w:hint="eastAsia" w:ascii="宋体" w:hAnsi="宋体" w:cs="Calibri"/>
          <w:color w:val="auto"/>
          <w:kern w:val="0"/>
          <w:sz w:val="24"/>
          <w:highlight w:val="none"/>
        </w:rPr>
        <w:t xml:space="preserve"> 附有外文资料的须翻译成中文，并加盖供应商公章，如果翻译的中文资料与外文资料出现差异与矛盾时，以中文为准，其准确性由供应商负责。</w:t>
      </w:r>
      <w:bookmarkStart w:id="79" w:name="_Toc10730545"/>
      <w:bookmarkStart w:id="80" w:name="_Toc13582305"/>
      <w:bookmarkStart w:id="81" w:name="_Toc25987"/>
    </w:p>
    <w:p>
      <w:pPr>
        <w:autoSpaceDE w:val="0"/>
        <w:autoSpaceDN w:val="0"/>
        <w:adjustRightInd w:val="0"/>
        <w:spacing w:line="360" w:lineRule="auto"/>
        <w:rPr>
          <w:rFonts w:ascii="Cambria" w:hAnsi="Cambria"/>
          <w:b/>
          <w:bCs/>
          <w:color w:val="auto"/>
          <w:sz w:val="28"/>
          <w:szCs w:val="32"/>
          <w:highlight w:val="none"/>
          <w:lang w:val="zh-CN"/>
        </w:rPr>
      </w:pPr>
      <w:r>
        <w:rPr>
          <w:rFonts w:ascii="Cambria" w:hAnsi="Cambria"/>
          <w:b/>
          <w:bCs/>
          <w:color w:val="auto"/>
          <w:sz w:val="28"/>
          <w:szCs w:val="32"/>
          <w:highlight w:val="none"/>
          <w:lang w:val="zh-CN"/>
        </w:rPr>
        <w:t>8.</w:t>
      </w:r>
      <w:r>
        <w:rPr>
          <w:rFonts w:hint="eastAsia" w:ascii="Cambria" w:hAnsi="Cambria"/>
          <w:b/>
          <w:bCs/>
          <w:color w:val="auto"/>
          <w:sz w:val="28"/>
          <w:szCs w:val="32"/>
          <w:highlight w:val="none"/>
          <w:lang w:val="zh-CN"/>
        </w:rPr>
        <w:t>响应报价及币种</w:t>
      </w:r>
      <w:bookmarkEnd w:id="79"/>
      <w:bookmarkEnd w:id="80"/>
      <w:bookmarkEnd w:id="81"/>
    </w:p>
    <w:p>
      <w:pPr>
        <w:autoSpaceDE w:val="0"/>
        <w:autoSpaceDN w:val="0"/>
        <w:adjustRightInd w:val="0"/>
        <w:spacing w:line="360" w:lineRule="auto"/>
        <w:rPr>
          <w:rFonts w:ascii="宋体" w:hAnsi="宋体" w:cs="Calibri"/>
          <w:color w:val="auto"/>
          <w:kern w:val="0"/>
          <w:sz w:val="24"/>
          <w:highlight w:val="none"/>
        </w:rPr>
      </w:pPr>
      <w:r>
        <w:rPr>
          <w:rFonts w:ascii="宋体" w:hAnsi="宋体" w:cs="Calibri"/>
          <w:color w:val="auto"/>
          <w:kern w:val="0"/>
          <w:sz w:val="24"/>
          <w:highlight w:val="none"/>
        </w:rPr>
        <w:t>8.1</w:t>
      </w:r>
      <w:r>
        <w:rPr>
          <w:rFonts w:hint="eastAsia" w:ascii="宋体" w:hAnsi="宋体" w:cs="Calibri"/>
          <w:color w:val="auto"/>
          <w:kern w:val="0"/>
          <w:sz w:val="24"/>
          <w:highlight w:val="none"/>
        </w:rPr>
        <w:t>响应报价为询比总价。响应报价必须包括：产品费、验收费、手续费、包装费、运输费、保险费、安装费、调试费、售前、售中、售后服务费、采购代理服务费、税金、入关手续费及不可预见费等全部费用。</w:t>
      </w:r>
    </w:p>
    <w:p>
      <w:pPr>
        <w:autoSpaceDE w:val="0"/>
        <w:autoSpaceDN w:val="0"/>
        <w:adjustRightInd w:val="0"/>
        <w:spacing w:line="360" w:lineRule="auto"/>
        <w:rPr>
          <w:rFonts w:ascii="宋体" w:hAnsi="宋体" w:cs="Calibri"/>
          <w:color w:val="auto"/>
          <w:kern w:val="0"/>
          <w:sz w:val="24"/>
          <w:highlight w:val="none"/>
        </w:rPr>
      </w:pPr>
      <w:r>
        <w:rPr>
          <w:rFonts w:ascii="宋体" w:hAnsi="宋体" w:cs="Calibri"/>
          <w:color w:val="auto"/>
          <w:kern w:val="0"/>
          <w:sz w:val="24"/>
          <w:highlight w:val="none"/>
        </w:rPr>
        <w:t>8.2</w:t>
      </w:r>
      <w:r>
        <w:rPr>
          <w:rFonts w:hint="eastAsia" w:ascii="宋体" w:hAnsi="宋体" w:cs="Calibri"/>
          <w:color w:val="auto"/>
          <w:kern w:val="0"/>
          <w:sz w:val="24"/>
          <w:highlight w:val="none"/>
        </w:rPr>
        <w:t>响应报价应注明有效期，有效期应与响应文件有效期一致。</w:t>
      </w:r>
    </w:p>
    <w:p>
      <w:pPr>
        <w:autoSpaceDE w:val="0"/>
        <w:autoSpaceDN w:val="0"/>
        <w:adjustRightInd w:val="0"/>
        <w:spacing w:line="360" w:lineRule="auto"/>
        <w:rPr>
          <w:rFonts w:ascii="宋体" w:hAnsi="宋体" w:cs="Calibri"/>
          <w:color w:val="auto"/>
          <w:kern w:val="0"/>
          <w:sz w:val="24"/>
          <w:highlight w:val="none"/>
        </w:rPr>
      </w:pPr>
      <w:r>
        <w:rPr>
          <w:rFonts w:ascii="宋体" w:hAnsi="宋体" w:cs="Calibri"/>
          <w:color w:val="auto"/>
          <w:kern w:val="0"/>
          <w:sz w:val="24"/>
          <w:highlight w:val="none"/>
        </w:rPr>
        <w:t>8.</w:t>
      </w:r>
      <w:r>
        <w:rPr>
          <w:rFonts w:hint="eastAsia" w:ascii="宋体" w:hAnsi="宋体" w:cs="Calibri"/>
          <w:color w:val="auto"/>
          <w:kern w:val="0"/>
          <w:sz w:val="24"/>
          <w:highlight w:val="none"/>
        </w:rPr>
        <w:t>3供应商应根据询比文件规定的格式完整填写所有内容，并保证所提供的全部资料真实可信，自愿承担相应责任。</w:t>
      </w:r>
    </w:p>
    <w:p>
      <w:pPr>
        <w:autoSpaceDE w:val="0"/>
        <w:autoSpaceDN w:val="0"/>
        <w:adjustRightInd w:val="0"/>
        <w:spacing w:line="360" w:lineRule="auto"/>
        <w:rPr>
          <w:rFonts w:ascii="宋体" w:hAnsi="宋体" w:cs="Calibri"/>
          <w:color w:val="auto"/>
          <w:kern w:val="0"/>
          <w:sz w:val="24"/>
          <w:highlight w:val="none"/>
        </w:rPr>
      </w:pPr>
      <w:r>
        <w:rPr>
          <w:rFonts w:ascii="宋体" w:hAnsi="宋体" w:cs="Calibri"/>
          <w:color w:val="auto"/>
          <w:kern w:val="0"/>
          <w:sz w:val="24"/>
          <w:highlight w:val="none"/>
        </w:rPr>
        <w:t>8.</w:t>
      </w:r>
      <w:r>
        <w:rPr>
          <w:rFonts w:hint="eastAsia" w:ascii="宋体" w:hAnsi="宋体" w:cs="Calibri"/>
          <w:color w:val="auto"/>
          <w:kern w:val="0"/>
          <w:sz w:val="24"/>
          <w:highlight w:val="none"/>
        </w:rPr>
        <w:t>4响应报价为闭口价，即成交后在合同有效期内价格不变。</w:t>
      </w:r>
    </w:p>
    <w:p>
      <w:pPr>
        <w:autoSpaceDE w:val="0"/>
        <w:autoSpaceDN w:val="0"/>
        <w:adjustRightInd w:val="0"/>
        <w:spacing w:line="360" w:lineRule="auto"/>
        <w:rPr>
          <w:rFonts w:ascii="宋体" w:hAnsi="宋体" w:cs="Calibri"/>
          <w:color w:val="auto"/>
          <w:kern w:val="0"/>
          <w:sz w:val="24"/>
          <w:highlight w:val="none"/>
        </w:rPr>
      </w:pPr>
      <w:r>
        <w:rPr>
          <w:rFonts w:ascii="宋体" w:hAnsi="宋体" w:cs="Calibri"/>
          <w:color w:val="auto"/>
          <w:kern w:val="0"/>
          <w:sz w:val="24"/>
          <w:highlight w:val="none"/>
        </w:rPr>
        <w:t>8.</w:t>
      </w:r>
      <w:r>
        <w:rPr>
          <w:rFonts w:hint="eastAsia" w:ascii="宋体" w:hAnsi="宋体" w:cs="Calibri"/>
          <w:color w:val="auto"/>
          <w:kern w:val="0"/>
          <w:sz w:val="24"/>
          <w:highlight w:val="none"/>
        </w:rPr>
        <w:t>5响应报价币种是人民币。</w:t>
      </w:r>
      <w:bookmarkStart w:id="82" w:name="_Toc504029650"/>
      <w:bookmarkStart w:id="83" w:name="_Toc10730546"/>
      <w:bookmarkStart w:id="84" w:name="_Toc13582306"/>
      <w:bookmarkStart w:id="85" w:name="_Toc10494"/>
    </w:p>
    <w:p>
      <w:pPr>
        <w:autoSpaceDE w:val="0"/>
        <w:autoSpaceDN w:val="0"/>
        <w:adjustRightInd w:val="0"/>
        <w:spacing w:line="360" w:lineRule="auto"/>
        <w:rPr>
          <w:rFonts w:ascii="Cambria" w:hAnsi="Cambria"/>
          <w:b/>
          <w:bCs/>
          <w:color w:val="auto"/>
          <w:sz w:val="28"/>
          <w:szCs w:val="32"/>
          <w:highlight w:val="none"/>
          <w:lang w:val="zh-CN"/>
        </w:rPr>
      </w:pPr>
      <w:r>
        <w:rPr>
          <w:rFonts w:hint="eastAsia" w:ascii="Cambria" w:hAnsi="Cambria"/>
          <w:b/>
          <w:bCs/>
          <w:color w:val="auto"/>
          <w:sz w:val="28"/>
          <w:szCs w:val="32"/>
          <w:highlight w:val="none"/>
          <w:lang w:val="zh-CN"/>
        </w:rPr>
        <w:t>9.响应保证金</w:t>
      </w:r>
      <w:bookmarkEnd w:id="82"/>
      <w:bookmarkEnd w:id="83"/>
      <w:bookmarkEnd w:id="84"/>
      <w:bookmarkEnd w:id="85"/>
    </w:p>
    <w:p>
      <w:pPr>
        <w:autoSpaceDE w:val="0"/>
        <w:autoSpaceDN w:val="0"/>
        <w:adjustRightInd w:val="0"/>
        <w:spacing w:line="360" w:lineRule="auto"/>
        <w:rPr>
          <w:rFonts w:ascii="宋体" w:hAnsi="宋体" w:cs="Calibri"/>
          <w:color w:val="auto"/>
          <w:kern w:val="0"/>
          <w:sz w:val="24"/>
          <w:highlight w:val="none"/>
        </w:rPr>
      </w:pPr>
      <w:r>
        <w:rPr>
          <w:rFonts w:hint="eastAsia" w:ascii="宋体" w:hAnsi="宋体" w:cs="Calibri"/>
          <w:color w:val="auto"/>
          <w:kern w:val="0"/>
          <w:sz w:val="24"/>
          <w:highlight w:val="none"/>
        </w:rPr>
        <w:t>9.1供应商须在递交响应文件截止期前按以下要求交纳响应保证金：</w:t>
      </w:r>
    </w:p>
    <w:p>
      <w:pPr>
        <w:autoSpaceDE w:val="0"/>
        <w:autoSpaceDN w:val="0"/>
        <w:adjustRightInd w:val="0"/>
        <w:spacing w:line="360" w:lineRule="auto"/>
        <w:rPr>
          <w:rFonts w:ascii="宋体" w:hAnsi="宋体" w:cs="Calibri"/>
          <w:b/>
          <w:bCs/>
          <w:color w:val="auto"/>
          <w:kern w:val="0"/>
          <w:sz w:val="24"/>
          <w:highlight w:val="none"/>
        </w:rPr>
      </w:pPr>
      <w:r>
        <w:rPr>
          <w:rFonts w:hint="eastAsia" w:ascii="宋体" w:hAnsi="宋体" w:cs="Calibri"/>
          <w:color w:val="auto"/>
          <w:kern w:val="0"/>
          <w:sz w:val="24"/>
          <w:highlight w:val="none"/>
        </w:rPr>
        <w:t xml:space="preserve">   </w:t>
      </w:r>
      <w:r>
        <w:rPr>
          <w:rFonts w:hint="eastAsia" w:ascii="宋体" w:hAnsi="宋体" w:cs="Calibri"/>
          <w:color w:val="auto"/>
          <w:kern w:val="0"/>
          <w:sz w:val="24"/>
          <w:highlight w:val="none"/>
          <w:lang w:val="en-US" w:eastAsia="zh-CN"/>
        </w:rPr>
        <w:t xml:space="preserve">  </w:t>
      </w:r>
      <w:r>
        <w:rPr>
          <w:rFonts w:hint="eastAsia" w:ascii="宋体" w:hAnsi="宋体" w:cs="Calibri"/>
          <w:b/>
          <w:bCs/>
          <w:color w:val="auto"/>
          <w:kern w:val="0"/>
          <w:sz w:val="24"/>
          <w:highlight w:val="none"/>
        </w:rPr>
        <w:t>响应保证金：</w:t>
      </w:r>
      <w:r>
        <w:rPr>
          <w:rFonts w:hint="eastAsia" w:ascii="宋体" w:hAnsi="宋体" w:cs="Calibri"/>
          <w:b/>
          <w:bCs/>
          <w:color w:val="auto"/>
          <w:kern w:val="0"/>
          <w:sz w:val="24"/>
          <w:highlight w:val="none"/>
          <w:lang w:val="en-US" w:eastAsia="zh-CN"/>
        </w:rPr>
        <w:t>20000</w:t>
      </w:r>
      <w:r>
        <w:rPr>
          <w:rFonts w:hint="eastAsia" w:ascii="宋体" w:hAnsi="宋体" w:cs="Calibri"/>
          <w:b/>
          <w:bCs/>
          <w:color w:val="auto"/>
          <w:kern w:val="0"/>
          <w:sz w:val="24"/>
          <w:highlight w:val="none"/>
        </w:rPr>
        <w:t>元整（大写：</w:t>
      </w:r>
      <w:r>
        <w:rPr>
          <w:rFonts w:hint="eastAsia" w:ascii="宋体" w:hAnsi="宋体" w:cs="Calibri"/>
          <w:b/>
          <w:bCs/>
          <w:color w:val="auto"/>
          <w:kern w:val="0"/>
          <w:sz w:val="24"/>
          <w:highlight w:val="none"/>
          <w:lang w:eastAsia="zh-CN"/>
        </w:rPr>
        <w:t>贰万元整</w:t>
      </w:r>
      <w:r>
        <w:rPr>
          <w:rFonts w:hint="eastAsia" w:ascii="宋体" w:hAnsi="宋体" w:cs="Calibri"/>
          <w:b/>
          <w:bCs/>
          <w:color w:val="auto"/>
          <w:kern w:val="0"/>
          <w:sz w:val="24"/>
          <w:highlight w:val="none"/>
        </w:rPr>
        <w:t>）</w:t>
      </w:r>
    </w:p>
    <w:p>
      <w:pPr>
        <w:autoSpaceDE w:val="0"/>
        <w:autoSpaceDN w:val="0"/>
        <w:adjustRightInd w:val="0"/>
        <w:spacing w:line="360" w:lineRule="auto"/>
        <w:ind w:left="479" w:leftChars="228" w:firstLine="120" w:firstLineChars="50"/>
        <w:jc w:val="left"/>
        <w:rPr>
          <w:rFonts w:hint="eastAsia" w:ascii="宋体" w:hAnsi="Cambria" w:cs="宋体"/>
          <w:b/>
          <w:color w:val="auto"/>
          <w:kern w:val="0"/>
          <w:sz w:val="24"/>
          <w:highlight w:val="none"/>
          <w:lang w:val="zh-CN"/>
        </w:rPr>
      </w:pPr>
      <w:r>
        <w:rPr>
          <w:rFonts w:hint="eastAsia" w:ascii="宋体" w:hAnsi="Cambria" w:cs="宋体"/>
          <w:b/>
          <w:color w:val="auto"/>
          <w:kern w:val="0"/>
          <w:sz w:val="24"/>
          <w:highlight w:val="none"/>
          <w:lang w:val="zh-CN"/>
        </w:rPr>
        <w:t>收款单位：青海锦翔工程项目管理有限公司</w:t>
      </w:r>
    </w:p>
    <w:p>
      <w:pPr>
        <w:autoSpaceDE w:val="0"/>
        <w:autoSpaceDN w:val="0"/>
        <w:adjustRightInd w:val="0"/>
        <w:spacing w:line="360" w:lineRule="auto"/>
        <w:ind w:left="479" w:leftChars="228" w:firstLine="120" w:firstLineChars="50"/>
        <w:jc w:val="left"/>
        <w:rPr>
          <w:rFonts w:hint="eastAsia" w:ascii="宋体" w:hAnsi="Cambria" w:cs="宋体"/>
          <w:b/>
          <w:color w:val="auto"/>
          <w:kern w:val="0"/>
          <w:sz w:val="24"/>
          <w:highlight w:val="none"/>
          <w:lang w:val="zh-CN"/>
        </w:rPr>
      </w:pPr>
      <w:r>
        <w:rPr>
          <w:rFonts w:hint="eastAsia" w:ascii="宋体" w:hAnsi="Cambria" w:cs="宋体"/>
          <w:b/>
          <w:color w:val="auto"/>
          <w:kern w:val="0"/>
          <w:sz w:val="24"/>
          <w:highlight w:val="none"/>
          <w:lang w:val="zh-CN"/>
        </w:rPr>
        <w:t>开 户 行：</w:t>
      </w:r>
      <w:r>
        <w:rPr>
          <w:rFonts w:hint="eastAsia" w:ascii="宋体" w:hAnsi="Cambria" w:cs="宋体"/>
          <w:b/>
          <w:color w:val="auto"/>
          <w:kern w:val="0"/>
          <w:sz w:val="24"/>
          <w:highlight w:val="none"/>
        </w:rPr>
        <w:t>建行西宁万达广场支行</w:t>
      </w:r>
    </w:p>
    <w:p>
      <w:pPr>
        <w:autoSpaceDE w:val="0"/>
        <w:autoSpaceDN w:val="0"/>
        <w:adjustRightInd w:val="0"/>
        <w:spacing w:line="360" w:lineRule="auto"/>
        <w:ind w:left="479" w:leftChars="228" w:firstLine="120" w:firstLineChars="50"/>
        <w:jc w:val="left"/>
        <w:rPr>
          <w:rFonts w:hint="eastAsia" w:ascii="宋体" w:hAnsi="Cambria" w:cs="宋体"/>
          <w:b/>
          <w:color w:val="auto"/>
          <w:kern w:val="0"/>
          <w:sz w:val="24"/>
          <w:highlight w:val="none"/>
          <w:lang w:val="zh-CN"/>
        </w:rPr>
      </w:pPr>
      <w:r>
        <w:rPr>
          <w:rFonts w:hint="eastAsia" w:ascii="宋体" w:hAnsi="Cambria" w:cs="宋体"/>
          <w:b/>
          <w:color w:val="auto"/>
          <w:kern w:val="0"/>
          <w:sz w:val="24"/>
          <w:highlight w:val="none"/>
          <w:lang w:val="zh-CN"/>
        </w:rPr>
        <w:t>银行账号： 63050110251300000419</w:t>
      </w:r>
    </w:p>
    <w:p>
      <w:pPr>
        <w:autoSpaceDE w:val="0"/>
        <w:autoSpaceDN w:val="0"/>
        <w:adjustRightInd w:val="0"/>
        <w:spacing w:line="360" w:lineRule="auto"/>
        <w:rPr>
          <w:rFonts w:ascii="宋体" w:hAnsi="宋体" w:cs="Calibri"/>
          <w:color w:val="auto"/>
          <w:kern w:val="0"/>
          <w:sz w:val="24"/>
          <w:highlight w:val="none"/>
          <w:lang w:val="zh-CN"/>
        </w:rPr>
      </w:pPr>
      <w:r>
        <w:rPr>
          <w:rFonts w:hint="eastAsia" w:ascii="宋体" w:hAnsi="宋体" w:cs="Calibri"/>
          <w:color w:val="auto"/>
          <w:kern w:val="0"/>
          <w:sz w:val="24"/>
          <w:highlight w:val="none"/>
        </w:rPr>
        <w:t>交纳时间：</w:t>
      </w:r>
      <w:r>
        <w:rPr>
          <w:rFonts w:hint="eastAsia" w:ascii="宋体" w:hAnsi="宋体" w:cs="Calibri"/>
          <w:color w:val="auto"/>
          <w:kern w:val="0"/>
          <w:sz w:val="24"/>
          <w:highlight w:val="none"/>
          <w:lang w:val="zh-CN"/>
        </w:rPr>
        <w:t>供应商应在询比响应文件递交截止时间前将保证金缴纳到采购代理机构账户，以银行到账时间为准。</w:t>
      </w:r>
    </w:p>
    <w:p>
      <w:pPr>
        <w:autoSpaceDE w:val="0"/>
        <w:autoSpaceDN w:val="0"/>
        <w:adjustRightInd w:val="0"/>
        <w:spacing w:line="360" w:lineRule="auto"/>
        <w:rPr>
          <w:rFonts w:ascii="宋体" w:hAnsi="宋体" w:cs="Calibri"/>
          <w:color w:val="auto"/>
          <w:kern w:val="0"/>
          <w:sz w:val="24"/>
          <w:highlight w:val="none"/>
        </w:rPr>
      </w:pPr>
      <w:r>
        <w:rPr>
          <w:rFonts w:hint="eastAsia" w:ascii="宋体" w:hAnsi="宋体" w:cs="Calibri"/>
          <w:color w:val="auto"/>
          <w:kern w:val="0"/>
          <w:sz w:val="24"/>
          <w:highlight w:val="none"/>
        </w:rPr>
        <w:t>特别备注：响应保证金交纳过程中所填银行回单的备注/附言一栏中，注明项目编号。</w:t>
      </w:r>
    </w:p>
    <w:p>
      <w:pPr>
        <w:autoSpaceDE w:val="0"/>
        <w:autoSpaceDN w:val="0"/>
        <w:adjustRightInd w:val="0"/>
        <w:spacing w:line="360" w:lineRule="auto"/>
        <w:rPr>
          <w:rFonts w:ascii="宋体" w:hAnsi="宋体" w:cs="Calibri"/>
          <w:color w:val="auto"/>
          <w:kern w:val="0"/>
          <w:sz w:val="24"/>
          <w:highlight w:val="none"/>
        </w:rPr>
      </w:pPr>
      <w:r>
        <w:rPr>
          <w:rFonts w:hint="eastAsia" w:ascii="宋体" w:hAnsi="宋体" w:cs="Calibri"/>
          <w:color w:val="auto"/>
          <w:kern w:val="0"/>
          <w:sz w:val="24"/>
          <w:highlight w:val="none"/>
        </w:rPr>
        <w:t>9.2 缴费方式：响应保证金应当以支票、汇票、本票或者金融机构、担保机构出具的保函等非现金形式提交。通过银行转账的，必须由供应商从其基本账户(须提供开户许可证复印件)汇（转）入9.1条规定的账户。</w:t>
      </w:r>
    </w:p>
    <w:p>
      <w:pPr>
        <w:autoSpaceDE w:val="0"/>
        <w:autoSpaceDN w:val="0"/>
        <w:adjustRightInd w:val="0"/>
        <w:spacing w:line="360" w:lineRule="auto"/>
        <w:rPr>
          <w:rFonts w:ascii="宋体" w:hAnsi="宋体" w:cs="Calibri"/>
          <w:color w:val="auto"/>
          <w:kern w:val="0"/>
          <w:sz w:val="24"/>
          <w:highlight w:val="none"/>
        </w:rPr>
      </w:pPr>
      <w:r>
        <w:rPr>
          <w:rFonts w:hint="eastAsia" w:ascii="宋体" w:hAnsi="宋体" w:cs="Calibri"/>
          <w:color w:val="auto"/>
          <w:kern w:val="0"/>
          <w:sz w:val="24"/>
          <w:highlight w:val="none"/>
        </w:rPr>
        <w:t>9.3响应保证金退还：供应商在谈判截止时间前撤回已提交的响应文件的，采购代理机构应当自收到供应商书面撤回通知之日起５天内，退还已收取的响应保证金，但因供应商自身原因导致无法及时退还的除外。</w:t>
      </w:r>
    </w:p>
    <w:p>
      <w:pPr>
        <w:autoSpaceDE w:val="0"/>
        <w:autoSpaceDN w:val="0"/>
        <w:adjustRightInd w:val="0"/>
        <w:spacing w:line="360" w:lineRule="auto"/>
        <w:rPr>
          <w:rFonts w:ascii="宋体" w:hAnsi="宋体" w:cs="Calibri"/>
          <w:color w:val="auto"/>
          <w:kern w:val="0"/>
          <w:sz w:val="24"/>
          <w:highlight w:val="none"/>
        </w:rPr>
      </w:pPr>
      <w:r>
        <w:rPr>
          <w:rFonts w:hint="eastAsia" w:ascii="宋体" w:hAnsi="宋体" w:cs="Calibri"/>
          <w:color w:val="auto"/>
          <w:kern w:val="0"/>
          <w:sz w:val="24"/>
          <w:highlight w:val="none"/>
        </w:rPr>
        <w:t xml:space="preserve">   采购代理机构应当自成交通知书发出之日起５天内退还全部供应商的响应保证金。</w:t>
      </w:r>
    </w:p>
    <w:p>
      <w:pPr>
        <w:autoSpaceDE w:val="0"/>
        <w:autoSpaceDN w:val="0"/>
        <w:adjustRightInd w:val="0"/>
        <w:spacing w:line="360" w:lineRule="auto"/>
        <w:rPr>
          <w:rFonts w:ascii="宋体" w:hAnsi="宋体" w:cs="Calibri"/>
          <w:color w:val="auto"/>
          <w:kern w:val="0"/>
          <w:sz w:val="24"/>
          <w:highlight w:val="none"/>
        </w:rPr>
      </w:pPr>
      <w:r>
        <w:rPr>
          <w:rFonts w:hint="eastAsia" w:ascii="宋体" w:hAnsi="宋体" w:cs="Calibri"/>
          <w:color w:val="auto"/>
          <w:kern w:val="0"/>
          <w:sz w:val="24"/>
          <w:highlight w:val="none"/>
        </w:rPr>
        <w:t xml:space="preserve">   采购代理机构逾期退还响应保证金的，除应当退还响应保证金本金外，还应当按中国人民银行同期贷款基准利率上浮20％后的利率支付超期资金占用费，但因供应商自身原因导致无法及时退还的除外。</w:t>
      </w:r>
      <w:bookmarkStart w:id="86" w:name="_Toc13582307"/>
      <w:bookmarkStart w:id="87" w:name="_Toc10730547"/>
      <w:bookmarkStart w:id="88" w:name="_Toc4726"/>
    </w:p>
    <w:p>
      <w:pPr>
        <w:autoSpaceDE w:val="0"/>
        <w:autoSpaceDN w:val="0"/>
        <w:adjustRightInd w:val="0"/>
        <w:spacing w:line="360" w:lineRule="auto"/>
        <w:rPr>
          <w:rFonts w:ascii="Cambria" w:hAnsi="Cambria"/>
          <w:b/>
          <w:bCs/>
          <w:color w:val="auto"/>
          <w:sz w:val="28"/>
          <w:szCs w:val="32"/>
          <w:highlight w:val="none"/>
          <w:lang w:val="zh-CN"/>
        </w:rPr>
      </w:pPr>
      <w:r>
        <w:rPr>
          <w:rFonts w:hint="eastAsia" w:ascii="Cambria" w:hAnsi="Cambria"/>
          <w:b/>
          <w:bCs/>
          <w:color w:val="auto"/>
          <w:sz w:val="28"/>
          <w:szCs w:val="32"/>
          <w:highlight w:val="none"/>
          <w:lang w:val="zh-CN"/>
        </w:rPr>
        <w:t>10</w:t>
      </w:r>
      <w:r>
        <w:rPr>
          <w:rFonts w:ascii="Cambria" w:hAnsi="Cambria"/>
          <w:b/>
          <w:bCs/>
          <w:color w:val="auto"/>
          <w:sz w:val="28"/>
          <w:szCs w:val="32"/>
          <w:highlight w:val="none"/>
          <w:lang w:val="zh-CN"/>
        </w:rPr>
        <w:t>.</w:t>
      </w:r>
      <w:r>
        <w:rPr>
          <w:rFonts w:hint="eastAsia" w:ascii="Cambria" w:hAnsi="Cambria"/>
          <w:b/>
          <w:bCs/>
          <w:color w:val="auto"/>
          <w:sz w:val="28"/>
          <w:szCs w:val="32"/>
          <w:highlight w:val="none"/>
          <w:lang w:val="zh-CN"/>
        </w:rPr>
        <w:t xml:space="preserve"> 响应文件有效期</w:t>
      </w:r>
      <w:bookmarkEnd w:id="86"/>
      <w:bookmarkEnd w:id="87"/>
      <w:bookmarkEnd w:id="88"/>
    </w:p>
    <w:p>
      <w:pPr>
        <w:autoSpaceDE w:val="0"/>
        <w:autoSpaceDN w:val="0"/>
        <w:adjustRightInd w:val="0"/>
        <w:spacing w:line="360" w:lineRule="auto"/>
        <w:rPr>
          <w:rFonts w:ascii="宋体" w:hAnsi="宋体" w:cs="Calibri"/>
          <w:color w:val="auto"/>
          <w:kern w:val="0"/>
          <w:sz w:val="24"/>
          <w:highlight w:val="none"/>
        </w:rPr>
      </w:pPr>
      <w:r>
        <w:rPr>
          <w:rFonts w:hint="eastAsia" w:ascii="宋体" w:hAnsi="宋体" w:cs="Calibri"/>
          <w:color w:val="auto"/>
          <w:kern w:val="0"/>
          <w:sz w:val="24"/>
          <w:highlight w:val="none"/>
        </w:rPr>
        <w:t>10.1从提交响应文件的截止之日起60日历日。响应文件中承诺的有效期应当不少于采购文件中载明的响应文件有效期。响应文件有效期内供应商撤销响应文件的，采购代理机构可以不退还响应保证金。</w:t>
      </w:r>
      <w:bookmarkStart w:id="89" w:name="_Toc14466"/>
      <w:bookmarkStart w:id="90" w:name="_Toc10730548"/>
      <w:bookmarkStart w:id="91" w:name="_Toc13582308"/>
    </w:p>
    <w:p>
      <w:pPr>
        <w:autoSpaceDE w:val="0"/>
        <w:autoSpaceDN w:val="0"/>
        <w:adjustRightInd w:val="0"/>
        <w:spacing w:line="360" w:lineRule="auto"/>
        <w:rPr>
          <w:rFonts w:ascii="Cambria" w:hAnsi="Cambria"/>
          <w:b/>
          <w:bCs/>
          <w:color w:val="auto"/>
          <w:sz w:val="28"/>
          <w:szCs w:val="32"/>
          <w:highlight w:val="none"/>
          <w:lang w:val="zh-CN"/>
        </w:rPr>
      </w:pPr>
      <w:r>
        <w:rPr>
          <w:rFonts w:ascii="Cambria" w:hAnsi="Cambria"/>
          <w:b/>
          <w:bCs/>
          <w:color w:val="auto"/>
          <w:sz w:val="28"/>
          <w:szCs w:val="32"/>
          <w:highlight w:val="none"/>
          <w:lang w:val="zh-CN"/>
        </w:rPr>
        <w:t>1</w:t>
      </w:r>
      <w:r>
        <w:rPr>
          <w:rFonts w:hint="eastAsia" w:ascii="Cambria" w:hAnsi="Cambria"/>
          <w:b/>
          <w:bCs/>
          <w:color w:val="auto"/>
          <w:sz w:val="28"/>
          <w:szCs w:val="32"/>
          <w:highlight w:val="none"/>
          <w:lang w:val="zh-CN"/>
        </w:rPr>
        <w:t>1</w:t>
      </w:r>
      <w:r>
        <w:rPr>
          <w:rFonts w:ascii="Cambria" w:hAnsi="Cambria"/>
          <w:b/>
          <w:bCs/>
          <w:color w:val="auto"/>
          <w:sz w:val="28"/>
          <w:szCs w:val="32"/>
          <w:highlight w:val="none"/>
          <w:lang w:val="zh-CN"/>
        </w:rPr>
        <w:t>.</w:t>
      </w:r>
      <w:r>
        <w:rPr>
          <w:rFonts w:hint="eastAsia" w:ascii="Cambria" w:hAnsi="Cambria"/>
          <w:b/>
          <w:bCs/>
          <w:color w:val="auto"/>
          <w:sz w:val="28"/>
          <w:szCs w:val="32"/>
          <w:highlight w:val="none"/>
          <w:lang w:val="zh-CN"/>
        </w:rPr>
        <w:t>响应文件构成</w:t>
      </w:r>
      <w:bookmarkEnd w:id="89"/>
      <w:bookmarkEnd w:id="90"/>
      <w:bookmarkEnd w:id="91"/>
    </w:p>
    <w:p>
      <w:pPr>
        <w:autoSpaceDE w:val="0"/>
        <w:autoSpaceDN w:val="0"/>
        <w:adjustRightInd w:val="0"/>
        <w:spacing w:line="360" w:lineRule="auto"/>
        <w:rPr>
          <w:rFonts w:ascii="宋体" w:hAnsi="宋体" w:cs="Calibri"/>
          <w:color w:val="auto"/>
          <w:kern w:val="0"/>
          <w:sz w:val="24"/>
          <w:highlight w:val="none"/>
        </w:rPr>
      </w:pPr>
      <w:r>
        <w:rPr>
          <w:rFonts w:ascii="宋体" w:hAnsi="宋体" w:cs="Calibri"/>
          <w:color w:val="auto"/>
          <w:kern w:val="0"/>
          <w:sz w:val="24"/>
          <w:highlight w:val="none"/>
        </w:rPr>
        <w:t>1</w:t>
      </w:r>
      <w:r>
        <w:rPr>
          <w:rFonts w:hint="eastAsia" w:ascii="宋体" w:hAnsi="宋体" w:cs="Calibri"/>
          <w:color w:val="auto"/>
          <w:kern w:val="0"/>
          <w:sz w:val="24"/>
          <w:highlight w:val="none"/>
        </w:rPr>
        <w:t>1</w:t>
      </w:r>
      <w:r>
        <w:rPr>
          <w:rFonts w:ascii="宋体" w:hAnsi="宋体" w:cs="Calibri"/>
          <w:color w:val="auto"/>
          <w:kern w:val="0"/>
          <w:sz w:val="24"/>
          <w:highlight w:val="none"/>
        </w:rPr>
        <w:t>.1</w:t>
      </w:r>
      <w:r>
        <w:rPr>
          <w:rFonts w:hint="eastAsia" w:ascii="宋体" w:hAnsi="宋体" w:cs="Calibri"/>
          <w:color w:val="auto"/>
          <w:kern w:val="0"/>
          <w:sz w:val="24"/>
          <w:highlight w:val="none"/>
        </w:rPr>
        <w:t>供应商应提交相关证明材料，作为其参加采购活动和确定成交供应商后有能力履行合同的证明。编写的响应文件须包括以下内容（格式见响应文件第六部分）：</w:t>
      </w:r>
    </w:p>
    <w:p>
      <w:pPr>
        <w:autoSpaceDE w:val="0"/>
        <w:autoSpaceDN w:val="0"/>
        <w:adjustRightInd w:val="0"/>
        <w:spacing w:line="360" w:lineRule="auto"/>
        <w:ind w:right="480"/>
        <w:rPr>
          <w:rFonts w:ascii="宋体" w:hAnsi="Cambria" w:cs="宋体"/>
          <w:color w:val="auto"/>
          <w:kern w:val="0"/>
          <w:sz w:val="24"/>
          <w:highlight w:val="none"/>
          <w:lang w:val="zh-CN"/>
        </w:rPr>
      </w:pPr>
      <w:r>
        <w:rPr>
          <w:rFonts w:hint="eastAsia" w:ascii="宋体" w:hAnsi="Cambria" w:cs="宋体"/>
          <w:color w:val="auto"/>
          <w:kern w:val="0"/>
          <w:sz w:val="24"/>
          <w:highlight w:val="none"/>
          <w:lang w:val="zh-CN"/>
        </w:rPr>
        <w:t>（</w:t>
      </w:r>
      <w:r>
        <w:rPr>
          <w:rFonts w:ascii="宋体" w:hAnsi="Cambria" w:cs="宋体"/>
          <w:color w:val="auto"/>
          <w:kern w:val="0"/>
          <w:sz w:val="24"/>
          <w:highlight w:val="none"/>
          <w:lang w:val="zh-CN"/>
        </w:rPr>
        <w:t>1</w:t>
      </w:r>
      <w:r>
        <w:rPr>
          <w:rFonts w:hint="eastAsia" w:ascii="宋体" w:hAnsi="Cambria" w:cs="宋体"/>
          <w:color w:val="auto"/>
          <w:kern w:val="0"/>
          <w:sz w:val="24"/>
          <w:highlight w:val="none"/>
          <w:lang w:val="zh-CN"/>
        </w:rPr>
        <w:t>）响应文件封面</w:t>
      </w:r>
    </w:p>
    <w:p>
      <w:pPr>
        <w:autoSpaceDE w:val="0"/>
        <w:autoSpaceDN w:val="0"/>
        <w:adjustRightInd w:val="0"/>
        <w:spacing w:line="360" w:lineRule="auto"/>
        <w:ind w:right="480"/>
        <w:rPr>
          <w:rFonts w:ascii="宋体" w:hAnsi="Cambria" w:cs="宋体"/>
          <w:color w:val="auto"/>
          <w:kern w:val="0"/>
          <w:sz w:val="24"/>
          <w:highlight w:val="none"/>
          <w:lang w:val="zh-CN"/>
        </w:rPr>
      </w:pPr>
      <w:r>
        <w:rPr>
          <w:rFonts w:hint="eastAsia" w:ascii="宋体" w:hAnsi="Cambria" w:cs="宋体"/>
          <w:color w:val="auto"/>
          <w:kern w:val="0"/>
          <w:sz w:val="24"/>
          <w:highlight w:val="none"/>
          <w:lang w:val="zh-CN"/>
        </w:rPr>
        <w:t>（</w:t>
      </w:r>
      <w:r>
        <w:rPr>
          <w:rFonts w:ascii="宋体" w:hAnsi="Cambria" w:cs="宋体"/>
          <w:color w:val="auto"/>
          <w:kern w:val="0"/>
          <w:sz w:val="24"/>
          <w:highlight w:val="none"/>
          <w:lang w:val="zh-CN"/>
        </w:rPr>
        <w:t>2</w:t>
      </w:r>
      <w:r>
        <w:rPr>
          <w:rFonts w:hint="eastAsia" w:ascii="宋体" w:hAnsi="Cambria" w:cs="宋体"/>
          <w:color w:val="auto"/>
          <w:kern w:val="0"/>
          <w:sz w:val="24"/>
          <w:highlight w:val="none"/>
          <w:lang w:val="zh-CN"/>
        </w:rPr>
        <w:t>）响应文件目录</w:t>
      </w:r>
    </w:p>
    <w:p>
      <w:pPr>
        <w:autoSpaceDE w:val="0"/>
        <w:autoSpaceDN w:val="0"/>
        <w:adjustRightInd w:val="0"/>
        <w:spacing w:line="360" w:lineRule="auto"/>
        <w:ind w:right="960"/>
        <w:rPr>
          <w:rFonts w:ascii="宋体" w:hAnsi="Cambria" w:cs="宋体"/>
          <w:color w:val="auto"/>
          <w:kern w:val="0"/>
          <w:sz w:val="24"/>
          <w:highlight w:val="none"/>
          <w:lang w:val="zh-CN"/>
        </w:rPr>
      </w:pPr>
      <w:r>
        <w:rPr>
          <w:rFonts w:hint="eastAsia" w:ascii="宋体" w:hAnsi="Cambria" w:cs="宋体"/>
          <w:color w:val="auto"/>
          <w:kern w:val="0"/>
          <w:sz w:val="24"/>
          <w:highlight w:val="none"/>
          <w:lang w:val="zh-CN"/>
        </w:rPr>
        <w:t>（3）响应函</w:t>
      </w:r>
    </w:p>
    <w:p>
      <w:pPr>
        <w:autoSpaceDE w:val="0"/>
        <w:autoSpaceDN w:val="0"/>
        <w:adjustRightInd w:val="0"/>
        <w:spacing w:line="360" w:lineRule="auto"/>
        <w:ind w:right="480"/>
        <w:rPr>
          <w:rFonts w:ascii="宋体" w:hAnsi="Cambria" w:cs="宋体"/>
          <w:color w:val="auto"/>
          <w:kern w:val="0"/>
          <w:sz w:val="24"/>
          <w:highlight w:val="none"/>
          <w:lang w:val="zh-CN"/>
        </w:rPr>
      </w:pPr>
      <w:r>
        <w:rPr>
          <w:rFonts w:hint="eastAsia" w:ascii="宋体" w:hAnsi="Cambria" w:cs="宋体"/>
          <w:color w:val="auto"/>
          <w:kern w:val="0"/>
          <w:sz w:val="24"/>
          <w:highlight w:val="none"/>
          <w:lang w:val="zh-CN"/>
        </w:rPr>
        <w:t>（4）法定代表人证明书</w:t>
      </w:r>
    </w:p>
    <w:p>
      <w:pPr>
        <w:autoSpaceDE w:val="0"/>
        <w:autoSpaceDN w:val="0"/>
        <w:adjustRightInd w:val="0"/>
        <w:spacing w:line="360" w:lineRule="auto"/>
        <w:ind w:right="480"/>
        <w:rPr>
          <w:rFonts w:ascii="宋体" w:hAnsi="Cambria" w:cs="宋体"/>
          <w:color w:val="auto"/>
          <w:kern w:val="0"/>
          <w:sz w:val="24"/>
          <w:highlight w:val="none"/>
          <w:lang w:val="zh-CN"/>
        </w:rPr>
      </w:pPr>
      <w:r>
        <w:rPr>
          <w:rFonts w:hint="eastAsia" w:ascii="宋体" w:hAnsi="Cambria" w:cs="宋体"/>
          <w:color w:val="auto"/>
          <w:kern w:val="0"/>
          <w:sz w:val="24"/>
          <w:highlight w:val="none"/>
          <w:lang w:val="zh-CN"/>
        </w:rPr>
        <w:t>（5）法定代表人授权书</w:t>
      </w:r>
    </w:p>
    <w:p>
      <w:pPr>
        <w:autoSpaceDE w:val="0"/>
        <w:autoSpaceDN w:val="0"/>
        <w:adjustRightInd w:val="0"/>
        <w:spacing w:line="360" w:lineRule="auto"/>
        <w:ind w:right="480"/>
        <w:rPr>
          <w:rFonts w:ascii="宋体" w:hAnsi="Cambria" w:cs="宋体"/>
          <w:color w:val="auto"/>
          <w:kern w:val="0"/>
          <w:sz w:val="24"/>
          <w:highlight w:val="none"/>
          <w:lang w:val="zh-CN"/>
        </w:rPr>
      </w:pPr>
      <w:r>
        <w:rPr>
          <w:rFonts w:hint="eastAsia" w:ascii="宋体" w:hAnsi="Cambria" w:cs="宋体"/>
          <w:color w:val="auto"/>
          <w:kern w:val="0"/>
          <w:sz w:val="24"/>
          <w:highlight w:val="none"/>
          <w:lang w:val="zh-CN"/>
        </w:rPr>
        <w:t>（</w:t>
      </w:r>
      <w:r>
        <w:rPr>
          <w:rFonts w:hint="eastAsia" w:ascii="宋体" w:hAnsi="Cambria" w:cs="宋体"/>
          <w:color w:val="auto"/>
          <w:kern w:val="0"/>
          <w:sz w:val="24"/>
          <w:highlight w:val="none"/>
        </w:rPr>
        <w:t>6</w:t>
      </w:r>
      <w:r>
        <w:rPr>
          <w:rFonts w:hint="eastAsia" w:ascii="宋体" w:hAnsi="Cambria" w:cs="宋体"/>
          <w:color w:val="auto"/>
          <w:kern w:val="0"/>
          <w:sz w:val="24"/>
          <w:highlight w:val="none"/>
          <w:lang w:val="zh-CN"/>
        </w:rPr>
        <w:t>）报价表</w:t>
      </w:r>
    </w:p>
    <w:p>
      <w:pPr>
        <w:autoSpaceDE w:val="0"/>
        <w:autoSpaceDN w:val="0"/>
        <w:adjustRightInd w:val="0"/>
        <w:spacing w:line="360" w:lineRule="auto"/>
        <w:ind w:right="480"/>
        <w:rPr>
          <w:rFonts w:ascii="宋体" w:hAnsi="Cambria" w:cs="宋体"/>
          <w:color w:val="auto"/>
          <w:kern w:val="0"/>
          <w:sz w:val="24"/>
          <w:highlight w:val="none"/>
          <w:lang w:val="zh-CN"/>
        </w:rPr>
      </w:pPr>
      <w:r>
        <w:rPr>
          <w:rFonts w:hint="eastAsia" w:ascii="宋体" w:hAnsi="Cambria" w:cs="宋体"/>
          <w:color w:val="auto"/>
          <w:kern w:val="0"/>
          <w:sz w:val="24"/>
          <w:highlight w:val="none"/>
          <w:lang w:val="zh-CN"/>
        </w:rPr>
        <w:t>（</w:t>
      </w:r>
      <w:r>
        <w:rPr>
          <w:rFonts w:hint="eastAsia" w:ascii="宋体" w:hAnsi="Cambria" w:cs="宋体"/>
          <w:color w:val="auto"/>
          <w:kern w:val="0"/>
          <w:sz w:val="24"/>
          <w:highlight w:val="none"/>
        </w:rPr>
        <w:t>7</w:t>
      </w:r>
      <w:r>
        <w:rPr>
          <w:rFonts w:hint="eastAsia" w:ascii="宋体" w:hAnsi="Cambria" w:cs="宋体"/>
          <w:color w:val="auto"/>
          <w:kern w:val="0"/>
          <w:sz w:val="24"/>
          <w:highlight w:val="none"/>
          <w:lang w:val="zh-CN"/>
        </w:rPr>
        <w:t>）响应方案</w:t>
      </w:r>
    </w:p>
    <w:p>
      <w:pPr>
        <w:autoSpaceDE w:val="0"/>
        <w:autoSpaceDN w:val="0"/>
        <w:adjustRightInd w:val="0"/>
        <w:spacing w:line="360" w:lineRule="auto"/>
        <w:ind w:right="480"/>
        <w:rPr>
          <w:rFonts w:ascii="宋体" w:hAnsi="Cambria" w:cs="宋体"/>
          <w:color w:val="auto"/>
          <w:kern w:val="0"/>
          <w:sz w:val="24"/>
          <w:highlight w:val="none"/>
          <w:lang w:val="zh-CN"/>
        </w:rPr>
      </w:pPr>
      <w:r>
        <w:rPr>
          <w:rFonts w:hint="eastAsia" w:ascii="宋体" w:hAnsi="Cambria" w:cs="宋体"/>
          <w:color w:val="auto"/>
          <w:kern w:val="0"/>
          <w:sz w:val="24"/>
          <w:highlight w:val="none"/>
          <w:lang w:val="zh-CN"/>
        </w:rPr>
        <w:t>（</w:t>
      </w:r>
      <w:r>
        <w:rPr>
          <w:rFonts w:hint="eastAsia" w:ascii="宋体" w:hAnsi="Cambria" w:cs="宋体"/>
          <w:color w:val="auto"/>
          <w:kern w:val="0"/>
          <w:sz w:val="24"/>
          <w:highlight w:val="none"/>
        </w:rPr>
        <w:t>8</w:t>
      </w:r>
      <w:r>
        <w:rPr>
          <w:rFonts w:hint="eastAsia" w:ascii="宋体" w:hAnsi="Cambria" w:cs="宋体"/>
          <w:color w:val="auto"/>
          <w:kern w:val="0"/>
          <w:sz w:val="24"/>
          <w:highlight w:val="none"/>
          <w:lang w:val="zh-CN"/>
        </w:rPr>
        <w:t>）货物制造厂商授权书</w:t>
      </w:r>
    </w:p>
    <w:p>
      <w:pPr>
        <w:autoSpaceDE w:val="0"/>
        <w:autoSpaceDN w:val="0"/>
        <w:adjustRightInd w:val="0"/>
        <w:spacing w:line="360" w:lineRule="auto"/>
        <w:ind w:right="480"/>
        <w:rPr>
          <w:rFonts w:ascii="宋体" w:hAnsi="Cambria" w:cs="宋体"/>
          <w:color w:val="auto"/>
          <w:kern w:val="0"/>
          <w:sz w:val="24"/>
          <w:highlight w:val="none"/>
          <w:lang w:val="zh-CN"/>
        </w:rPr>
      </w:pPr>
      <w:r>
        <w:rPr>
          <w:rFonts w:hint="eastAsia" w:ascii="宋体" w:hAnsi="Cambria" w:cs="宋体"/>
          <w:color w:val="auto"/>
          <w:kern w:val="0"/>
          <w:sz w:val="24"/>
          <w:highlight w:val="none"/>
          <w:lang w:val="zh-CN"/>
        </w:rPr>
        <w:t>（9）项目主要人员一览表</w:t>
      </w:r>
    </w:p>
    <w:p>
      <w:pPr>
        <w:autoSpaceDE w:val="0"/>
        <w:autoSpaceDN w:val="0"/>
        <w:adjustRightInd w:val="0"/>
        <w:spacing w:line="360" w:lineRule="auto"/>
        <w:rPr>
          <w:rFonts w:ascii="宋体" w:hAnsi="Cambria" w:cs="宋体"/>
          <w:color w:val="auto"/>
          <w:kern w:val="0"/>
          <w:sz w:val="24"/>
          <w:highlight w:val="none"/>
          <w:lang w:val="zh-CN"/>
        </w:rPr>
      </w:pPr>
      <w:r>
        <w:rPr>
          <w:rFonts w:hint="eastAsia" w:ascii="宋体" w:hAnsi="Cambria" w:cs="宋体"/>
          <w:color w:val="auto"/>
          <w:kern w:val="0"/>
          <w:sz w:val="24"/>
          <w:highlight w:val="none"/>
          <w:lang w:val="zh-CN"/>
        </w:rPr>
        <w:t>（1</w:t>
      </w:r>
      <w:r>
        <w:rPr>
          <w:rFonts w:hint="eastAsia" w:ascii="宋体" w:hAnsi="Cambria" w:cs="宋体"/>
          <w:color w:val="auto"/>
          <w:kern w:val="0"/>
          <w:sz w:val="24"/>
          <w:highlight w:val="none"/>
        </w:rPr>
        <w:t>0</w:t>
      </w:r>
      <w:r>
        <w:rPr>
          <w:rFonts w:hint="eastAsia" w:ascii="宋体" w:hAnsi="Cambria" w:cs="宋体"/>
          <w:color w:val="auto"/>
          <w:kern w:val="0"/>
          <w:sz w:val="24"/>
          <w:highlight w:val="none"/>
          <w:lang w:val="zh-CN"/>
        </w:rPr>
        <w:t>）资格审查资料</w:t>
      </w:r>
    </w:p>
    <w:p>
      <w:pPr>
        <w:autoSpaceDE w:val="0"/>
        <w:autoSpaceDN w:val="0"/>
        <w:adjustRightInd w:val="0"/>
        <w:spacing w:line="360" w:lineRule="auto"/>
        <w:ind w:right="480"/>
        <w:rPr>
          <w:rFonts w:ascii="宋体" w:hAnsi="Cambria" w:cs="宋体"/>
          <w:color w:val="auto"/>
          <w:kern w:val="0"/>
          <w:sz w:val="24"/>
          <w:highlight w:val="none"/>
          <w:lang w:val="zh-CN"/>
        </w:rPr>
      </w:pPr>
      <w:r>
        <w:rPr>
          <w:rFonts w:hint="eastAsia" w:ascii="宋体" w:hAnsi="Cambria" w:cs="宋体"/>
          <w:color w:val="auto"/>
          <w:kern w:val="0"/>
          <w:sz w:val="24"/>
          <w:highlight w:val="none"/>
          <w:lang w:val="zh-CN"/>
        </w:rPr>
        <w:t>（11）业绩证明材料一览表</w:t>
      </w:r>
    </w:p>
    <w:p>
      <w:pPr>
        <w:autoSpaceDE w:val="0"/>
        <w:autoSpaceDN w:val="0"/>
        <w:adjustRightInd w:val="0"/>
        <w:spacing w:line="360" w:lineRule="auto"/>
        <w:ind w:right="480"/>
        <w:rPr>
          <w:rFonts w:ascii="宋体" w:hAnsi="Cambria" w:cs="宋体"/>
          <w:color w:val="auto"/>
          <w:kern w:val="0"/>
          <w:sz w:val="24"/>
          <w:highlight w:val="none"/>
          <w:lang w:val="zh-CN"/>
        </w:rPr>
      </w:pPr>
      <w:r>
        <w:rPr>
          <w:rFonts w:hint="eastAsia" w:ascii="宋体" w:hAnsi="Cambria" w:cs="宋体"/>
          <w:color w:val="auto"/>
          <w:kern w:val="0"/>
          <w:sz w:val="24"/>
          <w:highlight w:val="none"/>
          <w:lang w:val="zh-CN"/>
        </w:rPr>
        <w:t>（12）采购文件中要求提供的其他材料</w:t>
      </w:r>
    </w:p>
    <w:p>
      <w:pPr>
        <w:wordWrap w:val="0"/>
        <w:autoSpaceDE w:val="0"/>
        <w:autoSpaceDN w:val="0"/>
        <w:adjustRightInd w:val="0"/>
        <w:spacing w:line="360" w:lineRule="auto"/>
        <w:ind w:right="480"/>
        <w:rPr>
          <w:rFonts w:ascii="宋体" w:hAnsi="Cambria" w:cs="宋体"/>
          <w:color w:val="auto"/>
          <w:kern w:val="0"/>
          <w:sz w:val="24"/>
          <w:highlight w:val="none"/>
          <w:lang w:val="zh-CN"/>
        </w:rPr>
      </w:pPr>
      <w:r>
        <w:rPr>
          <w:rFonts w:hint="eastAsia" w:ascii="宋体" w:hAnsi="Cambria" w:cs="宋体"/>
          <w:color w:val="auto"/>
          <w:kern w:val="0"/>
          <w:sz w:val="24"/>
          <w:highlight w:val="none"/>
          <w:lang w:val="zh-CN"/>
        </w:rPr>
        <w:t>（13）供应商认为在其他方面有必要说明的事项</w:t>
      </w:r>
    </w:p>
    <w:p>
      <w:pPr>
        <w:autoSpaceDE w:val="0"/>
        <w:autoSpaceDN w:val="0"/>
        <w:adjustRightInd w:val="0"/>
        <w:spacing w:line="360" w:lineRule="auto"/>
        <w:rPr>
          <w:rFonts w:ascii="宋体" w:hAnsi="宋体" w:cs="Calibri"/>
          <w:color w:val="auto"/>
          <w:kern w:val="0"/>
          <w:sz w:val="24"/>
          <w:highlight w:val="none"/>
        </w:rPr>
      </w:pPr>
      <w:r>
        <w:rPr>
          <w:rFonts w:hint="eastAsia" w:ascii="宋体" w:hAnsi="宋体" w:cs="Calibri"/>
          <w:color w:val="auto"/>
          <w:kern w:val="0"/>
          <w:sz w:val="24"/>
          <w:highlight w:val="none"/>
        </w:rPr>
        <w:t>注：采购文件要求签字、盖章的地方必须由供应商的法定代表人或委托代理人按要求签字、盖章；供应商提供的扫描（或复印）件均需加盖公章。供应商须按上述内容、顺序和格式编制响应文件，并按要求编制目录、页码。</w:t>
      </w:r>
      <w:bookmarkStart w:id="92" w:name="_Toc13582309"/>
      <w:bookmarkStart w:id="93" w:name="_Toc10730549"/>
      <w:bookmarkStart w:id="94" w:name="_Toc25717"/>
    </w:p>
    <w:p>
      <w:pPr>
        <w:autoSpaceDE w:val="0"/>
        <w:autoSpaceDN w:val="0"/>
        <w:adjustRightInd w:val="0"/>
        <w:spacing w:line="360" w:lineRule="auto"/>
        <w:rPr>
          <w:rFonts w:ascii="Cambria" w:hAnsi="Cambria"/>
          <w:b/>
          <w:bCs/>
          <w:color w:val="auto"/>
          <w:sz w:val="28"/>
          <w:szCs w:val="32"/>
          <w:highlight w:val="none"/>
          <w:lang w:val="zh-CN"/>
        </w:rPr>
      </w:pPr>
      <w:r>
        <w:rPr>
          <w:rFonts w:ascii="Cambria" w:hAnsi="Cambria"/>
          <w:b/>
          <w:bCs/>
          <w:color w:val="auto"/>
          <w:sz w:val="28"/>
          <w:szCs w:val="32"/>
          <w:highlight w:val="none"/>
          <w:lang w:val="zh-CN"/>
        </w:rPr>
        <w:t>1</w:t>
      </w:r>
      <w:r>
        <w:rPr>
          <w:rFonts w:hint="eastAsia" w:ascii="Cambria" w:hAnsi="Cambria"/>
          <w:b/>
          <w:bCs/>
          <w:color w:val="auto"/>
          <w:sz w:val="28"/>
          <w:szCs w:val="32"/>
          <w:highlight w:val="none"/>
          <w:lang w:val="zh-CN"/>
        </w:rPr>
        <w:t>2</w:t>
      </w:r>
      <w:r>
        <w:rPr>
          <w:rFonts w:ascii="Cambria" w:hAnsi="Cambria"/>
          <w:b/>
          <w:bCs/>
          <w:color w:val="auto"/>
          <w:sz w:val="28"/>
          <w:szCs w:val="32"/>
          <w:highlight w:val="none"/>
          <w:lang w:val="zh-CN"/>
        </w:rPr>
        <w:t xml:space="preserve">. </w:t>
      </w:r>
      <w:r>
        <w:rPr>
          <w:rFonts w:hint="eastAsia" w:ascii="Cambria" w:hAnsi="Cambria"/>
          <w:b/>
          <w:bCs/>
          <w:color w:val="auto"/>
          <w:sz w:val="28"/>
          <w:szCs w:val="32"/>
          <w:highlight w:val="none"/>
          <w:lang w:val="zh-CN"/>
        </w:rPr>
        <w:t>响应文件的编制要求</w:t>
      </w:r>
      <w:bookmarkEnd w:id="92"/>
      <w:bookmarkEnd w:id="93"/>
      <w:bookmarkEnd w:id="94"/>
    </w:p>
    <w:p>
      <w:pPr>
        <w:autoSpaceDE w:val="0"/>
        <w:autoSpaceDN w:val="0"/>
        <w:adjustRightInd w:val="0"/>
        <w:spacing w:line="360" w:lineRule="auto"/>
        <w:rPr>
          <w:rFonts w:ascii="宋体" w:hAnsi="宋体" w:cs="Calibri"/>
          <w:color w:val="auto"/>
          <w:kern w:val="0"/>
          <w:sz w:val="24"/>
          <w:highlight w:val="none"/>
        </w:rPr>
      </w:pPr>
      <w:r>
        <w:rPr>
          <w:rFonts w:ascii="宋体" w:hAnsi="宋体" w:cs="Calibri"/>
          <w:color w:val="auto"/>
          <w:kern w:val="0"/>
          <w:sz w:val="24"/>
          <w:highlight w:val="none"/>
        </w:rPr>
        <w:t>1</w:t>
      </w:r>
      <w:r>
        <w:rPr>
          <w:rFonts w:hint="eastAsia" w:ascii="宋体" w:hAnsi="宋体" w:cs="Calibri"/>
          <w:color w:val="auto"/>
          <w:kern w:val="0"/>
          <w:sz w:val="24"/>
          <w:highlight w:val="none"/>
        </w:rPr>
        <w:t>2</w:t>
      </w:r>
      <w:r>
        <w:rPr>
          <w:rFonts w:ascii="宋体" w:hAnsi="宋体" w:cs="Calibri"/>
          <w:color w:val="auto"/>
          <w:kern w:val="0"/>
          <w:sz w:val="24"/>
          <w:highlight w:val="none"/>
        </w:rPr>
        <w:t>.1</w:t>
      </w:r>
      <w:r>
        <w:rPr>
          <w:rFonts w:hint="eastAsia" w:ascii="宋体" w:hAnsi="宋体" w:cs="Calibri"/>
          <w:color w:val="auto"/>
          <w:kern w:val="0"/>
          <w:sz w:val="24"/>
          <w:highlight w:val="none"/>
        </w:rPr>
        <w:t>供应商应按照响应文件所提供的响应文件格式，分别填写采购文件第六部分的内容，应分别注明所提供货物（或服务）的名称、技术配置及参数、数量和价格等内容；采购文件要求签字、盖章的地方必须由供应商的法定代表人或委托代理人按要求签字、盖章。</w:t>
      </w:r>
    </w:p>
    <w:p>
      <w:pPr>
        <w:autoSpaceDE w:val="0"/>
        <w:autoSpaceDN w:val="0"/>
        <w:adjustRightInd w:val="0"/>
        <w:spacing w:line="360" w:lineRule="auto"/>
        <w:rPr>
          <w:rFonts w:ascii="宋体" w:hAnsi="宋体" w:cs="Calibri"/>
          <w:color w:val="auto"/>
          <w:kern w:val="0"/>
          <w:sz w:val="24"/>
          <w:highlight w:val="none"/>
        </w:rPr>
      </w:pPr>
      <w:r>
        <w:rPr>
          <w:rFonts w:ascii="宋体" w:hAnsi="Cambria" w:cs="宋体"/>
          <w:color w:val="auto"/>
          <w:kern w:val="0"/>
          <w:sz w:val="24"/>
          <w:highlight w:val="none"/>
          <w:lang w:val="zh-CN"/>
        </w:rPr>
        <w:t>1</w:t>
      </w:r>
      <w:r>
        <w:rPr>
          <w:rFonts w:hint="eastAsia" w:ascii="宋体" w:hAnsi="Cambria" w:cs="宋体"/>
          <w:color w:val="auto"/>
          <w:kern w:val="0"/>
          <w:sz w:val="24"/>
          <w:highlight w:val="none"/>
          <w:lang w:val="zh-CN"/>
        </w:rPr>
        <w:t>2</w:t>
      </w:r>
      <w:r>
        <w:rPr>
          <w:rFonts w:ascii="宋体" w:hAnsi="Cambria" w:cs="宋体"/>
          <w:color w:val="auto"/>
          <w:kern w:val="0"/>
          <w:sz w:val="24"/>
          <w:highlight w:val="none"/>
          <w:lang w:val="zh-CN"/>
        </w:rPr>
        <w:t>.2</w:t>
      </w:r>
      <w:r>
        <w:rPr>
          <w:rFonts w:hint="eastAsia" w:ascii="宋体" w:hAnsi="Cambria" w:cs="宋体"/>
          <w:color w:val="auto"/>
          <w:kern w:val="0"/>
          <w:sz w:val="24"/>
          <w:highlight w:val="none"/>
          <w:lang w:val="zh-CN"/>
        </w:rPr>
        <w:t>供应商应准备纸质响应文件</w:t>
      </w:r>
      <w:r>
        <w:rPr>
          <w:rFonts w:hint="eastAsia" w:ascii="宋体" w:hAnsi="Cambria" w:cs="宋体"/>
          <w:b/>
          <w:color w:val="auto"/>
          <w:kern w:val="0"/>
          <w:sz w:val="24"/>
          <w:highlight w:val="none"/>
          <w:u w:val="single"/>
          <w:lang w:val="zh-CN"/>
        </w:rPr>
        <w:t>正本1份、副本</w:t>
      </w:r>
      <w:r>
        <w:rPr>
          <w:rFonts w:hint="eastAsia" w:ascii="宋体" w:hAnsi="Cambria" w:cs="宋体"/>
          <w:b/>
          <w:color w:val="auto"/>
          <w:kern w:val="0"/>
          <w:sz w:val="24"/>
          <w:highlight w:val="none"/>
          <w:u w:val="single"/>
        </w:rPr>
        <w:t>2</w:t>
      </w:r>
      <w:r>
        <w:rPr>
          <w:rFonts w:hint="eastAsia" w:ascii="宋体" w:hAnsi="Cambria" w:cs="宋体"/>
          <w:b/>
          <w:color w:val="auto"/>
          <w:kern w:val="0"/>
          <w:sz w:val="24"/>
          <w:highlight w:val="none"/>
          <w:u w:val="single"/>
          <w:lang w:val="zh-CN"/>
        </w:rPr>
        <w:t>份，电子文档1份及用于开启响应文件环节单独提交的“报价表”1份</w:t>
      </w:r>
      <w:r>
        <w:rPr>
          <w:rFonts w:hint="eastAsia" w:ascii="宋体" w:hAnsi="Cambria" w:cs="宋体"/>
          <w:b/>
          <w:color w:val="auto"/>
          <w:kern w:val="0"/>
          <w:sz w:val="24"/>
          <w:highlight w:val="none"/>
          <w:u w:val="single"/>
        </w:rPr>
        <w:t>并密封</w:t>
      </w:r>
      <w:r>
        <w:rPr>
          <w:rFonts w:hint="eastAsia" w:ascii="宋体" w:hAnsi="Cambria" w:cs="宋体"/>
          <w:color w:val="auto"/>
          <w:kern w:val="0"/>
          <w:sz w:val="24"/>
          <w:highlight w:val="none"/>
          <w:lang w:val="zh-CN"/>
        </w:rPr>
        <w:t>。</w:t>
      </w:r>
      <w:r>
        <w:rPr>
          <w:rFonts w:hint="eastAsia" w:ascii="宋体" w:hAnsi="宋体" w:cs="Calibri"/>
          <w:color w:val="auto"/>
          <w:kern w:val="0"/>
          <w:sz w:val="24"/>
          <w:highlight w:val="none"/>
        </w:rPr>
        <w:t>若发生正本和副本不符，以正本为准。响应文件统一使用A4幅面的纸张印制，必须胶装成册并编码，其他方式装订的响应文件一概不予接受。</w:t>
      </w:r>
    </w:p>
    <w:p>
      <w:pPr>
        <w:autoSpaceDE w:val="0"/>
        <w:autoSpaceDN w:val="0"/>
        <w:adjustRightInd w:val="0"/>
        <w:spacing w:line="360" w:lineRule="auto"/>
        <w:rPr>
          <w:rFonts w:ascii="宋体" w:hAnsi="宋体" w:cs="Calibri"/>
          <w:color w:val="auto"/>
          <w:kern w:val="0"/>
          <w:sz w:val="24"/>
          <w:highlight w:val="none"/>
        </w:rPr>
      </w:pPr>
      <w:r>
        <w:rPr>
          <w:rFonts w:hint="eastAsia" w:ascii="宋体" w:hAnsi="宋体" w:cs="Calibri"/>
          <w:color w:val="auto"/>
          <w:kern w:val="0"/>
          <w:sz w:val="24"/>
          <w:highlight w:val="none"/>
        </w:rPr>
        <w:t>12.3 响应文件的正本需打印或用不褪色、不变质的墨水书写，副本可采用正本的复印件。电子文档用光盘或U盘制作，采用不可修改文档格式（如：PDF格式），内容必须和纸质响应文件正本完全一致，包括封面、页码、签字、盖章等。</w:t>
      </w:r>
    </w:p>
    <w:p>
      <w:pPr>
        <w:autoSpaceDE w:val="0"/>
        <w:autoSpaceDN w:val="0"/>
        <w:adjustRightInd w:val="0"/>
        <w:spacing w:line="360" w:lineRule="auto"/>
        <w:rPr>
          <w:rFonts w:ascii="宋体" w:hAnsi="宋体" w:cs="Calibri"/>
          <w:color w:val="auto"/>
          <w:kern w:val="0"/>
          <w:sz w:val="24"/>
          <w:highlight w:val="none"/>
        </w:rPr>
      </w:pPr>
      <w:r>
        <w:rPr>
          <w:rFonts w:hint="eastAsia" w:ascii="宋体" w:hAnsi="宋体" w:cs="Calibri"/>
          <w:color w:val="auto"/>
          <w:kern w:val="0"/>
          <w:sz w:val="24"/>
          <w:highlight w:val="none"/>
        </w:rPr>
        <w:t>12.4 响应文件中不得行间插字、涂改或增删，如有修改错漏处，须由供应商法定代表人或其委托代理人签字、加盖公章。</w:t>
      </w:r>
    </w:p>
    <w:p>
      <w:pPr>
        <w:pStyle w:val="35"/>
        <w:rPr>
          <w:rFonts w:cs="Cambria"/>
          <w:color w:val="auto"/>
          <w:highlight w:val="none"/>
        </w:rPr>
      </w:pPr>
      <w:bookmarkStart w:id="95" w:name="_Toc10730550"/>
      <w:bookmarkStart w:id="96" w:name="_Toc13582310"/>
      <w:bookmarkStart w:id="97" w:name="_Toc30212"/>
      <w:bookmarkStart w:id="98" w:name="_Toc2272"/>
      <w:bookmarkStart w:id="99" w:name="_Toc14051"/>
      <w:bookmarkStart w:id="100" w:name="_Toc16400"/>
      <w:bookmarkStart w:id="101" w:name="_Toc26840"/>
      <w:r>
        <w:rPr>
          <w:rFonts w:hint="eastAsia"/>
          <w:color w:val="auto"/>
          <w:highlight w:val="none"/>
          <w:lang w:val="zh-CN"/>
        </w:rPr>
        <w:t>四、响应文件的递交</w:t>
      </w:r>
      <w:bookmarkEnd w:id="95"/>
      <w:bookmarkEnd w:id="96"/>
      <w:bookmarkEnd w:id="97"/>
      <w:bookmarkEnd w:id="98"/>
      <w:bookmarkEnd w:id="99"/>
      <w:bookmarkEnd w:id="100"/>
      <w:bookmarkEnd w:id="101"/>
    </w:p>
    <w:p>
      <w:pPr>
        <w:pStyle w:val="35"/>
        <w:jc w:val="left"/>
        <w:rPr>
          <w:rFonts w:ascii="宋体" w:hAnsi="宋体"/>
          <w:color w:val="auto"/>
          <w:sz w:val="28"/>
          <w:highlight w:val="none"/>
          <w:lang w:val="zh-CN"/>
        </w:rPr>
      </w:pPr>
      <w:bookmarkStart w:id="102" w:name="_Toc10730551"/>
      <w:bookmarkStart w:id="103" w:name="_Toc29201"/>
      <w:bookmarkStart w:id="104" w:name="_Toc13582311"/>
      <w:bookmarkStart w:id="105" w:name="_Toc15938"/>
      <w:bookmarkStart w:id="106" w:name="_Toc4844"/>
      <w:bookmarkStart w:id="107" w:name="_Toc8545"/>
      <w:bookmarkStart w:id="108" w:name="_Toc3128"/>
      <w:r>
        <w:rPr>
          <w:rFonts w:ascii="宋体" w:hAnsi="宋体"/>
          <w:color w:val="auto"/>
          <w:sz w:val="28"/>
          <w:highlight w:val="none"/>
          <w:lang w:val="zh-CN"/>
        </w:rPr>
        <w:t>1</w:t>
      </w:r>
      <w:r>
        <w:rPr>
          <w:rFonts w:hint="eastAsia" w:ascii="宋体" w:hAnsi="宋体"/>
          <w:color w:val="auto"/>
          <w:sz w:val="28"/>
          <w:highlight w:val="none"/>
          <w:lang w:val="zh-CN"/>
        </w:rPr>
        <w:t>3</w:t>
      </w:r>
      <w:r>
        <w:rPr>
          <w:rFonts w:ascii="宋体" w:hAnsi="宋体"/>
          <w:color w:val="auto"/>
          <w:sz w:val="28"/>
          <w:highlight w:val="none"/>
          <w:lang w:val="zh-CN"/>
        </w:rPr>
        <w:t xml:space="preserve">. </w:t>
      </w:r>
      <w:r>
        <w:rPr>
          <w:rFonts w:hint="eastAsia" w:ascii="宋体" w:hAnsi="宋体"/>
          <w:color w:val="auto"/>
          <w:sz w:val="28"/>
          <w:highlight w:val="none"/>
          <w:lang w:val="zh-CN"/>
        </w:rPr>
        <w:t>响应文件的密封和标记</w:t>
      </w:r>
      <w:bookmarkEnd w:id="102"/>
      <w:bookmarkEnd w:id="103"/>
      <w:bookmarkEnd w:id="104"/>
      <w:bookmarkEnd w:id="105"/>
      <w:bookmarkEnd w:id="106"/>
      <w:bookmarkEnd w:id="107"/>
      <w:bookmarkEnd w:id="108"/>
    </w:p>
    <w:p>
      <w:pPr>
        <w:autoSpaceDE w:val="0"/>
        <w:autoSpaceDN w:val="0"/>
        <w:adjustRightInd w:val="0"/>
        <w:spacing w:line="360" w:lineRule="auto"/>
        <w:rPr>
          <w:rFonts w:ascii="宋体" w:hAnsi="宋体" w:cs="Calibri"/>
          <w:color w:val="auto"/>
          <w:kern w:val="0"/>
          <w:sz w:val="24"/>
          <w:highlight w:val="none"/>
        </w:rPr>
      </w:pPr>
      <w:r>
        <w:rPr>
          <w:rFonts w:ascii="宋体" w:hAnsi="宋体" w:cs="Calibri"/>
          <w:color w:val="auto"/>
          <w:kern w:val="0"/>
          <w:sz w:val="24"/>
          <w:highlight w:val="none"/>
        </w:rPr>
        <w:t>1</w:t>
      </w:r>
      <w:r>
        <w:rPr>
          <w:rFonts w:hint="eastAsia" w:ascii="宋体" w:hAnsi="宋体" w:cs="Calibri"/>
          <w:color w:val="auto"/>
          <w:kern w:val="0"/>
          <w:sz w:val="24"/>
          <w:highlight w:val="none"/>
        </w:rPr>
        <w:t>3</w:t>
      </w:r>
      <w:r>
        <w:rPr>
          <w:rFonts w:ascii="宋体" w:hAnsi="宋体" w:cs="Calibri"/>
          <w:color w:val="auto"/>
          <w:kern w:val="0"/>
          <w:sz w:val="24"/>
          <w:highlight w:val="none"/>
        </w:rPr>
        <w:t>.1</w:t>
      </w:r>
      <w:r>
        <w:rPr>
          <w:rFonts w:hint="eastAsia" w:ascii="宋体" w:hAnsi="宋体" w:cs="Calibri"/>
          <w:color w:val="auto"/>
          <w:kern w:val="0"/>
          <w:sz w:val="24"/>
          <w:highlight w:val="none"/>
        </w:rPr>
        <w:t>响应文件正本、副本及电子文档应分别封装于不同的密封袋内，密封袋上应分别标上“正本”、“副本”、 “电子文档”字样，并注明供应商名称、采购项目编号、采购项目名称及分包号（如有分包）。</w:t>
      </w:r>
    </w:p>
    <w:p>
      <w:pPr>
        <w:autoSpaceDE w:val="0"/>
        <w:autoSpaceDN w:val="0"/>
        <w:adjustRightInd w:val="0"/>
        <w:spacing w:line="360" w:lineRule="auto"/>
        <w:rPr>
          <w:rFonts w:ascii="宋体" w:hAnsi="宋体" w:cs="Calibri"/>
          <w:color w:val="auto"/>
          <w:kern w:val="0"/>
          <w:sz w:val="24"/>
          <w:highlight w:val="none"/>
        </w:rPr>
      </w:pPr>
      <w:r>
        <w:rPr>
          <w:rFonts w:ascii="宋体" w:hAnsi="宋体" w:cs="Calibri"/>
          <w:color w:val="auto"/>
          <w:kern w:val="0"/>
          <w:sz w:val="24"/>
          <w:highlight w:val="none"/>
        </w:rPr>
        <w:t>1</w:t>
      </w:r>
      <w:r>
        <w:rPr>
          <w:rFonts w:hint="eastAsia" w:ascii="宋体" w:hAnsi="宋体" w:cs="Calibri"/>
          <w:color w:val="auto"/>
          <w:kern w:val="0"/>
          <w:sz w:val="24"/>
          <w:highlight w:val="none"/>
        </w:rPr>
        <w:t>3</w:t>
      </w:r>
      <w:r>
        <w:rPr>
          <w:rFonts w:ascii="宋体" w:hAnsi="宋体" w:cs="Calibri"/>
          <w:color w:val="auto"/>
          <w:kern w:val="0"/>
          <w:sz w:val="24"/>
          <w:highlight w:val="none"/>
        </w:rPr>
        <w:t>.</w:t>
      </w:r>
      <w:r>
        <w:rPr>
          <w:rFonts w:hint="eastAsia" w:ascii="宋体" w:hAnsi="宋体" w:cs="Calibri"/>
          <w:color w:val="auto"/>
          <w:kern w:val="0"/>
          <w:sz w:val="24"/>
          <w:highlight w:val="none"/>
        </w:rPr>
        <w:t>2密封后的响应文件均应：</w:t>
      </w:r>
    </w:p>
    <w:p>
      <w:pPr>
        <w:autoSpaceDE w:val="0"/>
        <w:autoSpaceDN w:val="0"/>
        <w:adjustRightInd w:val="0"/>
        <w:spacing w:line="360" w:lineRule="auto"/>
        <w:rPr>
          <w:rFonts w:ascii="宋体" w:hAnsi="宋体" w:cs="Calibri"/>
          <w:color w:val="auto"/>
          <w:kern w:val="0"/>
          <w:sz w:val="24"/>
          <w:highlight w:val="none"/>
        </w:rPr>
      </w:pPr>
      <w:r>
        <w:rPr>
          <w:rFonts w:ascii="宋体" w:hAnsi="宋体" w:cs="Calibri"/>
          <w:color w:val="auto"/>
          <w:kern w:val="0"/>
          <w:sz w:val="24"/>
          <w:highlight w:val="none"/>
        </w:rPr>
        <w:t>(1)</w:t>
      </w:r>
      <w:r>
        <w:rPr>
          <w:rFonts w:hint="eastAsia" w:ascii="宋体" w:hAnsi="宋体" w:cs="Calibri"/>
          <w:color w:val="auto"/>
          <w:kern w:val="0"/>
          <w:sz w:val="24"/>
          <w:highlight w:val="none"/>
        </w:rPr>
        <w:t>按“供应商</w:t>
      </w:r>
      <w:r>
        <w:rPr>
          <w:rFonts w:hint="eastAsia" w:ascii="宋体" w:hAnsi="宋体" w:cs="宋体"/>
          <w:color w:val="auto"/>
          <w:kern w:val="0"/>
          <w:sz w:val="24"/>
          <w:highlight w:val="none"/>
          <w:lang w:val="zh-CN"/>
        </w:rPr>
        <w:t>递交响应文件</w:t>
      </w:r>
      <w:r>
        <w:rPr>
          <w:rFonts w:hint="eastAsia" w:ascii="宋体" w:hAnsi="宋体" w:cs="Calibri"/>
          <w:color w:val="auto"/>
          <w:kern w:val="0"/>
          <w:sz w:val="24"/>
          <w:highlight w:val="none"/>
        </w:rPr>
        <w:t>前须知”注明的时间、地址送达；</w:t>
      </w:r>
    </w:p>
    <w:p>
      <w:pPr>
        <w:autoSpaceDE w:val="0"/>
        <w:autoSpaceDN w:val="0"/>
        <w:adjustRightInd w:val="0"/>
        <w:spacing w:line="360" w:lineRule="auto"/>
        <w:rPr>
          <w:rFonts w:ascii="宋体" w:hAnsi="宋体" w:cs="Calibri"/>
          <w:color w:val="auto"/>
          <w:kern w:val="0"/>
          <w:sz w:val="24"/>
          <w:highlight w:val="none"/>
        </w:rPr>
      </w:pPr>
      <w:r>
        <w:rPr>
          <w:rFonts w:ascii="宋体" w:hAnsi="宋体" w:cs="Calibri"/>
          <w:color w:val="auto"/>
          <w:kern w:val="0"/>
          <w:sz w:val="24"/>
          <w:highlight w:val="none"/>
        </w:rPr>
        <w:t>(2)</w:t>
      </w:r>
      <w:r>
        <w:rPr>
          <w:rFonts w:hint="eastAsia" w:ascii="宋体" w:hAnsi="宋体" w:cs="Calibri"/>
          <w:color w:val="auto"/>
          <w:kern w:val="0"/>
          <w:sz w:val="24"/>
          <w:highlight w:val="none"/>
        </w:rPr>
        <w:t xml:space="preserve"> 响应文件密封袋用“于202</w:t>
      </w:r>
      <w:r>
        <w:rPr>
          <w:rFonts w:hint="eastAsia" w:ascii="宋体" w:hAnsi="宋体" w:cs="Calibri"/>
          <w:color w:val="auto"/>
          <w:kern w:val="0"/>
          <w:sz w:val="24"/>
          <w:highlight w:val="none"/>
          <w:lang w:val="en-US" w:eastAsia="zh-CN"/>
        </w:rPr>
        <w:t>2</w:t>
      </w:r>
      <w:r>
        <w:rPr>
          <w:rFonts w:hint="eastAsia" w:ascii="宋体" w:hAnsi="宋体" w:cs="Calibri"/>
          <w:color w:val="auto"/>
          <w:kern w:val="0"/>
          <w:sz w:val="24"/>
          <w:highlight w:val="none"/>
        </w:rPr>
        <w:t>年</w:t>
      </w:r>
      <w:r>
        <w:rPr>
          <w:rFonts w:hint="eastAsia" w:ascii="宋体" w:hAnsi="宋体" w:cs="Calibri"/>
          <w:color w:val="auto"/>
          <w:kern w:val="0"/>
          <w:sz w:val="24"/>
          <w:highlight w:val="none"/>
          <w:lang w:val="en-US" w:eastAsia="zh-CN"/>
        </w:rPr>
        <w:t>5</w:t>
      </w:r>
      <w:r>
        <w:rPr>
          <w:rFonts w:hint="eastAsia" w:ascii="宋体" w:hAnsi="宋体" w:cs="Calibri"/>
          <w:color w:val="auto"/>
          <w:kern w:val="0"/>
          <w:sz w:val="24"/>
          <w:highlight w:val="none"/>
        </w:rPr>
        <w:t>月</w:t>
      </w:r>
      <w:r>
        <w:rPr>
          <w:rFonts w:hint="eastAsia" w:ascii="宋体" w:hAnsi="宋体" w:cs="Calibri"/>
          <w:color w:val="auto"/>
          <w:kern w:val="0"/>
          <w:sz w:val="24"/>
          <w:highlight w:val="none"/>
          <w:lang w:val="en-US" w:eastAsia="zh-CN"/>
        </w:rPr>
        <w:t>16</w:t>
      </w:r>
      <w:r>
        <w:rPr>
          <w:rFonts w:hint="eastAsia" w:ascii="宋体" w:hAnsi="宋体" w:cs="Calibri"/>
          <w:color w:val="auto"/>
          <w:kern w:val="0"/>
          <w:sz w:val="24"/>
          <w:highlight w:val="none"/>
        </w:rPr>
        <w:t>日09时30分（北京时间）之前不准启封”的标签密封。</w:t>
      </w:r>
    </w:p>
    <w:p>
      <w:pPr>
        <w:autoSpaceDE w:val="0"/>
        <w:autoSpaceDN w:val="0"/>
        <w:adjustRightInd w:val="0"/>
        <w:spacing w:line="360" w:lineRule="auto"/>
        <w:rPr>
          <w:rFonts w:ascii="宋体" w:hAnsi="宋体" w:cs="Calibri"/>
          <w:color w:val="auto"/>
          <w:kern w:val="0"/>
          <w:sz w:val="24"/>
          <w:highlight w:val="none"/>
        </w:rPr>
      </w:pPr>
      <w:r>
        <w:rPr>
          <w:rFonts w:ascii="宋体" w:hAnsi="宋体" w:cs="Calibri"/>
          <w:color w:val="auto"/>
          <w:kern w:val="0"/>
          <w:sz w:val="24"/>
          <w:highlight w:val="none"/>
        </w:rPr>
        <w:t>1</w:t>
      </w:r>
      <w:r>
        <w:rPr>
          <w:rFonts w:hint="eastAsia" w:ascii="宋体" w:hAnsi="宋体" w:cs="Calibri"/>
          <w:color w:val="auto"/>
          <w:kern w:val="0"/>
          <w:sz w:val="24"/>
          <w:highlight w:val="none"/>
        </w:rPr>
        <w:t>3</w:t>
      </w:r>
      <w:r>
        <w:rPr>
          <w:rFonts w:ascii="宋体" w:hAnsi="宋体" w:cs="Calibri"/>
          <w:color w:val="auto"/>
          <w:kern w:val="0"/>
          <w:sz w:val="24"/>
          <w:highlight w:val="none"/>
        </w:rPr>
        <w:t>.</w:t>
      </w:r>
      <w:r>
        <w:rPr>
          <w:rFonts w:hint="eastAsia" w:ascii="宋体" w:hAnsi="宋体" w:cs="Calibri"/>
          <w:color w:val="auto"/>
          <w:kern w:val="0"/>
          <w:sz w:val="24"/>
          <w:highlight w:val="none"/>
        </w:rPr>
        <w:t>3供应商以电报、电话、传真形式递交响应文件的，采购代理机构概不接受。</w:t>
      </w:r>
      <w:bookmarkStart w:id="109" w:name="_Toc10469835"/>
      <w:bookmarkStart w:id="110" w:name="_Toc13582312"/>
      <w:bookmarkStart w:id="111" w:name="_Toc10730552"/>
      <w:bookmarkStart w:id="112" w:name="_Toc22766"/>
    </w:p>
    <w:p>
      <w:pPr>
        <w:autoSpaceDE w:val="0"/>
        <w:autoSpaceDN w:val="0"/>
        <w:adjustRightInd w:val="0"/>
        <w:spacing w:line="360" w:lineRule="auto"/>
        <w:rPr>
          <w:rFonts w:ascii="Cambria" w:hAnsi="Cambria"/>
          <w:b/>
          <w:bCs/>
          <w:color w:val="auto"/>
          <w:sz w:val="28"/>
          <w:highlight w:val="none"/>
          <w:lang w:val="zh-CN"/>
        </w:rPr>
      </w:pPr>
      <w:r>
        <w:rPr>
          <w:rFonts w:ascii="Cambria" w:hAnsi="Cambria"/>
          <w:b/>
          <w:bCs/>
          <w:color w:val="auto"/>
          <w:sz w:val="28"/>
          <w:highlight w:val="none"/>
          <w:lang w:val="zh-CN"/>
        </w:rPr>
        <w:t>1</w:t>
      </w:r>
      <w:r>
        <w:rPr>
          <w:rFonts w:hint="eastAsia" w:ascii="Cambria" w:hAnsi="Cambria"/>
          <w:b/>
          <w:bCs/>
          <w:color w:val="auto"/>
          <w:sz w:val="28"/>
          <w:highlight w:val="none"/>
          <w:lang w:val="zh-CN"/>
        </w:rPr>
        <w:t>4</w:t>
      </w:r>
      <w:r>
        <w:rPr>
          <w:rFonts w:ascii="Cambria" w:hAnsi="Cambria"/>
          <w:b/>
          <w:bCs/>
          <w:color w:val="auto"/>
          <w:sz w:val="28"/>
          <w:highlight w:val="none"/>
          <w:lang w:val="zh-CN"/>
        </w:rPr>
        <w:t xml:space="preserve">. </w:t>
      </w:r>
      <w:r>
        <w:rPr>
          <w:rFonts w:hint="eastAsia" w:ascii="Cambria" w:hAnsi="Cambria"/>
          <w:b/>
          <w:bCs/>
          <w:color w:val="auto"/>
          <w:sz w:val="28"/>
          <w:highlight w:val="none"/>
          <w:lang w:val="zh-CN"/>
        </w:rPr>
        <w:t>递交响应文件的地点、截止日期以及变更</w:t>
      </w:r>
      <w:bookmarkEnd w:id="109"/>
      <w:bookmarkEnd w:id="110"/>
      <w:bookmarkEnd w:id="111"/>
      <w:bookmarkEnd w:id="112"/>
    </w:p>
    <w:p>
      <w:pPr>
        <w:autoSpaceDE w:val="0"/>
        <w:autoSpaceDN w:val="0"/>
        <w:adjustRightInd w:val="0"/>
        <w:spacing w:line="360" w:lineRule="auto"/>
        <w:rPr>
          <w:rFonts w:ascii="宋体" w:hAnsi="宋体" w:cs="Calibri"/>
          <w:color w:val="auto"/>
          <w:kern w:val="0"/>
          <w:sz w:val="24"/>
          <w:highlight w:val="none"/>
        </w:rPr>
      </w:pPr>
      <w:r>
        <w:rPr>
          <w:rFonts w:ascii="宋体" w:hAnsi="宋体" w:cs="Calibri"/>
          <w:color w:val="auto"/>
          <w:kern w:val="0"/>
          <w:sz w:val="24"/>
          <w:highlight w:val="none"/>
        </w:rPr>
        <w:t>1</w:t>
      </w:r>
      <w:r>
        <w:rPr>
          <w:rFonts w:hint="eastAsia" w:ascii="宋体" w:hAnsi="宋体" w:cs="Calibri"/>
          <w:color w:val="auto"/>
          <w:kern w:val="0"/>
          <w:sz w:val="24"/>
          <w:highlight w:val="none"/>
        </w:rPr>
        <w:t>4</w:t>
      </w:r>
      <w:r>
        <w:rPr>
          <w:rFonts w:ascii="宋体" w:hAnsi="宋体" w:cs="Calibri"/>
          <w:color w:val="auto"/>
          <w:kern w:val="0"/>
          <w:sz w:val="24"/>
          <w:highlight w:val="none"/>
        </w:rPr>
        <w:t>.1</w:t>
      </w:r>
      <w:r>
        <w:rPr>
          <w:rFonts w:hint="eastAsia" w:ascii="宋体" w:hAnsi="宋体" w:cs="Calibri"/>
          <w:color w:val="auto"/>
          <w:kern w:val="0"/>
          <w:sz w:val="24"/>
          <w:highlight w:val="none"/>
        </w:rPr>
        <w:t>所有响应文件都必须按采购文件规定的递交响应文件截止时间之前送达指定地点。</w:t>
      </w:r>
    </w:p>
    <w:p>
      <w:pPr>
        <w:autoSpaceDE w:val="0"/>
        <w:autoSpaceDN w:val="0"/>
        <w:adjustRightInd w:val="0"/>
        <w:spacing w:line="360" w:lineRule="auto"/>
        <w:rPr>
          <w:rFonts w:ascii="宋体" w:hAnsi="宋体" w:cs="Calibri"/>
          <w:color w:val="auto"/>
          <w:kern w:val="0"/>
          <w:sz w:val="24"/>
          <w:highlight w:val="none"/>
        </w:rPr>
      </w:pPr>
      <w:r>
        <w:rPr>
          <w:rFonts w:ascii="宋体" w:hAnsi="宋体" w:cs="Calibri"/>
          <w:color w:val="auto"/>
          <w:kern w:val="0"/>
          <w:sz w:val="24"/>
          <w:highlight w:val="none"/>
        </w:rPr>
        <w:t>1</w:t>
      </w:r>
      <w:r>
        <w:rPr>
          <w:rFonts w:hint="eastAsia" w:ascii="宋体" w:hAnsi="宋体" w:cs="Calibri"/>
          <w:color w:val="auto"/>
          <w:kern w:val="0"/>
          <w:sz w:val="24"/>
          <w:highlight w:val="none"/>
        </w:rPr>
        <w:t>4</w:t>
      </w:r>
      <w:r>
        <w:rPr>
          <w:rFonts w:ascii="宋体" w:hAnsi="宋体" w:cs="Calibri"/>
          <w:color w:val="auto"/>
          <w:kern w:val="0"/>
          <w:sz w:val="24"/>
          <w:highlight w:val="none"/>
        </w:rPr>
        <w:t>.2</w:t>
      </w:r>
      <w:r>
        <w:rPr>
          <w:rFonts w:hint="eastAsia" w:ascii="宋体" w:hAnsi="宋体" w:cs="Calibri"/>
          <w:color w:val="auto"/>
          <w:kern w:val="0"/>
          <w:sz w:val="24"/>
          <w:highlight w:val="none"/>
        </w:rPr>
        <w:t>采购代理机构将拒绝接受在递交响应文件截止时间之后送达的响应文件。</w:t>
      </w:r>
    </w:p>
    <w:p>
      <w:pPr>
        <w:autoSpaceDE w:val="0"/>
        <w:autoSpaceDN w:val="0"/>
        <w:adjustRightInd w:val="0"/>
        <w:spacing w:line="360" w:lineRule="auto"/>
        <w:ind w:firstLine="480" w:firstLineChars="200"/>
        <w:rPr>
          <w:rFonts w:ascii="宋体" w:hAnsi="宋体" w:cs="Calibri"/>
          <w:color w:val="auto"/>
          <w:kern w:val="0"/>
          <w:sz w:val="24"/>
          <w:highlight w:val="none"/>
        </w:rPr>
      </w:pPr>
      <w:r>
        <w:rPr>
          <w:rFonts w:hint="eastAsia" w:ascii="宋体" w:hAnsi="宋体" w:cs="Calibri"/>
          <w:color w:val="auto"/>
          <w:kern w:val="0"/>
          <w:sz w:val="24"/>
          <w:highlight w:val="none"/>
        </w:rPr>
        <w:t>采购人和采购代理机构可以按照第</w:t>
      </w:r>
      <w:r>
        <w:rPr>
          <w:rFonts w:ascii="宋体" w:hAnsi="宋体" w:cs="Calibri"/>
          <w:color w:val="auto"/>
          <w:kern w:val="0"/>
          <w:sz w:val="24"/>
          <w:highlight w:val="none"/>
        </w:rPr>
        <w:t>6</w:t>
      </w:r>
      <w:r>
        <w:rPr>
          <w:rFonts w:hint="eastAsia" w:ascii="宋体" w:hAnsi="宋体" w:cs="Calibri"/>
          <w:color w:val="auto"/>
          <w:kern w:val="0"/>
          <w:sz w:val="24"/>
          <w:highlight w:val="none"/>
        </w:rPr>
        <w:t>条规定，通过修改采购文件自行决定酌情延长递交响应文件截止期，在此情况下，采购人与采购代理机构和供应商受递交响应文件截止时间制约的所有权利和义务均延长至新的截止日期。</w:t>
      </w:r>
      <w:bookmarkStart w:id="113" w:name="_Toc10730553"/>
      <w:bookmarkStart w:id="114" w:name="_Toc13582313"/>
      <w:bookmarkStart w:id="115" w:name="_Toc3005"/>
    </w:p>
    <w:p>
      <w:pPr>
        <w:autoSpaceDE w:val="0"/>
        <w:autoSpaceDN w:val="0"/>
        <w:adjustRightInd w:val="0"/>
        <w:spacing w:line="360" w:lineRule="auto"/>
        <w:rPr>
          <w:rFonts w:ascii="Cambria" w:hAnsi="Cambria"/>
          <w:b/>
          <w:bCs/>
          <w:color w:val="auto"/>
          <w:sz w:val="28"/>
          <w:highlight w:val="none"/>
          <w:lang w:val="zh-CN"/>
        </w:rPr>
      </w:pPr>
      <w:r>
        <w:rPr>
          <w:rFonts w:ascii="Cambria" w:hAnsi="Cambria"/>
          <w:b/>
          <w:bCs/>
          <w:color w:val="auto"/>
          <w:sz w:val="28"/>
          <w:highlight w:val="none"/>
          <w:lang w:val="zh-CN"/>
        </w:rPr>
        <w:t>1</w:t>
      </w:r>
      <w:r>
        <w:rPr>
          <w:rFonts w:hint="eastAsia" w:ascii="Cambria" w:hAnsi="Cambria"/>
          <w:b/>
          <w:bCs/>
          <w:color w:val="auto"/>
          <w:sz w:val="28"/>
          <w:highlight w:val="none"/>
          <w:lang w:val="zh-CN"/>
        </w:rPr>
        <w:t>5</w:t>
      </w:r>
      <w:r>
        <w:rPr>
          <w:rFonts w:ascii="Cambria" w:hAnsi="Cambria"/>
          <w:b/>
          <w:bCs/>
          <w:color w:val="auto"/>
          <w:sz w:val="28"/>
          <w:highlight w:val="none"/>
          <w:lang w:val="zh-CN"/>
        </w:rPr>
        <w:t xml:space="preserve">. </w:t>
      </w:r>
      <w:r>
        <w:rPr>
          <w:rFonts w:hint="eastAsia" w:ascii="Cambria" w:hAnsi="Cambria"/>
          <w:b/>
          <w:bCs/>
          <w:color w:val="auto"/>
          <w:sz w:val="28"/>
          <w:highlight w:val="none"/>
          <w:lang w:val="zh-CN"/>
        </w:rPr>
        <w:t>响应文件的撤回和修改</w:t>
      </w:r>
      <w:bookmarkEnd w:id="113"/>
      <w:bookmarkEnd w:id="114"/>
      <w:bookmarkEnd w:id="115"/>
    </w:p>
    <w:p>
      <w:pPr>
        <w:autoSpaceDE w:val="0"/>
        <w:autoSpaceDN w:val="0"/>
        <w:adjustRightInd w:val="0"/>
        <w:spacing w:line="360" w:lineRule="auto"/>
        <w:rPr>
          <w:rFonts w:ascii="宋体" w:hAnsi="宋体" w:cs="Calibri"/>
          <w:color w:val="auto"/>
          <w:kern w:val="0"/>
          <w:sz w:val="24"/>
          <w:highlight w:val="none"/>
        </w:rPr>
      </w:pPr>
      <w:r>
        <w:rPr>
          <w:rFonts w:ascii="宋体" w:hAnsi="宋体" w:cs="Calibri"/>
          <w:color w:val="auto"/>
          <w:kern w:val="0"/>
          <w:sz w:val="24"/>
          <w:highlight w:val="none"/>
        </w:rPr>
        <w:t>15.1</w:t>
      </w:r>
      <w:r>
        <w:rPr>
          <w:rFonts w:hint="eastAsia" w:ascii="宋体" w:hAnsi="宋体" w:cs="Calibri"/>
          <w:color w:val="auto"/>
          <w:kern w:val="0"/>
          <w:sz w:val="24"/>
          <w:highlight w:val="none"/>
        </w:rPr>
        <w:t>允许供应商在提交其响应文件前进行补充、修改或者撤回（须以书面形式通知采购代理机构），补充、修改的内容应当按照采购询比文件要求签署、盖章、密封后，作为响应文件的组成部分，提交响应文件后不得补充、修改或者撤回其响应文件。</w:t>
      </w:r>
      <w:bookmarkStart w:id="116" w:name="_Toc10730554"/>
      <w:bookmarkStart w:id="117" w:name="_Toc13582314"/>
      <w:bookmarkStart w:id="118" w:name="_Toc5070"/>
    </w:p>
    <w:p>
      <w:pPr>
        <w:autoSpaceDE w:val="0"/>
        <w:autoSpaceDN w:val="0"/>
        <w:adjustRightInd w:val="0"/>
        <w:spacing w:line="360" w:lineRule="auto"/>
        <w:jc w:val="center"/>
        <w:rPr>
          <w:rFonts w:ascii="宋体" w:hAnsi="宋体" w:cs="Calibri"/>
          <w:color w:val="auto"/>
          <w:kern w:val="0"/>
          <w:sz w:val="24"/>
          <w:highlight w:val="none"/>
        </w:rPr>
      </w:pPr>
      <w:r>
        <w:rPr>
          <w:rFonts w:hint="eastAsia" w:ascii="Cambria" w:hAnsi="Cambria"/>
          <w:b/>
          <w:bCs/>
          <w:color w:val="auto"/>
          <w:sz w:val="36"/>
          <w:szCs w:val="32"/>
          <w:highlight w:val="none"/>
          <w:lang w:val="zh-CN"/>
        </w:rPr>
        <w:t>五、询比采购程序及方法</w:t>
      </w:r>
      <w:bookmarkEnd w:id="116"/>
      <w:bookmarkEnd w:id="117"/>
      <w:bookmarkEnd w:id="118"/>
    </w:p>
    <w:p>
      <w:pPr>
        <w:pStyle w:val="35"/>
        <w:jc w:val="both"/>
        <w:rPr>
          <w:rFonts w:ascii="宋体" w:hAnsi="宋体"/>
          <w:color w:val="auto"/>
          <w:sz w:val="32"/>
          <w:highlight w:val="none"/>
          <w:lang w:val="zh-CN"/>
        </w:rPr>
      </w:pPr>
      <w:bookmarkStart w:id="119" w:name="_Toc13582315"/>
      <w:bookmarkStart w:id="120" w:name="_Toc10730555"/>
      <w:bookmarkStart w:id="121" w:name="_Toc22033"/>
      <w:bookmarkStart w:id="122" w:name="_Toc23575"/>
      <w:bookmarkStart w:id="123" w:name="_Toc2537"/>
      <w:bookmarkStart w:id="124" w:name="_Toc14613"/>
      <w:bookmarkStart w:id="125" w:name="_Toc17037"/>
      <w:r>
        <w:rPr>
          <w:rFonts w:hint="eastAsia" w:ascii="宋体" w:hAnsi="宋体"/>
          <w:color w:val="auto"/>
          <w:sz w:val="28"/>
          <w:highlight w:val="none"/>
          <w:lang w:val="zh-CN"/>
        </w:rPr>
        <w:t>16.开启响应文件</w:t>
      </w:r>
      <w:bookmarkEnd w:id="119"/>
      <w:bookmarkEnd w:id="120"/>
      <w:bookmarkEnd w:id="121"/>
      <w:bookmarkEnd w:id="122"/>
      <w:bookmarkEnd w:id="123"/>
      <w:bookmarkEnd w:id="124"/>
      <w:bookmarkEnd w:id="125"/>
    </w:p>
    <w:p>
      <w:pPr>
        <w:autoSpaceDE w:val="0"/>
        <w:autoSpaceDN w:val="0"/>
        <w:adjustRightInd w:val="0"/>
        <w:spacing w:line="360" w:lineRule="auto"/>
        <w:rPr>
          <w:rFonts w:ascii="宋体" w:hAnsi="宋体" w:cs="Calibri"/>
          <w:color w:val="auto"/>
          <w:kern w:val="0"/>
          <w:sz w:val="24"/>
          <w:highlight w:val="none"/>
        </w:rPr>
      </w:pPr>
      <w:r>
        <w:rPr>
          <w:rFonts w:hint="eastAsia" w:ascii="宋体" w:hAnsi="宋体" w:cs="Calibri"/>
          <w:color w:val="auto"/>
          <w:kern w:val="0"/>
          <w:sz w:val="24"/>
          <w:highlight w:val="none"/>
        </w:rPr>
        <w:t>16.1采购代理机构应在采购文件确定的提交响应文件截止时间的同一时间和预先确定的开启会议地点公开组织开启响应文件会议，并所有供应商的法定代表人或其授权代表参加，未派代表参加的供应商，视同认可开启会议结果。</w:t>
      </w:r>
    </w:p>
    <w:p>
      <w:pPr>
        <w:autoSpaceDE w:val="0"/>
        <w:autoSpaceDN w:val="0"/>
        <w:adjustRightInd w:val="0"/>
        <w:spacing w:line="360" w:lineRule="auto"/>
        <w:rPr>
          <w:rFonts w:ascii="宋体" w:hAnsi="宋体" w:cs="Calibri"/>
          <w:color w:val="auto"/>
          <w:kern w:val="0"/>
          <w:sz w:val="24"/>
          <w:highlight w:val="none"/>
        </w:rPr>
      </w:pPr>
      <w:r>
        <w:rPr>
          <w:rFonts w:hint="eastAsia" w:ascii="宋体" w:hAnsi="宋体" w:cs="Calibri"/>
          <w:color w:val="auto"/>
          <w:kern w:val="0"/>
          <w:sz w:val="24"/>
          <w:highlight w:val="none"/>
        </w:rPr>
        <w:t>16.2在询比响应截止时间之前，采购代理机构应妥善完成各项必要的开启会议准备工作：</w:t>
      </w:r>
    </w:p>
    <w:p>
      <w:pPr>
        <w:autoSpaceDE w:val="0"/>
        <w:autoSpaceDN w:val="0"/>
        <w:adjustRightInd w:val="0"/>
        <w:spacing w:line="360" w:lineRule="auto"/>
        <w:rPr>
          <w:rFonts w:ascii="宋体" w:hAnsi="宋体" w:cs="Calibri"/>
          <w:color w:val="auto"/>
          <w:kern w:val="0"/>
          <w:sz w:val="24"/>
          <w:highlight w:val="none"/>
        </w:rPr>
      </w:pPr>
      <w:r>
        <w:rPr>
          <w:rFonts w:hint="eastAsia" w:ascii="宋体" w:hAnsi="宋体" w:cs="Calibri"/>
          <w:color w:val="auto"/>
          <w:kern w:val="0"/>
          <w:sz w:val="24"/>
          <w:highlight w:val="none"/>
        </w:rPr>
        <w:t>（1）开启会议现场条件。包括预定和布置开启会议会议室、准备和调试开启会议需要的演示、录音录像等各类设备设施；</w:t>
      </w:r>
    </w:p>
    <w:p>
      <w:pPr>
        <w:autoSpaceDE w:val="0"/>
        <w:autoSpaceDN w:val="0"/>
        <w:adjustRightInd w:val="0"/>
        <w:spacing w:line="360" w:lineRule="auto"/>
        <w:rPr>
          <w:rFonts w:ascii="宋体" w:hAnsi="宋体" w:cs="Calibri"/>
          <w:color w:val="auto"/>
          <w:kern w:val="0"/>
          <w:sz w:val="24"/>
          <w:highlight w:val="none"/>
        </w:rPr>
      </w:pPr>
      <w:r>
        <w:rPr>
          <w:rFonts w:hint="eastAsia" w:ascii="宋体" w:hAnsi="宋体" w:cs="Calibri"/>
          <w:color w:val="auto"/>
          <w:kern w:val="0"/>
          <w:sz w:val="24"/>
          <w:highlight w:val="none"/>
        </w:rPr>
        <w:t>（2）开启会议资料，包括会议议程、开启会议记录表、已接收响应文件、采购文件及其澄清和修改等；</w:t>
      </w:r>
    </w:p>
    <w:p>
      <w:pPr>
        <w:autoSpaceDE w:val="0"/>
        <w:autoSpaceDN w:val="0"/>
        <w:adjustRightInd w:val="0"/>
        <w:spacing w:line="360" w:lineRule="auto"/>
        <w:rPr>
          <w:rFonts w:ascii="宋体" w:hAnsi="宋体" w:cs="Calibri"/>
          <w:color w:val="auto"/>
          <w:kern w:val="0"/>
          <w:sz w:val="24"/>
          <w:highlight w:val="none"/>
        </w:rPr>
      </w:pPr>
      <w:r>
        <w:rPr>
          <w:rFonts w:hint="eastAsia" w:ascii="宋体" w:hAnsi="宋体" w:cs="Calibri"/>
          <w:color w:val="auto"/>
          <w:kern w:val="0"/>
          <w:sz w:val="24"/>
          <w:highlight w:val="none"/>
        </w:rPr>
        <w:t>（3）开启会议工作人员，包括开启开启会议主持人、宣读人、记录人、监督人及其他辅助工作人员等。</w:t>
      </w:r>
    </w:p>
    <w:p>
      <w:pPr>
        <w:autoSpaceDE w:val="0"/>
        <w:autoSpaceDN w:val="0"/>
        <w:adjustRightInd w:val="0"/>
        <w:spacing w:line="360" w:lineRule="auto"/>
        <w:rPr>
          <w:rFonts w:ascii="宋体" w:hAnsi="宋体" w:cs="Calibri"/>
          <w:color w:val="auto"/>
          <w:kern w:val="0"/>
          <w:sz w:val="24"/>
          <w:highlight w:val="none"/>
        </w:rPr>
      </w:pPr>
      <w:r>
        <w:rPr>
          <w:rFonts w:hint="eastAsia" w:ascii="宋体" w:hAnsi="宋体" w:cs="Calibri"/>
          <w:color w:val="auto"/>
          <w:kern w:val="0"/>
          <w:sz w:val="24"/>
          <w:highlight w:val="none"/>
        </w:rPr>
        <w:t>16.3采购代理机构应按照采购文件规定的程序组织开启响应文件会议，开启会议程序一般如下：</w:t>
      </w:r>
    </w:p>
    <w:p>
      <w:pPr>
        <w:autoSpaceDE w:val="0"/>
        <w:autoSpaceDN w:val="0"/>
        <w:adjustRightInd w:val="0"/>
        <w:spacing w:line="360" w:lineRule="auto"/>
        <w:rPr>
          <w:rFonts w:ascii="宋体" w:hAnsi="宋体" w:cs="Calibri"/>
          <w:color w:val="auto"/>
          <w:kern w:val="0"/>
          <w:sz w:val="24"/>
          <w:highlight w:val="none"/>
        </w:rPr>
      </w:pPr>
      <w:r>
        <w:rPr>
          <w:rFonts w:hint="eastAsia" w:ascii="宋体" w:hAnsi="宋体" w:cs="Calibri"/>
          <w:color w:val="auto"/>
          <w:kern w:val="0"/>
          <w:sz w:val="24"/>
          <w:highlight w:val="none"/>
        </w:rPr>
        <w:t>（1）宣布开启会议纪律；</w:t>
      </w:r>
    </w:p>
    <w:p>
      <w:pPr>
        <w:autoSpaceDE w:val="0"/>
        <w:autoSpaceDN w:val="0"/>
        <w:adjustRightInd w:val="0"/>
        <w:spacing w:line="360" w:lineRule="auto"/>
        <w:rPr>
          <w:rFonts w:ascii="宋体" w:hAnsi="宋体" w:cs="Calibri"/>
          <w:color w:val="auto"/>
          <w:kern w:val="0"/>
          <w:sz w:val="24"/>
          <w:highlight w:val="none"/>
        </w:rPr>
      </w:pPr>
      <w:r>
        <w:rPr>
          <w:rFonts w:hint="eastAsia" w:ascii="宋体" w:hAnsi="宋体" w:cs="Calibri"/>
          <w:color w:val="auto"/>
          <w:kern w:val="0"/>
          <w:sz w:val="24"/>
          <w:highlight w:val="none"/>
        </w:rPr>
        <w:t>（2）宣布参加开启会议的工作人员姓名；</w:t>
      </w:r>
    </w:p>
    <w:p>
      <w:pPr>
        <w:autoSpaceDE w:val="0"/>
        <w:autoSpaceDN w:val="0"/>
        <w:adjustRightInd w:val="0"/>
        <w:spacing w:line="360" w:lineRule="auto"/>
        <w:rPr>
          <w:rFonts w:ascii="宋体" w:hAnsi="宋体" w:cs="Calibri"/>
          <w:color w:val="auto"/>
          <w:kern w:val="0"/>
          <w:sz w:val="24"/>
          <w:highlight w:val="none"/>
        </w:rPr>
      </w:pPr>
      <w:r>
        <w:rPr>
          <w:rFonts w:hint="eastAsia" w:ascii="宋体" w:hAnsi="宋体" w:cs="Calibri"/>
          <w:color w:val="auto"/>
          <w:kern w:val="0"/>
          <w:sz w:val="24"/>
          <w:highlight w:val="none"/>
        </w:rPr>
        <w:t>（3）供应商代表检查响应文件的密封情况；</w:t>
      </w:r>
    </w:p>
    <w:p>
      <w:pPr>
        <w:autoSpaceDE w:val="0"/>
        <w:autoSpaceDN w:val="0"/>
        <w:adjustRightInd w:val="0"/>
        <w:spacing w:line="360" w:lineRule="auto"/>
        <w:rPr>
          <w:rFonts w:ascii="宋体" w:hAnsi="宋体" w:cs="Calibri"/>
          <w:color w:val="auto"/>
          <w:kern w:val="0"/>
          <w:sz w:val="24"/>
          <w:highlight w:val="none"/>
        </w:rPr>
      </w:pPr>
      <w:r>
        <w:rPr>
          <w:rFonts w:hint="eastAsia" w:ascii="宋体" w:hAnsi="宋体" w:cs="Calibri"/>
          <w:color w:val="auto"/>
          <w:kern w:val="0"/>
          <w:sz w:val="24"/>
          <w:highlight w:val="none"/>
        </w:rPr>
        <w:t>（4）工作人员按约定顺序开启响应文件，并宣读供应商名称以及响应报价等响应文件的其他主要内容，供应商代表当场确认，并记录在案；</w:t>
      </w:r>
    </w:p>
    <w:p>
      <w:pPr>
        <w:autoSpaceDE w:val="0"/>
        <w:autoSpaceDN w:val="0"/>
        <w:adjustRightInd w:val="0"/>
        <w:spacing w:line="360" w:lineRule="auto"/>
        <w:rPr>
          <w:rFonts w:ascii="宋体" w:hAnsi="宋体" w:cs="Calibri"/>
          <w:color w:val="auto"/>
          <w:kern w:val="0"/>
          <w:sz w:val="24"/>
          <w:highlight w:val="none"/>
        </w:rPr>
      </w:pPr>
      <w:r>
        <w:rPr>
          <w:rFonts w:hint="eastAsia" w:ascii="宋体" w:hAnsi="宋体" w:cs="Calibri"/>
          <w:color w:val="auto"/>
          <w:kern w:val="0"/>
          <w:sz w:val="24"/>
          <w:highlight w:val="none"/>
        </w:rPr>
        <w:t>（5）供应商代表及相关工作人员等在响应文件开启记录上签字确认；</w:t>
      </w:r>
    </w:p>
    <w:p>
      <w:pPr>
        <w:autoSpaceDE w:val="0"/>
        <w:autoSpaceDN w:val="0"/>
        <w:adjustRightInd w:val="0"/>
        <w:spacing w:line="360" w:lineRule="auto"/>
        <w:rPr>
          <w:rFonts w:ascii="宋体" w:hAnsi="宋体" w:cs="Calibri"/>
          <w:color w:val="auto"/>
          <w:kern w:val="0"/>
          <w:sz w:val="24"/>
          <w:highlight w:val="none"/>
        </w:rPr>
      </w:pPr>
      <w:r>
        <w:rPr>
          <w:rFonts w:hint="eastAsia" w:ascii="宋体" w:hAnsi="宋体" w:cs="Calibri"/>
          <w:color w:val="auto"/>
          <w:kern w:val="0"/>
          <w:sz w:val="24"/>
          <w:highlight w:val="none"/>
        </w:rPr>
        <w:t>（6）宣布有关注意事项；</w:t>
      </w:r>
    </w:p>
    <w:p>
      <w:pPr>
        <w:autoSpaceDE w:val="0"/>
        <w:autoSpaceDN w:val="0"/>
        <w:adjustRightInd w:val="0"/>
        <w:spacing w:line="360" w:lineRule="auto"/>
        <w:rPr>
          <w:rFonts w:ascii="宋体" w:hAnsi="宋体" w:cs="Calibri"/>
          <w:color w:val="auto"/>
          <w:kern w:val="0"/>
          <w:sz w:val="24"/>
          <w:highlight w:val="none"/>
        </w:rPr>
      </w:pPr>
      <w:r>
        <w:rPr>
          <w:rFonts w:hint="eastAsia" w:ascii="宋体" w:hAnsi="宋体" w:cs="Calibri"/>
          <w:color w:val="auto"/>
          <w:kern w:val="0"/>
          <w:sz w:val="24"/>
          <w:highlight w:val="none"/>
        </w:rPr>
        <w:t>（7）开启会议结束。</w:t>
      </w:r>
      <w:bookmarkStart w:id="126" w:name="_Toc10730556"/>
      <w:bookmarkStart w:id="127" w:name="_Toc13582316"/>
      <w:bookmarkStart w:id="128" w:name="_Toc3095"/>
    </w:p>
    <w:p>
      <w:pPr>
        <w:autoSpaceDE w:val="0"/>
        <w:autoSpaceDN w:val="0"/>
        <w:adjustRightInd w:val="0"/>
        <w:spacing w:line="360" w:lineRule="auto"/>
        <w:rPr>
          <w:rFonts w:ascii="Cambria" w:hAnsi="Cambria"/>
          <w:b/>
          <w:bCs/>
          <w:color w:val="auto"/>
          <w:sz w:val="28"/>
          <w:highlight w:val="none"/>
          <w:lang w:val="zh-CN"/>
        </w:rPr>
      </w:pPr>
      <w:r>
        <w:rPr>
          <w:rFonts w:ascii="Cambria" w:hAnsi="Cambria"/>
          <w:b/>
          <w:bCs/>
          <w:color w:val="auto"/>
          <w:sz w:val="28"/>
          <w:highlight w:val="none"/>
          <w:lang w:val="zh-CN"/>
        </w:rPr>
        <w:t>1</w:t>
      </w:r>
      <w:r>
        <w:rPr>
          <w:rFonts w:hint="eastAsia" w:ascii="Cambria" w:hAnsi="Cambria"/>
          <w:b/>
          <w:bCs/>
          <w:color w:val="auto"/>
          <w:sz w:val="28"/>
          <w:highlight w:val="none"/>
          <w:lang w:val="zh-CN"/>
        </w:rPr>
        <w:t>7</w:t>
      </w:r>
      <w:r>
        <w:rPr>
          <w:rFonts w:ascii="Cambria" w:hAnsi="Cambria"/>
          <w:b/>
          <w:bCs/>
          <w:color w:val="auto"/>
          <w:sz w:val="28"/>
          <w:highlight w:val="none"/>
          <w:lang w:val="zh-CN"/>
        </w:rPr>
        <w:t>.</w:t>
      </w:r>
      <w:r>
        <w:rPr>
          <w:rFonts w:hint="eastAsia" w:ascii="Cambria" w:hAnsi="Cambria"/>
          <w:b/>
          <w:bCs/>
          <w:color w:val="auto"/>
          <w:sz w:val="28"/>
          <w:highlight w:val="none"/>
          <w:lang w:val="zh-CN"/>
        </w:rPr>
        <w:t>组建评审小组</w:t>
      </w:r>
      <w:bookmarkEnd w:id="126"/>
      <w:bookmarkEnd w:id="127"/>
      <w:bookmarkEnd w:id="128"/>
    </w:p>
    <w:p>
      <w:pPr>
        <w:autoSpaceDE w:val="0"/>
        <w:autoSpaceDN w:val="0"/>
        <w:adjustRightInd w:val="0"/>
        <w:spacing w:line="360" w:lineRule="auto"/>
        <w:rPr>
          <w:rFonts w:ascii="宋体" w:hAnsi="宋体" w:cs="Calibri"/>
          <w:color w:val="auto"/>
          <w:kern w:val="0"/>
          <w:sz w:val="24"/>
          <w:highlight w:val="none"/>
        </w:rPr>
      </w:pPr>
      <w:r>
        <w:rPr>
          <w:rFonts w:ascii="宋体" w:hAnsi="宋体" w:cs="Calibri"/>
          <w:color w:val="auto"/>
          <w:kern w:val="0"/>
          <w:sz w:val="24"/>
          <w:highlight w:val="none"/>
        </w:rPr>
        <w:t>1</w:t>
      </w:r>
      <w:r>
        <w:rPr>
          <w:rFonts w:hint="eastAsia" w:ascii="宋体" w:hAnsi="宋体" w:cs="Calibri"/>
          <w:color w:val="auto"/>
          <w:kern w:val="0"/>
          <w:sz w:val="24"/>
          <w:highlight w:val="none"/>
        </w:rPr>
        <w:t>7</w:t>
      </w:r>
      <w:r>
        <w:rPr>
          <w:rFonts w:ascii="宋体" w:hAnsi="宋体" w:cs="Calibri"/>
          <w:color w:val="auto"/>
          <w:kern w:val="0"/>
          <w:sz w:val="24"/>
          <w:highlight w:val="none"/>
        </w:rPr>
        <w:t xml:space="preserve">.1 </w:t>
      </w:r>
      <w:r>
        <w:rPr>
          <w:rFonts w:hint="eastAsia" w:ascii="宋体" w:hAnsi="宋体" w:cs="Calibri"/>
          <w:color w:val="auto"/>
          <w:kern w:val="0"/>
          <w:sz w:val="24"/>
          <w:highlight w:val="none"/>
        </w:rPr>
        <w:t>采购代理机构应协助采购人组建评审小组。评审小组一般为三人以上单数，由采购人和（或）采购代理机构的商务和技术人员组成。也可由采购人聘请外部专家参加谈判小组。</w:t>
      </w:r>
    </w:p>
    <w:p>
      <w:pPr>
        <w:autoSpaceDE w:val="0"/>
        <w:autoSpaceDN w:val="0"/>
        <w:adjustRightInd w:val="0"/>
        <w:spacing w:line="360" w:lineRule="auto"/>
        <w:rPr>
          <w:rFonts w:ascii="宋体" w:hAnsi="宋体" w:cs="Calibri"/>
          <w:color w:val="auto"/>
          <w:kern w:val="0"/>
          <w:sz w:val="24"/>
          <w:highlight w:val="none"/>
        </w:rPr>
      </w:pPr>
      <w:r>
        <w:rPr>
          <w:rFonts w:hint="eastAsia" w:ascii="宋体" w:hAnsi="宋体" w:cs="Calibri"/>
          <w:color w:val="auto"/>
          <w:kern w:val="0"/>
          <w:sz w:val="24"/>
          <w:highlight w:val="none"/>
        </w:rPr>
        <w:t xml:space="preserve">    外聘专家（具有一定专业水平的技术、经济等方面的专家）参加谈判小组的，可由采购人或采购代理机构直接确定，也可在政府有关部门、采购人、采购代理机构或其他机构建立的专家库中选取。</w:t>
      </w:r>
    </w:p>
    <w:p>
      <w:pPr>
        <w:autoSpaceDE w:val="0"/>
        <w:autoSpaceDN w:val="0"/>
        <w:adjustRightInd w:val="0"/>
        <w:spacing w:line="360" w:lineRule="auto"/>
        <w:ind w:firstLine="480" w:firstLineChars="200"/>
        <w:rPr>
          <w:rFonts w:ascii="宋体" w:hAnsi="宋体" w:cs="Calibri"/>
          <w:color w:val="auto"/>
          <w:kern w:val="0"/>
          <w:sz w:val="24"/>
          <w:highlight w:val="none"/>
        </w:rPr>
      </w:pPr>
      <w:r>
        <w:rPr>
          <w:rFonts w:hint="eastAsia" w:ascii="宋体" w:hAnsi="宋体" w:cs="Calibri"/>
          <w:color w:val="auto"/>
          <w:kern w:val="0"/>
          <w:sz w:val="24"/>
          <w:highlight w:val="none"/>
        </w:rPr>
        <w:t>专家报到后，采购代理机构应核实基本身份信息，存在专家缺席、身份不符或应回避情形的，采购代理机构应及时通知采购人并提出应对的解决方案。</w:t>
      </w:r>
    </w:p>
    <w:p>
      <w:pPr>
        <w:autoSpaceDE w:val="0"/>
        <w:autoSpaceDN w:val="0"/>
        <w:adjustRightInd w:val="0"/>
        <w:spacing w:line="360" w:lineRule="auto"/>
        <w:ind w:firstLine="480" w:firstLineChars="200"/>
        <w:rPr>
          <w:rFonts w:ascii="宋体" w:hAnsi="宋体" w:cs="Calibri"/>
          <w:color w:val="auto"/>
          <w:kern w:val="0"/>
          <w:sz w:val="24"/>
          <w:highlight w:val="none"/>
        </w:rPr>
      </w:pPr>
      <w:r>
        <w:rPr>
          <w:rFonts w:hint="eastAsia" w:ascii="宋体" w:hAnsi="宋体" w:cs="Calibri"/>
          <w:color w:val="auto"/>
          <w:kern w:val="0"/>
          <w:sz w:val="24"/>
          <w:highlight w:val="none"/>
        </w:rPr>
        <w:t>在确定成交结果之前，采购代理机构对评审小组成员名单予以保密。</w:t>
      </w:r>
    </w:p>
    <w:p>
      <w:pPr>
        <w:autoSpaceDE w:val="0"/>
        <w:autoSpaceDN w:val="0"/>
        <w:adjustRightInd w:val="0"/>
        <w:spacing w:line="360" w:lineRule="auto"/>
        <w:rPr>
          <w:rFonts w:ascii="宋体" w:hAnsi="宋体" w:cs="Calibri"/>
          <w:color w:val="auto"/>
          <w:kern w:val="0"/>
          <w:sz w:val="24"/>
          <w:highlight w:val="none"/>
        </w:rPr>
      </w:pPr>
      <w:r>
        <w:rPr>
          <w:rFonts w:ascii="宋体" w:hAnsi="宋体" w:cs="Calibri"/>
          <w:color w:val="auto"/>
          <w:kern w:val="0"/>
          <w:sz w:val="24"/>
          <w:highlight w:val="none"/>
        </w:rPr>
        <w:t>1</w:t>
      </w:r>
      <w:r>
        <w:rPr>
          <w:rFonts w:hint="eastAsia" w:ascii="宋体" w:hAnsi="宋体" w:cs="Calibri"/>
          <w:color w:val="auto"/>
          <w:kern w:val="0"/>
          <w:sz w:val="24"/>
          <w:highlight w:val="none"/>
        </w:rPr>
        <w:t>7</w:t>
      </w:r>
      <w:r>
        <w:rPr>
          <w:rFonts w:ascii="宋体" w:hAnsi="宋体" w:cs="Calibri"/>
          <w:color w:val="auto"/>
          <w:kern w:val="0"/>
          <w:sz w:val="24"/>
          <w:highlight w:val="none"/>
        </w:rPr>
        <w:t>.2</w:t>
      </w:r>
      <w:r>
        <w:rPr>
          <w:rFonts w:hint="eastAsia" w:ascii="宋体" w:hAnsi="宋体" w:cs="Calibri"/>
          <w:color w:val="auto"/>
          <w:kern w:val="0"/>
          <w:sz w:val="24"/>
          <w:highlight w:val="none"/>
        </w:rPr>
        <w:t>评审由采购代理机构负责组织，具体评审事务由依法组建的评审小组负责，并独立履行下列职责：</w:t>
      </w:r>
    </w:p>
    <w:p>
      <w:pPr>
        <w:autoSpaceDE w:val="0"/>
        <w:autoSpaceDN w:val="0"/>
        <w:adjustRightInd w:val="0"/>
        <w:spacing w:line="360" w:lineRule="auto"/>
        <w:rPr>
          <w:rFonts w:ascii="宋体" w:hAnsi="宋体" w:cs="Calibri"/>
          <w:color w:val="auto"/>
          <w:kern w:val="0"/>
          <w:sz w:val="24"/>
          <w:highlight w:val="none"/>
        </w:rPr>
      </w:pPr>
      <w:r>
        <w:rPr>
          <w:rFonts w:hint="eastAsia" w:ascii="宋体" w:hAnsi="宋体" w:cs="Calibri"/>
          <w:color w:val="auto"/>
          <w:kern w:val="0"/>
          <w:sz w:val="24"/>
          <w:highlight w:val="none"/>
        </w:rPr>
        <w:t>（</w:t>
      </w:r>
      <w:r>
        <w:rPr>
          <w:rFonts w:ascii="宋体" w:hAnsi="宋体" w:cs="Calibri"/>
          <w:color w:val="auto"/>
          <w:kern w:val="0"/>
          <w:sz w:val="24"/>
          <w:highlight w:val="none"/>
        </w:rPr>
        <w:t>1</w:t>
      </w:r>
      <w:r>
        <w:rPr>
          <w:rFonts w:hint="eastAsia" w:ascii="宋体" w:hAnsi="宋体" w:cs="Calibri"/>
          <w:color w:val="auto"/>
          <w:kern w:val="0"/>
          <w:sz w:val="24"/>
          <w:highlight w:val="none"/>
        </w:rPr>
        <w:t>）审查响应文件是否符合询比文件要求，并作出评价；</w:t>
      </w:r>
    </w:p>
    <w:p>
      <w:pPr>
        <w:autoSpaceDE w:val="0"/>
        <w:autoSpaceDN w:val="0"/>
        <w:adjustRightInd w:val="0"/>
        <w:spacing w:line="360" w:lineRule="auto"/>
        <w:rPr>
          <w:rFonts w:ascii="宋体" w:hAnsi="宋体" w:cs="Calibri"/>
          <w:color w:val="auto"/>
          <w:kern w:val="0"/>
          <w:sz w:val="24"/>
          <w:highlight w:val="none"/>
        </w:rPr>
      </w:pPr>
      <w:r>
        <w:rPr>
          <w:rFonts w:hint="eastAsia" w:ascii="宋体" w:hAnsi="宋体" w:cs="Calibri"/>
          <w:color w:val="auto"/>
          <w:kern w:val="0"/>
          <w:sz w:val="24"/>
          <w:highlight w:val="none"/>
        </w:rPr>
        <w:t>（</w:t>
      </w:r>
      <w:r>
        <w:rPr>
          <w:rFonts w:ascii="宋体" w:hAnsi="宋体" w:cs="Calibri"/>
          <w:color w:val="auto"/>
          <w:kern w:val="0"/>
          <w:sz w:val="24"/>
          <w:highlight w:val="none"/>
        </w:rPr>
        <w:t>2</w:t>
      </w:r>
      <w:r>
        <w:rPr>
          <w:rFonts w:hint="eastAsia" w:ascii="宋体" w:hAnsi="宋体" w:cs="Calibri"/>
          <w:color w:val="auto"/>
          <w:kern w:val="0"/>
          <w:sz w:val="24"/>
          <w:highlight w:val="none"/>
        </w:rPr>
        <w:t>）要求供应商对响应文件有关事项作出解释或澄清；</w:t>
      </w:r>
    </w:p>
    <w:p>
      <w:pPr>
        <w:autoSpaceDE w:val="0"/>
        <w:autoSpaceDN w:val="0"/>
        <w:adjustRightInd w:val="0"/>
        <w:spacing w:line="360" w:lineRule="auto"/>
        <w:rPr>
          <w:rFonts w:ascii="宋体" w:hAnsi="宋体" w:cs="Calibri"/>
          <w:color w:val="auto"/>
          <w:kern w:val="0"/>
          <w:sz w:val="24"/>
          <w:highlight w:val="none"/>
        </w:rPr>
      </w:pPr>
      <w:r>
        <w:rPr>
          <w:rFonts w:hint="eastAsia" w:ascii="宋体" w:hAnsi="宋体" w:cs="Calibri"/>
          <w:color w:val="auto"/>
          <w:kern w:val="0"/>
          <w:sz w:val="24"/>
          <w:highlight w:val="none"/>
        </w:rPr>
        <w:t>（</w:t>
      </w:r>
      <w:r>
        <w:rPr>
          <w:rFonts w:ascii="宋体" w:hAnsi="宋体" w:cs="Calibri"/>
          <w:color w:val="auto"/>
          <w:kern w:val="0"/>
          <w:sz w:val="24"/>
          <w:highlight w:val="none"/>
        </w:rPr>
        <w:t>3</w:t>
      </w:r>
      <w:r>
        <w:rPr>
          <w:rFonts w:hint="eastAsia" w:ascii="宋体" w:hAnsi="宋体" w:cs="Calibri"/>
          <w:color w:val="auto"/>
          <w:kern w:val="0"/>
          <w:sz w:val="24"/>
          <w:highlight w:val="none"/>
        </w:rPr>
        <w:t>）推荐预成交候选人；</w:t>
      </w:r>
    </w:p>
    <w:p>
      <w:pPr>
        <w:autoSpaceDE w:val="0"/>
        <w:autoSpaceDN w:val="0"/>
        <w:adjustRightInd w:val="0"/>
        <w:spacing w:line="360" w:lineRule="auto"/>
        <w:rPr>
          <w:rFonts w:ascii="宋体" w:hAnsi="宋体" w:cs="Calibri"/>
          <w:color w:val="auto"/>
          <w:kern w:val="0"/>
          <w:sz w:val="24"/>
          <w:highlight w:val="none"/>
        </w:rPr>
      </w:pPr>
      <w:r>
        <w:rPr>
          <w:rFonts w:hint="eastAsia" w:ascii="宋体" w:hAnsi="宋体" w:cs="Calibri"/>
          <w:color w:val="auto"/>
          <w:kern w:val="0"/>
          <w:sz w:val="24"/>
          <w:highlight w:val="none"/>
        </w:rPr>
        <w:t>（</w:t>
      </w:r>
      <w:r>
        <w:rPr>
          <w:rFonts w:ascii="宋体" w:hAnsi="宋体" w:cs="Calibri"/>
          <w:color w:val="auto"/>
          <w:kern w:val="0"/>
          <w:sz w:val="24"/>
          <w:highlight w:val="none"/>
        </w:rPr>
        <w:t>4</w:t>
      </w:r>
      <w:r>
        <w:rPr>
          <w:rFonts w:hint="eastAsia" w:ascii="宋体" w:hAnsi="宋体" w:cs="Calibri"/>
          <w:color w:val="auto"/>
          <w:kern w:val="0"/>
          <w:sz w:val="24"/>
          <w:highlight w:val="none"/>
        </w:rPr>
        <w:t>）对非法干预评审工作的人员和机构进行举报或投诉。</w:t>
      </w:r>
    </w:p>
    <w:p>
      <w:pPr>
        <w:autoSpaceDE w:val="0"/>
        <w:autoSpaceDN w:val="0"/>
        <w:adjustRightInd w:val="0"/>
        <w:spacing w:line="360" w:lineRule="auto"/>
        <w:rPr>
          <w:rFonts w:ascii="宋体" w:hAnsi="宋体" w:cs="Calibri"/>
          <w:color w:val="auto"/>
          <w:kern w:val="0"/>
          <w:sz w:val="24"/>
          <w:highlight w:val="none"/>
        </w:rPr>
      </w:pPr>
      <w:r>
        <w:rPr>
          <w:rFonts w:ascii="宋体" w:hAnsi="宋体" w:cs="Calibri"/>
          <w:color w:val="auto"/>
          <w:kern w:val="0"/>
          <w:sz w:val="24"/>
          <w:highlight w:val="none"/>
        </w:rPr>
        <w:t>1</w:t>
      </w:r>
      <w:r>
        <w:rPr>
          <w:rFonts w:hint="eastAsia" w:ascii="宋体" w:hAnsi="宋体" w:cs="Calibri"/>
          <w:color w:val="auto"/>
          <w:kern w:val="0"/>
          <w:sz w:val="24"/>
          <w:highlight w:val="none"/>
        </w:rPr>
        <w:t>7</w:t>
      </w:r>
      <w:r>
        <w:rPr>
          <w:rFonts w:ascii="宋体" w:hAnsi="宋体" w:cs="Calibri"/>
          <w:color w:val="auto"/>
          <w:kern w:val="0"/>
          <w:sz w:val="24"/>
          <w:highlight w:val="none"/>
        </w:rPr>
        <w:t>.3</w:t>
      </w:r>
      <w:r>
        <w:rPr>
          <w:rFonts w:hint="eastAsia" w:ascii="宋体" w:hAnsi="宋体" w:cs="Calibri"/>
          <w:color w:val="auto"/>
          <w:kern w:val="0"/>
          <w:sz w:val="24"/>
          <w:highlight w:val="none"/>
        </w:rPr>
        <w:t>评审小组应遵守并履行下列义务：</w:t>
      </w:r>
    </w:p>
    <w:p>
      <w:pPr>
        <w:autoSpaceDE w:val="0"/>
        <w:autoSpaceDN w:val="0"/>
        <w:adjustRightInd w:val="0"/>
        <w:spacing w:line="360" w:lineRule="auto"/>
        <w:rPr>
          <w:rFonts w:ascii="宋体" w:hAnsi="宋体" w:cs="Calibri"/>
          <w:color w:val="auto"/>
          <w:kern w:val="0"/>
          <w:sz w:val="24"/>
          <w:highlight w:val="none"/>
        </w:rPr>
      </w:pPr>
      <w:r>
        <w:rPr>
          <w:rFonts w:hint="eastAsia" w:ascii="宋体" w:hAnsi="宋体" w:cs="Calibri"/>
          <w:color w:val="auto"/>
          <w:kern w:val="0"/>
          <w:sz w:val="24"/>
          <w:highlight w:val="none"/>
        </w:rPr>
        <w:t>（</w:t>
      </w:r>
      <w:r>
        <w:rPr>
          <w:rFonts w:ascii="宋体" w:hAnsi="宋体" w:cs="Calibri"/>
          <w:color w:val="auto"/>
          <w:kern w:val="0"/>
          <w:sz w:val="24"/>
          <w:highlight w:val="none"/>
        </w:rPr>
        <w:t>1</w:t>
      </w:r>
      <w:r>
        <w:rPr>
          <w:rFonts w:hint="eastAsia" w:ascii="宋体" w:hAnsi="宋体" w:cs="Calibri"/>
          <w:color w:val="auto"/>
          <w:kern w:val="0"/>
          <w:sz w:val="24"/>
          <w:highlight w:val="none"/>
        </w:rPr>
        <w:t>）遵纪守法，客观、公正、廉洁地履行职责；</w:t>
      </w:r>
    </w:p>
    <w:p>
      <w:pPr>
        <w:autoSpaceDE w:val="0"/>
        <w:autoSpaceDN w:val="0"/>
        <w:adjustRightInd w:val="0"/>
        <w:spacing w:line="360" w:lineRule="auto"/>
        <w:rPr>
          <w:rFonts w:ascii="宋体" w:hAnsi="宋体" w:cs="Calibri"/>
          <w:color w:val="auto"/>
          <w:kern w:val="0"/>
          <w:sz w:val="24"/>
          <w:highlight w:val="none"/>
        </w:rPr>
      </w:pPr>
      <w:r>
        <w:rPr>
          <w:rFonts w:hint="eastAsia" w:ascii="宋体" w:hAnsi="宋体" w:cs="Calibri"/>
          <w:color w:val="auto"/>
          <w:kern w:val="0"/>
          <w:sz w:val="24"/>
          <w:highlight w:val="none"/>
        </w:rPr>
        <w:t>（</w:t>
      </w:r>
      <w:r>
        <w:rPr>
          <w:rFonts w:ascii="宋体" w:hAnsi="宋体" w:cs="Calibri"/>
          <w:color w:val="auto"/>
          <w:kern w:val="0"/>
          <w:sz w:val="24"/>
          <w:highlight w:val="none"/>
        </w:rPr>
        <w:t>2</w:t>
      </w:r>
      <w:r>
        <w:rPr>
          <w:rFonts w:hint="eastAsia" w:ascii="宋体" w:hAnsi="宋体" w:cs="Calibri"/>
          <w:color w:val="auto"/>
          <w:kern w:val="0"/>
          <w:sz w:val="24"/>
          <w:highlight w:val="none"/>
        </w:rPr>
        <w:t>）按照询比文件规定的评审方法和评审标准进行评审，对评审意见评审小组成员承担责任；</w:t>
      </w:r>
    </w:p>
    <w:p>
      <w:pPr>
        <w:autoSpaceDE w:val="0"/>
        <w:autoSpaceDN w:val="0"/>
        <w:adjustRightInd w:val="0"/>
        <w:spacing w:line="360" w:lineRule="auto"/>
        <w:rPr>
          <w:rFonts w:ascii="宋体" w:hAnsi="宋体" w:cs="Calibri"/>
          <w:color w:val="auto"/>
          <w:kern w:val="0"/>
          <w:sz w:val="24"/>
          <w:highlight w:val="none"/>
        </w:rPr>
      </w:pPr>
      <w:r>
        <w:rPr>
          <w:rFonts w:hint="eastAsia" w:ascii="宋体" w:hAnsi="宋体" w:cs="Calibri"/>
          <w:color w:val="auto"/>
          <w:kern w:val="0"/>
          <w:sz w:val="24"/>
          <w:highlight w:val="none"/>
        </w:rPr>
        <w:t>（</w:t>
      </w:r>
      <w:r>
        <w:rPr>
          <w:rFonts w:ascii="宋体" w:hAnsi="宋体" w:cs="Calibri"/>
          <w:color w:val="auto"/>
          <w:kern w:val="0"/>
          <w:sz w:val="24"/>
          <w:highlight w:val="none"/>
        </w:rPr>
        <w:t>3</w:t>
      </w:r>
      <w:r>
        <w:rPr>
          <w:rFonts w:hint="eastAsia" w:ascii="宋体" w:hAnsi="宋体" w:cs="Calibri"/>
          <w:color w:val="auto"/>
          <w:kern w:val="0"/>
          <w:sz w:val="24"/>
          <w:highlight w:val="none"/>
        </w:rPr>
        <w:t>）对响应文件、评审情况和评审中获悉的商业秘密保密；</w:t>
      </w:r>
    </w:p>
    <w:p>
      <w:pPr>
        <w:autoSpaceDE w:val="0"/>
        <w:autoSpaceDN w:val="0"/>
        <w:adjustRightInd w:val="0"/>
        <w:spacing w:line="360" w:lineRule="auto"/>
        <w:rPr>
          <w:rFonts w:ascii="宋体" w:hAnsi="宋体" w:cs="Calibri"/>
          <w:color w:val="auto"/>
          <w:kern w:val="0"/>
          <w:sz w:val="24"/>
          <w:highlight w:val="none"/>
        </w:rPr>
      </w:pPr>
      <w:r>
        <w:rPr>
          <w:rFonts w:hint="eastAsia" w:ascii="宋体" w:hAnsi="宋体" w:cs="Calibri"/>
          <w:color w:val="auto"/>
          <w:kern w:val="0"/>
          <w:sz w:val="24"/>
          <w:highlight w:val="none"/>
        </w:rPr>
        <w:t>（</w:t>
      </w:r>
      <w:r>
        <w:rPr>
          <w:rFonts w:ascii="宋体" w:hAnsi="宋体" w:cs="Calibri"/>
          <w:color w:val="auto"/>
          <w:kern w:val="0"/>
          <w:sz w:val="24"/>
          <w:highlight w:val="none"/>
        </w:rPr>
        <w:t>4</w:t>
      </w:r>
      <w:r>
        <w:rPr>
          <w:rFonts w:hint="eastAsia" w:ascii="宋体" w:hAnsi="宋体" w:cs="Calibri"/>
          <w:color w:val="auto"/>
          <w:kern w:val="0"/>
          <w:sz w:val="24"/>
          <w:highlight w:val="none"/>
        </w:rPr>
        <w:t>）参与询比采购评审报告的起草；</w:t>
      </w:r>
    </w:p>
    <w:p>
      <w:pPr>
        <w:autoSpaceDE w:val="0"/>
        <w:autoSpaceDN w:val="0"/>
        <w:adjustRightInd w:val="0"/>
        <w:spacing w:line="360" w:lineRule="auto"/>
        <w:rPr>
          <w:rFonts w:ascii="宋体" w:hAnsi="宋体" w:cs="Calibri"/>
          <w:color w:val="auto"/>
          <w:kern w:val="0"/>
          <w:sz w:val="24"/>
          <w:highlight w:val="none"/>
        </w:rPr>
      </w:pPr>
      <w:r>
        <w:rPr>
          <w:rFonts w:hint="eastAsia" w:ascii="宋体" w:hAnsi="宋体" w:cs="Calibri"/>
          <w:color w:val="auto"/>
          <w:kern w:val="0"/>
          <w:sz w:val="24"/>
          <w:highlight w:val="none"/>
        </w:rPr>
        <w:t>（</w:t>
      </w:r>
      <w:r>
        <w:rPr>
          <w:rFonts w:ascii="宋体" w:hAnsi="宋体" w:cs="Calibri"/>
          <w:color w:val="auto"/>
          <w:kern w:val="0"/>
          <w:sz w:val="24"/>
          <w:highlight w:val="none"/>
        </w:rPr>
        <w:t>5</w:t>
      </w:r>
      <w:r>
        <w:rPr>
          <w:rFonts w:hint="eastAsia" w:ascii="宋体" w:hAnsi="宋体" w:cs="Calibri"/>
          <w:color w:val="auto"/>
          <w:kern w:val="0"/>
          <w:sz w:val="24"/>
          <w:highlight w:val="none"/>
        </w:rPr>
        <w:t>）解答供应商及有关方面的异议；</w:t>
      </w:r>
    </w:p>
    <w:p>
      <w:pPr>
        <w:autoSpaceDE w:val="0"/>
        <w:autoSpaceDN w:val="0"/>
        <w:adjustRightInd w:val="0"/>
        <w:spacing w:line="360" w:lineRule="auto"/>
        <w:rPr>
          <w:rFonts w:ascii="宋体" w:hAnsi="宋体" w:cs="Calibri"/>
          <w:color w:val="auto"/>
          <w:kern w:val="0"/>
          <w:sz w:val="24"/>
          <w:highlight w:val="none"/>
        </w:rPr>
      </w:pPr>
      <w:r>
        <w:rPr>
          <w:rFonts w:hint="eastAsia" w:ascii="宋体" w:hAnsi="宋体" w:cs="Calibri"/>
          <w:color w:val="auto"/>
          <w:kern w:val="0"/>
          <w:sz w:val="24"/>
          <w:highlight w:val="none"/>
        </w:rPr>
        <w:t>（</w:t>
      </w:r>
      <w:r>
        <w:rPr>
          <w:rFonts w:ascii="宋体" w:hAnsi="宋体" w:cs="Calibri"/>
          <w:color w:val="auto"/>
          <w:kern w:val="0"/>
          <w:sz w:val="24"/>
          <w:highlight w:val="none"/>
        </w:rPr>
        <w:t>6</w:t>
      </w:r>
      <w:r>
        <w:rPr>
          <w:rFonts w:hint="eastAsia" w:ascii="宋体" w:hAnsi="宋体" w:cs="Calibri"/>
          <w:color w:val="auto"/>
          <w:kern w:val="0"/>
          <w:sz w:val="24"/>
          <w:highlight w:val="none"/>
        </w:rPr>
        <w:t>）配合处理异议。</w:t>
      </w:r>
    </w:p>
    <w:p>
      <w:pPr>
        <w:autoSpaceDE w:val="0"/>
        <w:autoSpaceDN w:val="0"/>
        <w:adjustRightInd w:val="0"/>
        <w:spacing w:line="360" w:lineRule="auto"/>
        <w:rPr>
          <w:rFonts w:ascii="宋体" w:hAnsi="宋体" w:cs="Calibri"/>
          <w:color w:val="auto"/>
          <w:kern w:val="0"/>
          <w:sz w:val="24"/>
          <w:highlight w:val="none"/>
        </w:rPr>
      </w:pPr>
      <w:r>
        <w:rPr>
          <w:rFonts w:ascii="宋体" w:hAnsi="宋体" w:cs="Calibri"/>
          <w:color w:val="auto"/>
          <w:kern w:val="0"/>
          <w:sz w:val="24"/>
          <w:highlight w:val="none"/>
        </w:rPr>
        <w:t>1</w:t>
      </w:r>
      <w:r>
        <w:rPr>
          <w:rFonts w:hint="eastAsia" w:ascii="宋体" w:hAnsi="宋体" w:cs="Calibri"/>
          <w:color w:val="auto"/>
          <w:kern w:val="0"/>
          <w:sz w:val="24"/>
          <w:highlight w:val="none"/>
        </w:rPr>
        <w:t>7</w:t>
      </w:r>
      <w:r>
        <w:rPr>
          <w:rFonts w:ascii="宋体" w:hAnsi="宋体" w:cs="Calibri"/>
          <w:color w:val="auto"/>
          <w:kern w:val="0"/>
          <w:sz w:val="24"/>
          <w:highlight w:val="none"/>
        </w:rPr>
        <w:t>.4</w:t>
      </w:r>
      <w:r>
        <w:rPr>
          <w:rFonts w:hint="eastAsia" w:ascii="宋体" w:hAnsi="宋体" w:cs="Calibri"/>
          <w:color w:val="auto"/>
          <w:kern w:val="0"/>
          <w:sz w:val="24"/>
          <w:highlight w:val="none"/>
        </w:rPr>
        <w:t>询比工作在有关部门的监督下依法开展，任何单位和个人不得非法干预、影响评审结果。</w:t>
      </w:r>
    </w:p>
    <w:p>
      <w:pPr>
        <w:autoSpaceDE w:val="0"/>
        <w:autoSpaceDN w:val="0"/>
        <w:adjustRightInd w:val="0"/>
        <w:spacing w:line="360" w:lineRule="auto"/>
        <w:rPr>
          <w:rFonts w:ascii="宋体" w:hAnsi="宋体" w:cs="Calibri"/>
          <w:color w:val="auto"/>
          <w:kern w:val="0"/>
          <w:sz w:val="24"/>
          <w:highlight w:val="none"/>
        </w:rPr>
      </w:pPr>
      <w:r>
        <w:rPr>
          <w:rFonts w:hint="eastAsia" w:ascii="宋体" w:hAnsi="宋体" w:cs="Calibri"/>
          <w:color w:val="auto"/>
          <w:kern w:val="0"/>
          <w:sz w:val="24"/>
          <w:highlight w:val="none"/>
        </w:rPr>
        <w:t>17.5编写评审报告。</w:t>
      </w:r>
    </w:p>
    <w:p>
      <w:pPr>
        <w:autoSpaceDE w:val="0"/>
        <w:autoSpaceDN w:val="0"/>
        <w:adjustRightInd w:val="0"/>
        <w:spacing w:line="360" w:lineRule="auto"/>
        <w:rPr>
          <w:rFonts w:ascii="宋体" w:hAnsi="宋体" w:cs="Calibri"/>
          <w:color w:val="auto"/>
          <w:kern w:val="0"/>
          <w:sz w:val="24"/>
          <w:highlight w:val="none"/>
        </w:rPr>
      </w:pPr>
      <w:r>
        <w:rPr>
          <w:rFonts w:hint="eastAsia" w:ascii="宋体" w:hAnsi="宋体" w:cs="Calibri"/>
          <w:color w:val="auto"/>
          <w:kern w:val="0"/>
          <w:sz w:val="24"/>
          <w:highlight w:val="none"/>
        </w:rPr>
        <w:t>17.5.1评审小组应根据评审情况和评审结果编写评审报告。评审报告应由评审小组全体成员签字。评审小组成员对评审报告有异议的，评审小组按少数服从多数的原则表决统一意见并推荐候选成交供应商。对报告有异议的评审小组成员，应在报告上签署不同意见并说明理由。评审小组成员拒绝在评审报告上签字又不书面说明其不同意见和理由的，视为同意。</w:t>
      </w:r>
    </w:p>
    <w:p>
      <w:pPr>
        <w:autoSpaceDE w:val="0"/>
        <w:autoSpaceDN w:val="0"/>
        <w:adjustRightInd w:val="0"/>
        <w:spacing w:line="360" w:lineRule="auto"/>
        <w:rPr>
          <w:rFonts w:ascii="宋体" w:hAnsi="宋体" w:cs="Calibri"/>
          <w:color w:val="auto"/>
          <w:kern w:val="0"/>
          <w:sz w:val="24"/>
          <w:highlight w:val="none"/>
        </w:rPr>
      </w:pPr>
      <w:r>
        <w:rPr>
          <w:rFonts w:hint="eastAsia" w:ascii="宋体" w:hAnsi="宋体" w:cs="Calibri"/>
          <w:color w:val="auto"/>
          <w:kern w:val="0"/>
          <w:sz w:val="24"/>
          <w:highlight w:val="none"/>
        </w:rPr>
        <w:t>17.5.2采购代理机构收到评审小组完成的评审报告后，应对评审报告内容进行复核，发现问题应及时告知评审小组进行必要的修改和完善。评审小组未予修改的，采购代理机构应予记录并报告采购人。</w:t>
      </w:r>
      <w:bookmarkStart w:id="129" w:name="_Toc10730557"/>
      <w:bookmarkStart w:id="130" w:name="_Toc13582317"/>
      <w:bookmarkStart w:id="131" w:name="_Toc3845"/>
    </w:p>
    <w:p>
      <w:pPr>
        <w:autoSpaceDE w:val="0"/>
        <w:autoSpaceDN w:val="0"/>
        <w:adjustRightInd w:val="0"/>
        <w:spacing w:line="360" w:lineRule="auto"/>
        <w:rPr>
          <w:rFonts w:ascii="Cambria" w:hAnsi="Cambria"/>
          <w:b/>
          <w:bCs/>
          <w:color w:val="auto"/>
          <w:sz w:val="24"/>
          <w:highlight w:val="none"/>
          <w:lang w:val="zh-CN"/>
        </w:rPr>
      </w:pPr>
      <w:r>
        <w:rPr>
          <w:rFonts w:ascii="Cambria" w:hAnsi="Cambria"/>
          <w:b/>
          <w:bCs/>
          <w:color w:val="auto"/>
          <w:sz w:val="28"/>
          <w:highlight w:val="none"/>
          <w:lang w:val="zh-CN"/>
        </w:rPr>
        <w:t>1</w:t>
      </w:r>
      <w:r>
        <w:rPr>
          <w:rFonts w:hint="eastAsia" w:ascii="Cambria" w:hAnsi="Cambria"/>
          <w:b/>
          <w:bCs/>
          <w:color w:val="auto"/>
          <w:sz w:val="28"/>
          <w:highlight w:val="none"/>
          <w:lang w:val="zh-CN"/>
        </w:rPr>
        <w:t>8</w:t>
      </w:r>
      <w:r>
        <w:rPr>
          <w:rFonts w:ascii="Cambria" w:hAnsi="Cambria"/>
          <w:b/>
          <w:bCs/>
          <w:color w:val="auto"/>
          <w:sz w:val="28"/>
          <w:highlight w:val="none"/>
          <w:lang w:val="zh-CN"/>
        </w:rPr>
        <w:t>.</w:t>
      </w:r>
      <w:r>
        <w:rPr>
          <w:rFonts w:hint="eastAsia" w:ascii="Cambria" w:hAnsi="Cambria"/>
          <w:b/>
          <w:bCs/>
          <w:color w:val="auto"/>
          <w:sz w:val="28"/>
          <w:highlight w:val="none"/>
          <w:lang w:val="zh-CN"/>
        </w:rPr>
        <w:t>组织谈判和评审</w:t>
      </w:r>
      <w:bookmarkEnd w:id="129"/>
      <w:bookmarkEnd w:id="130"/>
      <w:bookmarkEnd w:id="131"/>
    </w:p>
    <w:p>
      <w:pPr>
        <w:autoSpaceDE w:val="0"/>
        <w:autoSpaceDN w:val="0"/>
        <w:adjustRightInd w:val="0"/>
        <w:spacing w:line="360" w:lineRule="auto"/>
        <w:rPr>
          <w:rFonts w:ascii="宋体" w:hAnsi="宋体" w:cs="Calibri"/>
          <w:color w:val="auto"/>
          <w:kern w:val="0"/>
          <w:sz w:val="24"/>
          <w:highlight w:val="none"/>
        </w:rPr>
      </w:pPr>
      <w:r>
        <w:rPr>
          <w:rFonts w:hint="eastAsia" w:ascii="宋体" w:hAnsi="宋体" w:cs="Calibri"/>
          <w:color w:val="auto"/>
          <w:kern w:val="0"/>
          <w:sz w:val="24"/>
          <w:highlight w:val="none"/>
        </w:rPr>
        <w:t>本评审方法依照《非招标方式采购代理服务规范》制定。</w:t>
      </w:r>
    </w:p>
    <w:p>
      <w:pPr>
        <w:autoSpaceDE w:val="0"/>
        <w:autoSpaceDN w:val="0"/>
        <w:adjustRightInd w:val="0"/>
        <w:spacing w:line="360" w:lineRule="auto"/>
        <w:rPr>
          <w:rFonts w:ascii="宋体" w:hAnsi="宋体" w:cs="Calibri"/>
          <w:color w:val="auto"/>
          <w:kern w:val="0"/>
          <w:sz w:val="24"/>
          <w:highlight w:val="none"/>
        </w:rPr>
      </w:pPr>
      <w:r>
        <w:rPr>
          <w:rFonts w:hint="eastAsia" w:ascii="宋体" w:hAnsi="宋体" w:cs="Calibri"/>
          <w:color w:val="auto"/>
          <w:kern w:val="0"/>
          <w:sz w:val="24"/>
          <w:highlight w:val="none"/>
        </w:rPr>
        <w:t>18.1初步评审。</w:t>
      </w:r>
    </w:p>
    <w:p>
      <w:pPr>
        <w:autoSpaceDE w:val="0"/>
        <w:autoSpaceDN w:val="0"/>
        <w:adjustRightInd w:val="0"/>
        <w:spacing w:line="360" w:lineRule="auto"/>
        <w:rPr>
          <w:rFonts w:ascii="宋体" w:hAnsi="宋体" w:cs="Calibri"/>
          <w:color w:val="auto"/>
          <w:kern w:val="0"/>
          <w:sz w:val="24"/>
          <w:highlight w:val="none"/>
        </w:rPr>
      </w:pPr>
      <w:r>
        <w:rPr>
          <w:rFonts w:hint="eastAsia" w:ascii="宋体" w:hAnsi="宋体" w:cs="Calibri"/>
          <w:color w:val="auto"/>
          <w:kern w:val="0"/>
          <w:sz w:val="24"/>
          <w:highlight w:val="none"/>
        </w:rPr>
        <w:t>18.1.1采购代理机构应组织评审小组对供应商提交的响应文件进行初步评审。初步评审包括对供应商的资格审查和对响应文件的响应性审查，判断供应商是否符合资格条件、响应文件是否实质性响应采购文件要求。未通过初步审查的供应商将不进入详细评审。</w:t>
      </w:r>
    </w:p>
    <w:p>
      <w:pPr>
        <w:autoSpaceDE w:val="0"/>
        <w:autoSpaceDN w:val="0"/>
        <w:adjustRightInd w:val="0"/>
        <w:spacing w:line="360" w:lineRule="auto"/>
        <w:rPr>
          <w:rFonts w:ascii="宋体" w:hAnsi="宋体" w:cs="Calibri"/>
          <w:color w:val="auto"/>
          <w:kern w:val="0"/>
          <w:sz w:val="24"/>
          <w:highlight w:val="none"/>
        </w:rPr>
      </w:pPr>
      <w:r>
        <w:rPr>
          <w:rFonts w:hint="eastAsia" w:ascii="宋体" w:hAnsi="宋体" w:cs="Calibri"/>
          <w:color w:val="auto"/>
          <w:kern w:val="0"/>
          <w:sz w:val="24"/>
          <w:highlight w:val="none"/>
        </w:rPr>
        <w:t>18.1.2在评审小组提出要求时，采购代理机构可就采购文件中的一些重要信息，包括采购范围、技术标准和要求、响应报价要求、评审标准和方法、合同主要条款等内容进行解释和说明。</w:t>
      </w:r>
    </w:p>
    <w:p>
      <w:pPr>
        <w:autoSpaceDE w:val="0"/>
        <w:autoSpaceDN w:val="0"/>
        <w:adjustRightInd w:val="0"/>
        <w:spacing w:line="360" w:lineRule="auto"/>
        <w:rPr>
          <w:rFonts w:ascii="宋体" w:hAnsi="宋体" w:cs="Calibri"/>
          <w:color w:val="auto"/>
          <w:kern w:val="0"/>
          <w:sz w:val="24"/>
          <w:highlight w:val="none"/>
        </w:rPr>
      </w:pPr>
      <w:r>
        <w:rPr>
          <w:rFonts w:hint="eastAsia" w:ascii="宋体" w:hAnsi="宋体" w:cs="Calibri"/>
          <w:color w:val="auto"/>
          <w:kern w:val="0"/>
          <w:sz w:val="24"/>
          <w:highlight w:val="none"/>
        </w:rPr>
        <w:t>18.1.3通过初步评审的供应商不足三家时，可以继续评审；通过初步审查的供应商不足三家，评审小组认为价格竞争不充分而且明显超出采购人预期价格，或者明显超出相关市场信息共享平台公开的市场价格的，采购人可决定由评审小组直接参照谈判采购方式（适用于两家供应商的情形）或者直接采购方式（适用于一家供应商的情形）与供应商谈判后确定成交供应商及其成交价格，也可重新组织采购活动。</w:t>
      </w:r>
    </w:p>
    <w:p>
      <w:pPr>
        <w:autoSpaceDE w:val="0"/>
        <w:autoSpaceDN w:val="0"/>
        <w:adjustRightInd w:val="0"/>
        <w:spacing w:line="360" w:lineRule="auto"/>
        <w:rPr>
          <w:rFonts w:ascii="宋体" w:hAnsi="宋体" w:cs="Calibri"/>
          <w:color w:val="auto"/>
          <w:kern w:val="0"/>
          <w:sz w:val="24"/>
          <w:highlight w:val="none"/>
        </w:rPr>
      </w:pPr>
      <w:r>
        <w:rPr>
          <w:rFonts w:hint="eastAsia" w:ascii="宋体" w:hAnsi="宋体" w:cs="Calibri"/>
          <w:color w:val="auto"/>
          <w:kern w:val="0"/>
          <w:sz w:val="24"/>
          <w:highlight w:val="none"/>
        </w:rPr>
        <w:t>18.2澄清</w:t>
      </w:r>
    </w:p>
    <w:p>
      <w:pPr>
        <w:autoSpaceDE w:val="0"/>
        <w:autoSpaceDN w:val="0"/>
        <w:adjustRightInd w:val="0"/>
        <w:spacing w:line="360" w:lineRule="auto"/>
        <w:rPr>
          <w:rFonts w:ascii="宋体" w:hAnsi="宋体" w:cs="Calibri"/>
          <w:color w:val="auto"/>
          <w:kern w:val="0"/>
          <w:sz w:val="24"/>
          <w:highlight w:val="none"/>
        </w:rPr>
      </w:pPr>
      <w:r>
        <w:rPr>
          <w:rFonts w:hint="eastAsia" w:ascii="宋体" w:hAnsi="宋体" w:cs="Calibri"/>
          <w:color w:val="auto"/>
          <w:kern w:val="0"/>
          <w:sz w:val="24"/>
          <w:highlight w:val="none"/>
        </w:rPr>
        <w:t xml:space="preserve">    响应文件中有含义不明确的内容、明显的文字或计算错误，评审小组认为需要供应商做出必要澄清、说明的，采购代理机构应协助评审小组完成以下澄清工作：</w:t>
      </w:r>
    </w:p>
    <w:p>
      <w:pPr>
        <w:autoSpaceDE w:val="0"/>
        <w:autoSpaceDN w:val="0"/>
        <w:adjustRightInd w:val="0"/>
        <w:spacing w:line="360" w:lineRule="auto"/>
        <w:rPr>
          <w:rFonts w:ascii="宋体" w:hAnsi="宋体" w:cs="Calibri"/>
          <w:color w:val="auto"/>
          <w:kern w:val="0"/>
          <w:sz w:val="24"/>
          <w:highlight w:val="none"/>
        </w:rPr>
      </w:pPr>
      <w:r>
        <w:rPr>
          <w:rFonts w:hint="eastAsia" w:ascii="宋体" w:hAnsi="宋体" w:cs="Calibri"/>
          <w:color w:val="auto"/>
          <w:kern w:val="0"/>
          <w:sz w:val="24"/>
          <w:highlight w:val="none"/>
        </w:rPr>
        <w:t>18.2.1将评审小组要求供应商澄清、说明的书面文件送达供应商；</w:t>
      </w:r>
    </w:p>
    <w:p>
      <w:pPr>
        <w:autoSpaceDE w:val="0"/>
        <w:autoSpaceDN w:val="0"/>
        <w:adjustRightInd w:val="0"/>
        <w:spacing w:line="360" w:lineRule="auto"/>
        <w:rPr>
          <w:rFonts w:ascii="宋体" w:hAnsi="宋体" w:cs="Calibri"/>
          <w:color w:val="auto"/>
          <w:kern w:val="0"/>
          <w:sz w:val="24"/>
          <w:highlight w:val="none"/>
        </w:rPr>
      </w:pPr>
      <w:r>
        <w:rPr>
          <w:rFonts w:hint="eastAsia" w:ascii="宋体" w:hAnsi="宋体" w:cs="Calibri"/>
          <w:color w:val="auto"/>
          <w:kern w:val="0"/>
          <w:sz w:val="24"/>
          <w:highlight w:val="none"/>
        </w:rPr>
        <w:t>18.2.2接受供应商按评审小组要求对其响应文件提交的出面澄清或说明，并送交评审小组评审。</w:t>
      </w:r>
    </w:p>
    <w:p>
      <w:pPr>
        <w:autoSpaceDE w:val="0"/>
        <w:autoSpaceDN w:val="0"/>
        <w:adjustRightInd w:val="0"/>
        <w:spacing w:line="360" w:lineRule="auto"/>
        <w:rPr>
          <w:rFonts w:ascii="宋体" w:hAnsi="宋体" w:cs="Calibri"/>
          <w:color w:val="auto"/>
          <w:kern w:val="0"/>
          <w:sz w:val="24"/>
          <w:highlight w:val="none"/>
        </w:rPr>
      </w:pPr>
      <w:r>
        <w:rPr>
          <w:rFonts w:hint="eastAsia" w:ascii="宋体" w:hAnsi="宋体" w:cs="Calibri"/>
          <w:color w:val="auto"/>
          <w:kern w:val="0"/>
          <w:sz w:val="24"/>
          <w:highlight w:val="none"/>
        </w:rPr>
        <w:t>18.3详细评审及推荐候选成交供应商</w:t>
      </w:r>
    </w:p>
    <w:p>
      <w:pPr>
        <w:autoSpaceDE w:val="0"/>
        <w:autoSpaceDN w:val="0"/>
        <w:adjustRightInd w:val="0"/>
        <w:spacing w:line="360" w:lineRule="auto"/>
        <w:rPr>
          <w:rFonts w:ascii="宋体" w:hAnsi="宋体" w:cs="Calibri"/>
          <w:color w:val="auto"/>
          <w:kern w:val="0"/>
          <w:sz w:val="24"/>
          <w:highlight w:val="none"/>
        </w:rPr>
      </w:pPr>
      <w:r>
        <w:rPr>
          <w:rFonts w:hint="eastAsia" w:ascii="宋体" w:hAnsi="宋体" w:cs="Calibri"/>
          <w:color w:val="auto"/>
          <w:kern w:val="0"/>
          <w:sz w:val="24"/>
          <w:highlight w:val="none"/>
        </w:rPr>
        <w:t>18.3.1评审小组仅对通过初步审查的供应商依据采购文件规定的评审办法进行详细评审。采用的评审方法</w:t>
      </w:r>
      <w:r>
        <w:rPr>
          <w:rFonts w:hint="eastAsia" w:ascii="宋体" w:hAnsi="宋体" w:cs="Calibri"/>
          <w:b/>
          <w:color w:val="auto"/>
          <w:kern w:val="0"/>
          <w:sz w:val="24"/>
          <w:highlight w:val="none"/>
        </w:rPr>
        <w:t>:</w:t>
      </w:r>
      <w:r>
        <w:rPr>
          <w:rFonts w:hint="eastAsia" w:ascii="宋体" w:hAnsi="宋体" w:cs="Calibri"/>
          <w:color w:val="auto"/>
          <w:kern w:val="0"/>
          <w:sz w:val="24"/>
          <w:highlight w:val="none"/>
        </w:rPr>
        <w:t>综合评分法。</w:t>
      </w:r>
    </w:p>
    <w:p>
      <w:pPr>
        <w:autoSpaceDE w:val="0"/>
        <w:autoSpaceDN w:val="0"/>
        <w:adjustRightInd w:val="0"/>
        <w:spacing w:line="360" w:lineRule="auto"/>
        <w:rPr>
          <w:rFonts w:ascii="宋体" w:hAnsi="宋体" w:cs="Calibri"/>
          <w:color w:val="auto"/>
          <w:kern w:val="0"/>
          <w:sz w:val="24"/>
          <w:highlight w:val="none"/>
          <w:lang w:val="zh-CN"/>
        </w:rPr>
      </w:pPr>
      <w:r>
        <w:rPr>
          <w:rFonts w:hint="eastAsia" w:ascii="宋体" w:hAnsi="宋体" w:cs="Calibri"/>
          <w:color w:val="auto"/>
          <w:kern w:val="0"/>
          <w:sz w:val="24"/>
          <w:highlight w:val="none"/>
        </w:rPr>
        <w:t>18.3.2 采用综合评分法评审，评审小组应对通过初步审查的供应商的响应文件进行评分后，依据供应商综合得分由高到低的顺序按照采购文件规定的数量推荐候选成交供应商。</w:t>
      </w:r>
    </w:p>
    <w:p>
      <w:pPr>
        <w:pStyle w:val="35"/>
        <w:ind w:firstLine="1988" w:firstLineChars="550"/>
        <w:jc w:val="both"/>
        <w:rPr>
          <w:color w:val="auto"/>
          <w:highlight w:val="none"/>
          <w:lang w:val="zh-CN"/>
        </w:rPr>
      </w:pPr>
      <w:bookmarkStart w:id="132" w:name="_Toc10730558"/>
      <w:bookmarkStart w:id="133" w:name="_Toc13582318"/>
      <w:bookmarkStart w:id="134" w:name="_Toc1261"/>
      <w:bookmarkStart w:id="135" w:name="_Toc10457"/>
      <w:bookmarkStart w:id="136" w:name="_Toc17497"/>
      <w:bookmarkStart w:id="137" w:name="_Toc7600"/>
      <w:bookmarkStart w:id="138" w:name="_Toc30372"/>
      <w:r>
        <w:rPr>
          <w:rFonts w:hint="eastAsia"/>
          <w:color w:val="auto"/>
          <w:highlight w:val="none"/>
          <w:lang w:val="zh-CN"/>
        </w:rPr>
        <w:t>六、确定成交供应商</w:t>
      </w:r>
      <w:bookmarkEnd w:id="132"/>
      <w:bookmarkEnd w:id="133"/>
      <w:bookmarkEnd w:id="134"/>
      <w:bookmarkEnd w:id="135"/>
      <w:bookmarkEnd w:id="136"/>
      <w:bookmarkEnd w:id="137"/>
      <w:bookmarkEnd w:id="138"/>
    </w:p>
    <w:p>
      <w:pPr>
        <w:autoSpaceDE w:val="0"/>
        <w:autoSpaceDN w:val="0"/>
        <w:adjustRightInd w:val="0"/>
        <w:spacing w:line="360" w:lineRule="auto"/>
        <w:rPr>
          <w:rFonts w:ascii="宋体" w:hAnsi="宋体"/>
          <w:color w:val="auto"/>
          <w:sz w:val="28"/>
          <w:highlight w:val="none"/>
          <w:lang w:val="zh-CN"/>
        </w:rPr>
      </w:pPr>
      <w:bookmarkStart w:id="139" w:name="_Toc7697"/>
      <w:bookmarkStart w:id="140" w:name="_Toc10730559"/>
      <w:bookmarkStart w:id="141" w:name="_Toc13582319"/>
      <w:r>
        <w:rPr>
          <w:rFonts w:hint="eastAsia" w:ascii="Cambria" w:hAnsi="Cambria"/>
          <w:b/>
          <w:bCs/>
          <w:color w:val="auto"/>
          <w:sz w:val="28"/>
          <w:highlight w:val="none"/>
          <w:lang w:val="zh-CN"/>
        </w:rPr>
        <w:t>19.协助确定成交供应商</w:t>
      </w:r>
      <w:bookmarkEnd w:id="139"/>
      <w:bookmarkEnd w:id="140"/>
      <w:bookmarkEnd w:id="141"/>
      <w:r>
        <w:rPr>
          <w:rFonts w:ascii="宋体" w:hAnsi="宋体"/>
          <w:color w:val="auto"/>
          <w:sz w:val="28"/>
          <w:highlight w:val="none"/>
          <w:lang w:val="zh-CN"/>
        </w:rPr>
        <w:tab/>
      </w:r>
    </w:p>
    <w:p>
      <w:pPr>
        <w:autoSpaceDE w:val="0"/>
        <w:autoSpaceDN w:val="0"/>
        <w:adjustRightInd w:val="0"/>
        <w:spacing w:line="360" w:lineRule="auto"/>
        <w:rPr>
          <w:rFonts w:ascii="宋体" w:hAnsi="宋体" w:cs="Calibri"/>
          <w:color w:val="auto"/>
          <w:kern w:val="0"/>
          <w:sz w:val="24"/>
          <w:highlight w:val="none"/>
        </w:rPr>
      </w:pPr>
      <w:r>
        <w:rPr>
          <w:rFonts w:hint="eastAsia" w:ascii="宋体" w:hAnsi="宋体" w:cs="Calibri"/>
          <w:color w:val="auto"/>
          <w:kern w:val="0"/>
          <w:sz w:val="24"/>
          <w:highlight w:val="none"/>
        </w:rPr>
        <w:t>19</w:t>
      </w:r>
      <w:r>
        <w:rPr>
          <w:rFonts w:ascii="宋体" w:hAnsi="宋体" w:cs="Calibri"/>
          <w:color w:val="auto"/>
          <w:kern w:val="0"/>
          <w:sz w:val="24"/>
          <w:highlight w:val="none"/>
        </w:rPr>
        <w:t xml:space="preserve">.1 </w:t>
      </w:r>
      <w:r>
        <w:rPr>
          <w:rFonts w:hint="eastAsia" w:ascii="宋体" w:hAnsi="宋体" w:cs="Calibri"/>
          <w:color w:val="auto"/>
          <w:kern w:val="0"/>
          <w:sz w:val="24"/>
          <w:highlight w:val="none"/>
        </w:rPr>
        <w:t>采购代理机构在评审工作结束后1日内将评审报告送采购人确认。采购人在收到评审报告2日内，采购代理机构应协助采购人在评审报告推荐的成交候选供应商名单中，综合评估后，选择确定成交供应商，并公示。</w:t>
      </w:r>
      <w:bookmarkStart w:id="142" w:name="_Toc13582320"/>
      <w:bookmarkStart w:id="143" w:name="_Toc10730560"/>
      <w:bookmarkStart w:id="144" w:name="_Toc15676"/>
    </w:p>
    <w:p>
      <w:pPr>
        <w:autoSpaceDE w:val="0"/>
        <w:autoSpaceDN w:val="0"/>
        <w:adjustRightInd w:val="0"/>
        <w:spacing w:line="360" w:lineRule="auto"/>
        <w:rPr>
          <w:rFonts w:ascii="宋体" w:hAnsi="宋体"/>
          <w:b/>
          <w:bCs/>
          <w:color w:val="auto"/>
          <w:sz w:val="28"/>
          <w:highlight w:val="none"/>
          <w:lang w:val="zh-CN"/>
        </w:rPr>
      </w:pPr>
      <w:r>
        <w:rPr>
          <w:rFonts w:hint="eastAsia" w:ascii="宋体" w:hAnsi="宋体"/>
          <w:b/>
          <w:bCs/>
          <w:color w:val="auto"/>
          <w:sz w:val="28"/>
          <w:highlight w:val="none"/>
          <w:lang w:val="zh-CN"/>
        </w:rPr>
        <w:t>20</w:t>
      </w:r>
      <w:r>
        <w:rPr>
          <w:rFonts w:ascii="宋体" w:hAnsi="宋体"/>
          <w:b/>
          <w:bCs/>
          <w:color w:val="auto"/>
          <w:sz w:val="28"/>
          <w:highlight w:val="none"/>
          <w:lang w:val="zh-CN"/>
        </w:rPr>
        <w:t>.</w:t>
      </w:r>
      <w:r>
        <w:rPr>
          <w:rFonts w:hint="eastAsia" w:ascii="宋体" w:hAnsi="宋体"/>
          <w:b/>
          <w:bCs/>
          <w:color w:val="auto"/>
          <w:sz w:val="28"/>
          <w:highlight w:val="none"/>
          <w:lang w:val="zh-CN"/>
        </w:rPr>
        <w:t>发出成交通知</w:t>
      </w:r>
      <w:bookmarkEnd w:id="142"/>
      <w:bookmarkEnd w:id="143"/>
      <w:bookmarkEnd w:id="144"/>
    </w:p>
    <w:p>
      <w:pPr>
        <w:autoSpaceDE w:val="0"/>
        <w:autoSpaceDN w:val="0"/>
        <w:adjustRightInd w:val="0"/>
        <w:spacing w:line="360" w:lineRule="auto"/>
        <w:rPr>
          <w:rFonts w:ascii="宋体" w:hAnsi="宋体" w:cs="Calibri"/>
          <w:color w:val="auto"/>
          <w:kern w:val="0"/>
          <w:sz w:val="24"/>
          <w:highlight w:val="none"/>
        </w:rPr>
      </w:pPr>
      <w:r>
        <w:rPr>
          <w:rFonts w:hint="eastAsia" w:ascii="宋体" w:hAnsi="宋体" w:cs="Calibri"/>
          <w:color w:val="auto"/>
          <w:kern w:val="0"/>
          <w:sz w:val="24"/>
          <w:highlight w:val="none"/>
        </w:rPr>
        <w:t>20</w:t>
      </w:r>
      <w:r>
        <w:rPr>
          <w:rFonts w:ascii="宋体" w:hAnsi="宋体" w:cs="Calibri"/>
          <w:color w:val="auto"/>
          <w:kern w:val="0"/>
          <w:sz w:val="24"/>
          <w:highlight w:val="none"/>
        </w:rPr>
        <w:t>.1</w:t>
      </w:r>
      <w:r>
        <w:rPr>
          <w:rFonts w:hint="eastAsia" w:ascii="宋体" w:hAnsi="宋体" w:cs="Calibri"/>
          <w:color w:val="auto"/>
          <w:kern w:val="0"/>
          <w:sz w:val="24"/>
          <w:highlight w:val="none"/>
        </w:rPr>
        <w:t>采购人确定成交供应商后，采购代理机构应在响应文件有效期内及时向成交供应商发出《成交通知书》。《成交通知书》应经采购人确认，并加盖采购人或采购代理机构单位印章。</w:t>
      </w:r>
    </w:p>
    <w:p>
      <w:pPr>
        <w:autoSpaceDE w:val="0"/>
        <w:autoSpaceDN w:val="0"/>
        <w:adjustRightInd w:val="0"/>
        <w:spacing w:line="360" w:lineRule="auto"/>
        <w:rPr>
          <w:rFonts w:ascii="宋体" w:hAnsi="宋体" w:cs="Calibri"/>
          <w:color w:val="auto"/>
          <w:kern w:val="0"/>
          <w:sz w:val="24"/>
          <w:highlight w:val="none"/>
        </w:rPr>
      </w:pPr>
      <w:r>
        <w:rPr>
          <w:rFonts w:hint="eastAsia" w:ascii="宋体" w:hAnsi="宋体" w:cs="Calibri"/>
          <w:color w:val="auto"/>
          <w:kern w:val="0"/>
          <w:sz w:val="24"/>
          <w:highlight w:val="none"/>
        </w:rPr>
        <w:t>20</w:t>
      </w:r>
      <w:r>
        <w:rPr>
          <w:rFonts w:ascii="宋体" w:hAnsi="宋体" w:cs="Calibri"/>
          <w:color w:val="auto"/>
          <w:kern w:val="0"/>
          <w:sz w:val="24"/>
          <w:highlight w:val="none"/>
        </w:rPr>
        <w:t>.2</w:t>
      </w:r>
      <w:r>
        <w:rPr>
          <w:rFonts w:hint="eastAsia" w:ascii="宋体" w:hAnsi="宋体" w:cs="Calibri"/>
          <w:color w:val="auto"/>
          <w:kern w:val="0"/>
          <w:sz w:val="24"/>
          <w:highlight w:val="none"/>
        </w:rPr>
        <w:t>《成交通知书》应告知供应商已经成交，并明确采购项目成交价款、履约期限以及签订合同的时间和地点等内容。</w:t>
      </w:r>
    </w:p>
    <w:p>
      <w:pPr>
        <w:autoSpaceDE w:val="0"/>
        <w:autoSpaceDN w:val="0"/>
        <w:adjustRightInd w:val="0"/>
        <w:spacing w:line="360" w:lineRule="auto"/>
        <w:rPr>
          <w:rFonts w:ascii="宋体" w:hAnsi="宋体" w:cs="Calibri"/>
          <w:color w:val="auto"/>
          <w:kern w:val="0"/>
          <w:sz w:val="24"/>
          <w:highlight w:val="none"/>
        </w:rPr>
      </w:pPr>
      <w:r>
        <w:rPr>
          <w:rFonts w:hint="eastAsia" w:ascii="宋体" w:hAnsi="宋体" w:cs="Calibri"/>
          <w:color w:val="auto"/>
          <w:kern w:val="0"/>
          <w:sz w:val="24"/>
          <w:highlight w:val="none"/>
        </w:rPr>
        <w:t>20.3除不可抗力等因素外，《成交通知书》发出后，采购人改变成交结果或成交供应商拒绝签订合同的，应承担相应的法律责任。</w:t>
      </w:r>
      <w:bookmarkStart w:id="145" w:name="_Toc10730561"/>
      <w:bookmarkStart w:id="146" w:name="_Toc13582321"/>
      <w:bookmarkStart w:id="147" w:name="_Toc20065"/>
    </w:p>
    <w:p>
      <w:pPr>
        <w:autoSpaceDE w:val="0"/>
        <w:autoSpaceDN w:val="0"/>
        <w:adjustRightInd w:val="0"/>
        <w:spacing w:line="360" w:lineRule="auto"/>
        <w:rPr>
          <w:rFonts w:ascii="宋体" w:hAnsi="宋体"/>
          <w:b/>
          <w:bCs/>
          <w:color w:val="auto"/>
          <w:sz w:val="28"/>
          <w:highlight w:val="none"/>
          <w:lang w:val="zh-CN"/>
        </w:rPr>
      </w:pPr>
      <w:r>
        <w:rPr>
          <w:rFonts w:hint="eastAsia" w:ascii="宋体" w:hAnsi="宋体"/>
          <w:b/>
          <w:bCs/>
          <w:color w:val="auto"/>
          <w:sz w:val="28"/>
          <w:highlight w:val="none"/>
          <w:lang w:val="zh-CN"/>
        </w:rPr>
        <w:t>21.告知成交结果</w:t>
      </w:r>
      <w:bookmarkEnd w:id="145"/>
      <w:bookmarkEnd w:id="146"/>
      <w:bookmarkEnd w:id="147"/>
    </w:p>
    <w:p>
      <w:pPr>
        <w:autoSpaceDE w:val="0"/>
        <w:autoSpaceDN w:val="0"/>
        <w:adjustRightInd w:val="0"/>
        <w:spacing w:line="360" w:lineRule="auto"/>
        <w:rPr>
          <w:rFonts w:ascii="宋体" w:hAnsi="宋体" w:cs="Calibri"/>
          <w:color w:val="auto"/>
          <w:kern w:val="0"/>
          <w:sz w:val="24"/>
          <w:highlight w:val="none"/>
        </w:rPr>
      </w:pPr>
      <w:r>
        <w:rPr>
          <w:rFonts w:hint="eastAsia" w:ascii="宋体" w:hAnsi="宋体" w:cs="Calibri"/>
          <w:color w:val="auto"/>
          <w:kern w:val="0"/>
          <w:sz w:val="24"/>
          <w:highlight w:val="none"/>
        </w:rPr>
        <w:t>21.1采购代理机构在发出成交通知书的同时，应当发布成交公告或向所有未成交的供应商发出成交结果通知书，告知成交结果。</w:t>
      </w:r>
    </w:p>
    <w:p>
      <w:pPr>
        <w:pStyle w:val="35"/>
        <w:rPr>
          <w:color w:val="auto"/>
          <w:highlight w:val="none"/>
          <w:lang w:val="zh-CN"/>
        </w:rPr>
      </w:pPr>
      <w:bookmarkStart w:id="148" w:name="_Toc10730562"/>
      <w:bookmarkStart w:id="149" w:name="_Toc13582322"/>
      <w:bookmarkStart w:id="150" w:name="_Toc945"/>
      <w:bookmarkStart w:id="151" w:name="_Toc28480"/>
      <w:bookmarkStart w:id="152" w:name="_Toc13508"/>
      <w:bookmarkStart w:id="153" w:name="_Toc4265"/>
      <w:bookmarkStart w:id="154" w:name="_Toc27598"/>
      <w:r>
        <w:rPr>
          <w:rFonts w:hint="eastAsia"/>
          <w:color w:val="auto"/>
          <w:highlight w:val="none"/>
          <w:lang w:val="zh-CN"/>
        </w:rPr>
        <w:t>七、签订合同</w:t>
      </w:r>
      <w:bookmarkEnd w:id="148"/>
      <w:bookmarkEnd w:id="149"/>
      <w:bookmarkEnd w:id="150"/>
      <w:bookmarkEnd w:id="151"/>
      <w:bookmarkEnd w:id="152"/>
      <w:bookmarkEnd w:id="153"/>
      <w:bookmarkEnd w:id="154"/>
    </w:p>
    <w:p>
      <w:pPr>
        <w:pStyle w:val="35"/>
        <w:jc w:val="left"/>
        <w:rPr>
          <w:rFonts w:ascii="宋体" w:hAnsi="宋体"/>
          <w:color w:val="auto"/>
          <w:sz w:val="28"/>
          <w:szCs w:val="24"/>
          <w:highlight w:val="none"/>
          <w:lang w:val="zh-CN"/>
        </w:rPr>
      </w:pPr>
      <w:bookmarkStart w:id="155" w:name="_Toc433893383"/>
      <w:bookmarkStart w:id="156" w:name="_Toc13582323"/>
      <w:bookmarkStart w:id="157" w:name="_Toc10730241"/>
      <w:bookmarkStart w:id="158" w:name="_Toc10730563"/>
      <w:bookmarkStart w:id="159" w:name="_Toc19315"/>
      <w:bookmarkStart w:id="160" w:name="_Toc30646"/>
      <w:bookmarkStart w:id="161" w:name="_Toc19072"/>
      <w:bookmarkStart w:id="162" w:name="_Toc10647"/>
      <w:bookmarkStart w:id="163" w:name="_Toc21492"/>
      <w:r>
        <w:rPr>
          <w:rFonts w:ascii="宋体" w:hAnsi="宋体"/>
          <w:color w:val="auto"/>
          <w:sz w:val="28"/>
          <w:szCs w:val="24"/>
          <w:highlight w:val="none"/>
          <w:lang w:val="zh-CN"/>
        </w:rPr>
        <w:t>2</w:t>
      </w:r>
      <w:r>
        <w:rPr>
          <w:rFonts w:hint="eastAsia" w:ascii="宋体" w:hAnsi="宋体"/>
          <w:color w:val="auto"/>
          <w:sz w:val="28"/>
          <w:szCs w:val="24"/>
          <w:highlight w:val="none"/>
          <w:lang w:val="zh-CN"/>
        </w:rPr>
        <w:t>2</w:t>
      </w:r>
      <w:r>
        <w:rPr>
          <w:rFonts w:ascii="宋体" w:hAnsi="宋体"/>
          <w:color w:val="auto"/>
          <w:sz w:val="28"/>
          <w:szCs w:val="24"/>
          <w:highlight w:val="none"/>
          <w:lang w:val="zh-CN"/>
        </w:rPr>
        <w:t>.</w:t>
      </w:r>
      <w:r>
        <w:rPr>
          <w:rFonts w:hint="eastAsia" w:ascii="宋体" w:hAnsi="宋体"/>
          <w:color w:val="auto"/>
          <w:sz w:val="28"/>
          <w:szCs w:val="24"/>
          <w:highlight w:val="none"/>
          <w:lang w:val="zh-CN"/>
        </w:rPr>
        <w:t>协助签订合同</w:t>
      </w:r>
      <w:bookmarkEnd w:id="155"/>
      <w:bookmarkEnd w:id="156"/>
      <w:bookmarkEnd w:id="157"/>
      <w:bookmarkEnd w:id="158"/>
      <w:bookmarkEnd w:id="159"/>
      <w:bookmarkEnd w:id="160"/>
      <w:bookmarkEnd w:id="161"/>
      <w:bookmarkEnd w:id="162"/>
      <w:bookmarkEnd w:id="163"/>
    </w:p>
    <w:p>
      <w:pPr>
        <w:autoSpaceDE w:val="0"/>
        <w:autoSpaceDN w:val="0"/>
        <w:adjustRightInd w:val="0"/>
        <w:spacing w:line="360" w:lineRule="auto"/>
        <w:rPr>
          <w:rFonts w:ascii="宋体" w:hAnsi="宋体" w:cs="Calibri"/>
          <w:color w:val="auto"/>
          <w:kern w:val="0"/>
          <w:sz w:val="24"/>
          <w:highlight w:val="none"/>
        </w:rPr>
      </w:pPr>
      <w:r>
        <w:rPr>
          <w:rFonts w:ascii="宋体" w:hAnsi="宋体" w:cs="Calibri"/>
          <w:color w:val="auto"/>
          <w:kern w:val="0"/>
          <w:sz w:val="24"/>
          <w:highlight w:val="none"/>
        </w:rPr>
        <w:t>2</w:t>
      </w:r>
      <w:r>
        <w:rPr>
          <w:rFonts w:hint="eastAsia" w:ascii="宋体" w:hAnsi="宋体" w:cs="Calibri"/>
          <w:color w:val="auto"/>
          <w:kern w:val="0"/>
          <w:sz w:val="24"/>
          <w:highlight w:val="none"/>
        </w:rPr>
        <w:t>2</w:t>
      </w:r>
      <w:r>
        <w:rPr>
          <w:rFonts w:ascii="宋体" w:hAnsi="宋体" w:cs="Calibri"/>
          <w:color w:val="auto"/>
          <w:kern w:val="0"/>
          <w:sz w:val="24"/>
          <w:highlight w:val="none"/>
        </w:rPr>
        <w:t>.1</w:t>
      </w:r>
      <w:r>
        <w:rPr>
          <w:rFonts w:hint="eastAsia" w:ascii="宋体" w:hAnsi="宋体" w:cs="Calibri"/>
          <w:color w:val="auto"/>
          <w:kern w:val="0"/>
          <w:sz w:val="24"/>
          <w:highlight w:val="none"/>
        </w:rPr>
        <w:t>在成交通知书发出后，采购代理机构可根据委托代理合同的约定，协助采购人及时与成交供应商签订合同（一般情况是成交通知书发出30日内日）。采购代理机构在合同签订时一般负责准备合同文件草稿、协助采购人对履约保证金情况进行核实（如有履约保证金）、协助采购人对合同细节进行校核。</w:t>
      </w:r>
    </w:p>
    <w:p>
      <w:pPr>
        <w:autoSpaceDE w:val="0"/>
        <w:autoSpaceDN w:val="0"/>
        <w:adjustRightInd w:val="0"/>
        <w:spacing w:line="360" w:lineRule="auto"/>
        <w:rPr>
          <w:rFonts w:ascii="宋体" w:hAnsi="宋体" w:cs="Calibri"/>
          <w:color w:val="auto"/>
          <w:kern w:val="0"/>
          <w:sz w:val="24"/>
          <w:highlight w:val="none"/>
        </w:rPr>
      </w:pPr>
      <w:r>
        <w:rPr>
          <w:rFonts w:ascii="宋体" w:hAnsi="宋体" w:cs="Calibri"/>
          <w:color w:val="auto"/>
          <w:kern w:val="0"/>
          <w:sz w:val="24"/>
          <w:highlight w:val="none"/>
        </w:rPr>
        <w:t>2</w:t>
      </w:r>
      <w:r>
        <w:rPr>
          <w:rFonts w:hint="eastAsia" w:ascii="宋体" w:hAnsi="宋体" w:cs="Calibri"/>
          <w:color w:val="auto"/>
          <w:kern w:val="0"/>
          <w:sz w:val="24"/>
          <w:highlight w:val="none"/>
        </w:rPr>
        <w:t>2</w:t>
      </w:r>
      <w:r>
        <w:rPr>
          <w:rFonts w:ascii="宋体" w:hAnsi="宋体" w:cs="Calibri"/>
          <w:color w:val="auto"/>
          <w:kern w:val="0"/>
          <w:sz w:val="24"/>
          <w:highlight w:val="none"/>
        </w:rPr>
        <w:t>.2</w:t>
      </w:r>
      <w:r>
        <w:rPr>
          <w:rFonts w:hint="eastAsia" w:ascii="宋体" w:hAnsi="宋体" w:cs="Calibri"/>
          <w:color w:val="auto"/>
          <w:kern w:val="0"/>
          <w:sz w:val="24"/>
          <w:highlight w:val="none"/>
        </w:rPr>
        <w:t>成交通知书发出后，采购人和成交供应商应在成交通知书规定的期限内签订合同。由于成交供应商拒绝签订合同，未按照采购文价规定</w:t>
      </w:r>
      <w:bookmarkStart w:id="164" w:name="_Toc433893384"/>
      <w:r>
        <w:rPr>
          <w:rFonts w:hint="eastAsia" w:ascii="宋体" w:hAnsi="宋体" w:cs="Calibri"/>
          <w:color w:val="auto"/>
          <w:kern w:val="0"/>
          <w:sz w:val="24"/>
          <w:highlight w:val="none"/>
        </w:rPr>
        <w:t>的形式、金额、时间等要求提交履约保证金，或其他原因导致在规定期限内合同无法签订的，采购代理机构应及时告知采购人存在的风险及补救建议，并协助采购人办理相关事宜。</w:t>
      </w:r>
    </w:p>
    <w:p>
      <w:pPr>
        <w:autoSpaceDE w:val="0"/>
        <w:autoSpaceDN w:val="0"/>
        <w:adjustRightInd w:val="0"/>
        <w:spacing w:line="360" w:lineRule="auto"/>
        <w:rPr>
          <w:rFonts w:ascii="宋体" w:hAnsi="宋体" w:cs="Calibri"/>
          <w:color w:val="auto"/>
          <w:kern w:val="0"/>
          <w:sz w:val="24"/>
          <w:highlight w:val="none"/>
        </w:rPr>
      </w:pPr>
      <w:r>
        <w:rPr>
          <w:rFonts w:hint="eastAsia" w:ascii="宋体" w:hAnsi="宋体" w:cs="Calibri"/>
          <w:color w:val="auto"/>
          <w:kern w:val="0"/>
          <w:sz w:val="24"/>
          <w:highlight w:val="none"/>
        </w:rPr>
        <w:t>22.3采购人、采购代理机构应当建立真实完整的采购档案，妥善保存每项采购活动的采购活动一系列的文件。保存期限不得少于五年，自采购项目采购代理工作完成之日算起。</w:t>
      </w:r>
    </w:p>
    <w:p>
      <w:pPr>
        <w:pStyle w:val="35"/>
        <w:rPr>
          <w:color w:val="auto"/>
          <w:highlight w:val="none"/>
          <w:lang w:val="zh-CN"/>
        </w:rPr>
      </w:pPr>
      <w:bookmarkStart w:id="165" w:name="_Toc13582324"/>
      <w:bookmarkStart w:id="166" w:name="_Toc10730242"/>
      <w:bookmarkStart w:id="167" w:name="_Toc10730564"/>
      <w:bookmarkStart w:id="168" w:name="_Toc5964"/>
      <w:bookmarkStart w:id="169" w:name="_Toc26181"/>
      <w:bookmarkStart w:id="170" w:name="_Toc16839"/>
      <w:bookmarkStart w:id="171" w:name="_Toc19629"/>
      <w:bookmarkStart w:id="172" w:name="_Toc4288"/>
      <w:r>
        <w:rPr>
          <w:rFonts w:hint="eastAsia"/>
          <w:color w:val="auto"/>
          <w:highlight w:val="none"/>
          <w:lang w:val="zh-CN"/>
        </w:rPr>
        <w:t>八、</w:t>
      </w:r>
      <w:bookmarkEnd w:id="164"/>
      <w:r>
        <w:rPr>
          <w:rFonts w:hint="eastAsia"/>
          <w:color w:val="auto"/>
          <w:highlight w:val="none"/>
          <w:lang w:val="zh-CN"/>
        </w:rPr>
        <w:t>重新采购</w:t>
      </w:r>
      <w:bookmarkEnd w:id="165"/>
      <w:bookmarkEnd w:id="166"/>
      <w:bookmarkEnd w:id="167"/>
      <w:bookmarkEnd w:id="168"/>
      <w:bookmarkEnd w:id="169"/>
      <w:bookmarkEnd w:id="170"/>
      <w:bookmarkEnd w:id="171"/>
      <w:bookmarkEnd w:id="172"/>
    </w:p>
    <w:p>
      <w:pPr>
        <w:pStyle w:val="35"/>
        <w:jc w:val="left"/>
        <w:rPr>
          <w:rFonts w:ascii="宋体" w:hAnsi="宋体"/>
          <w:color w:val="auto"/>
          <w:sz w:val="28"/>
          <w:szCs w:val="24"/>
          <w:highlight w:val="none"/>
          <w:lang w:val="zh-CN"/>
        </w:rPr>
      </w:pPr>
      <w:bookmarkStart w:id="173" w:name="_Toc10730565"/>
      <w:bookmarkStart w:id="174" w:name="_Toc10730243"/>
      <w:bookmarkStart w:id="175" w:name="_Toc13582325"/>
      <w:bookmarkStart w:id="176" w:name="_Toc433893385"/>
      <w:bookmarkStart w:id="177" w:name="_Toc31704"/>
      <w:bookmarkStart w:id="178" w:name="_Toc29170"/>
      <w:bookmarkStart w:id="179" w:name="_Toc10802"/>
      <w:bookmarkStart w:id="180" w:name="_Toc3960"/>
      <w:bookmarkStart w:id="181" w:name="_Toc22028"/>
      <w:r>
        <w:rPr>
          <w:rFonts w:ascii="宋体" w:hAnsi="宋体"/>
          <w:color w:val="auto"/>
          <w:sz w:val="28"/>
          <w:szCs w:val="24"/>
          <w:highlight w:val="none"/>
          <w:lang w:val="zh-CN"/>
        </w:rPr>
        <w:t>2</w:t>
      </w:r>
      <w:r>
        <w:rPr>
          <w:rFonts w:hint="eastAsia" w:ascii="宋体" w:hAnsi="宋体"/>
          <w:color w:val="auto"/>
          <w:sz w:val="28"/>
          <w:szCs w:val="24"/>
          <w:highlight w:val="none"/>
          <w:lang w:val="zh-CN"/>
        </w:rPr>
        <w:t>3</w:t>
      </w:r>
      <w:r>
        <w:rPr>
          <w:rFonts w:ascii="宋体" w:hAnsi="宋体"/>
          <w:color w:val="auto"/>
          <w:sz w:val="28"/>
          <w:szCs w:val="24"/>
          <w:highlight w:val="none"/>
          <w:lang w:val="zh-CN"/>
        </w:rPr>
        <w:t xml:space="preserve">. </w:t>
      </w:r>
      <w:r>
        <w:rPr>
          <w:rFonts w:hint="eastAsia" w:ascii="宋体" w:hAnsi="宋体"/>
          <w:color w:val="auto"/>
          <w:sz w:val="28"/>
          <w:szCs w:val="24"/>
          <w:highlight w:val="none"/>
          <w:lang w:val="zh-CN"/>
        </w:rPr>
        <w:t>重新采购情形</w:t>
      </w:r>
      <w:bookmarkEnd w:id="173"/>
      <w:bookmarkEnd w:id="174"/>
      <w:bookmarkEnd w:id="175"/>
      <w:bookmarkEnd w:id="176"/>
      <w:bookmarkEnd w:id="177"/>
      <w:bookmarkEnd w:id="178"/>
      <w:bookmarkEnd w:id="179"/>
      <w:bookmarkEnd w:id="180"/>
      <w:bookmarkEnd w:id="181"/>
    </w:p>
    <w:p>
      <w:pPr>
        <w:autoSpaceDE w:val="0"/>
        <w:autoSpaceDN w:val="0"/>
        <w:adjustRightInd w:val="0"/>
        <w:spacing w:line="360" w:lineRule="auto"/>
        <w:rPr>
          <w:rFonts w:ascii="宋体" w:hAnsi="宋体" w:cs="Calibri"/>
          <w:color w:val="auto"/>
          <w:kern w:val="0"/>
          <w:sz w:val="24"/>
          <w:highlight w:val="none"/>
        </w:rPr>
      </w:pPr>
      <w:r>
        <w:rPr>
          <w:rFonts w:ascii="宋体" w:hAnsi="宋体" w:cs="Calibri"/>
          <w:color w:val="auto"/>
          <w:kern w:val="0"/>
          <w:sz w:val="24"/>
          <w:highlight w:val="none"/>
        </w:rPr>
        <w:t>2</w:t>
      </w:r>
      <w:r>
        <w:rPr>
          <w:rFonts w:hint="eastAsia" w:ascii="宋体" w:hAnsi="宋体" w:cs="Calibri"/>
          <w:color w:val="auto"/>
          <w:kern w:val="0"/>
          <w:sz w:val="24"/>
          <w:highlight w:val="none"/>
        </w:rPr>
        <w:t>3</w:t>
      </w:r>
      <w:r>
        <w:rPr>
          <w:rFonts w:ascii="宋体" w:hAnsi="宋体" w:cs="Calibri"/>
          <w:color w:val="auto"/>
          <w:kern w:val="0"/>
          <w:sz w:val="24"/>
          <w:highlight w:val="none"/>
        </w:rPr>
        <w:t>.1</w:t>
      </w:r>
      <w:r>
        <w:rPr>
          <w:rFonts w:hint="eastAsia" w:ascii="宋体" w:hAnsi="宋体" w:cs="Calibri"/>
          <w:color w:val="auto"/>
          <w:kern w:val="0"/>
          <w:sz w:val="24"/>
          <w:highlight w:val="none"/>
        </w:rPr>
        <w:t>在谈判采购中，供应商最终报价均明显不合理的，采购人可决定继续或终止谈判活动，或重新组织采购活动。</w:t>
      </w:r>
    </w:p>
    <w:p>
      <w:pPr>
        <w:autoSpaceDE w:val="0"/>
        <w:autoSpaceDN w:val="0"/>
        <w:adjustRightInd w:val="0"/>
        <w:spacing w:line="360" w:lineRule="auto"/>
        <w:rPr>
          <w:rFonts w:ascii="宋体" w:hAnsi="宋体" w:cs="Calibri"/>
          <w:color w:val="auto"/>
          <w:kern w:val="0"/>
          <w:sz w:val="24"/>
          <w:highlight w:val="none"/>
        </w:rPr>
      </w:pPr>
      <w:r>
        <w:rPr>
          <w:rFonts w:ascii="宋体" w:hAnsi="宋体" w:cs="Calibri"/>
          <w:color w:val="auto"/>
          <w:kern w:val="0"/>
          <w:sz w:val="24"/>
          <w:highlight w:val="none"/>
        </w:rPr>
        <w:t>2</w:t>
      </w:r>
      <w:r>
        <w:rPr>
          <w:rFonts w:hint="eastAsia" w:ascii="宋体" w:hAnsi="宋体" w:cs="Calibri"/>
          <w:color w:val="auto"/>
          <w:kern w:val="0"/>
          <w:sz w:val="24"/>
          <w:highlight w:val="none"/>
        </w:rPr>
        <w:t>3</w:t>
      </w:r>
      <w:r>
        <w:rPr>
          <w:rFonts w:ascii="宋体" w:hAnsi="宋体" w:cs="Calibri"/>
          <w:color w:val="auto"/>
          <w:kern w:val="0"/>
          <w:sz w:val="24"/>
          <w:highlight w:val="none"/>
        </w:rPr>
        <w:t>.</w:t>
      </w:r>
      <w:r>
        <w:rPr>
          <w:rFonts w:hint="eastAsia" w:ascii="宋体" w:hAnsi="宋体" w:cs="Calibri"/>
          <w:color w:val="auto"/>
          <w:kern w:val="0"/>
          <w:sz w:val="24"/>
          <w:highlight w:val="none"/>
        </w:rPr>
        <w:t>2终止后，由采购代理机构发布终止公告。</w:t>
      </w:r>
    </w:p>
    <w:p>
      <w:pPr>
        <w:pStyle w:val="35"/>
        <w:rPr>
          <w:color w:val="auto"/>
          <w:highlight w:val="none"/>
          <w:lang w:val="zh-CN"/>
        </w:rPr>
      </w:pPr>
      <w:bookmarkStart w:id="182" w:name="_Toc17712523"/>
      <w:bookmarkStart w:id="183" w:name="_Toc8605"/>
      <w:bookmarkStart w:id="184" w:name="_Toc15181"/>
      <w:bookmarkStart w:id="185" w:name="_Toc24347"/>
      <w:bookmarkStart w:id="186" w:name="_Toc8677"/>
      <w:bookmarkStart w:id="187" w:name="_Toc16586"/>
      <w:r>
        <w:rPr>
          <w:rFonts w:hint="eastAsia"/>
          <w:color w:val="auto"/>
          <w:highlight w:val="none"/>
          <w:lang w:val="zh-CN"/>
        </w:rPr>
        <w:t>九、采购代理服务费</w:t>
      </w:r>
      <w:bookmarkEnd w:id="182"/>
      <w:bookmarkEnd w:id="183"/>
      <w:bookmarkEnd w:id="184"/>
      <w:bookmarkEnd w:id="185"/>
      <w:bookmarkEnd w:id="186"/>
      <w:bookmarkEnd w:id="187"/>
    </w:p>
    <w:p>
      <w:pPr>
        <w:autoSpaceDE w:val="0"/>
        <w:autoSpaceDN w:val="0"/>
        <w:adjustRightInd w:val="0"/>
        <w:spacing w:line="360" w:lineRule="auto"/>
        <w:rPr>
          <w:rFonts w:hint="eastAsia" w:ascii="宋体" w:hAnsi="宋体" w:cs="Calibri"/>
          <w:color w:val="auto"/>
          <w:kern w:val="0"/>
          <w:sz w:val="24"/>
          <w:highlight w:val="none"/>
        </w:rPr>
      </w:pPr>
      <w:r>
        <w:rPr>
          <w:rFonts w:hint="eastAsia" w:ascii="宋体" w:hAnsi="宋体" w:cs="Calibri"/>
          <w:color w:val="auto"/>
          <w:kern w:val="0"/>
          <w:sz w:val="24"/>
          <w:highlight w:val="none"/>
        </w:rPr>
        <w:t>1、收取对象：招标人支付</w:t>
      </w:r>
    </w:p>
    <w:p>
      <w:pPr>
        <w:pStyle w:val="127"/>
        <w:ind w:left="0" w:leftChars="0" w:firstLine="0" w:firstLineChars="0"/>
        <w:rPr>
          <w:rFonts w:hint="default" w:ascii="宋体" w:hAnsi="宋体" w:eastAsia="宋体" w:cs="Calibri"/>
          <w:color w:val="auto"/>
          <w:kern w:val="0"/>
          <w:sz w:val="24"/>
          <w:szCs w:val="24"/>
          <w:highlight w:val="none"/>
          <w:lang w:val="en-US" w:eastAsia="zh-CN" w:bidi="ar-SA"/>
        </w:rPr>
      </w:pPr>
      <w:r>
        <w:rPr>
          <w:rFonts w:hint="eastAsia" w:ascii="宋体" w:hAnsi="宋体" w:eastAsia="宋体" w:cs="Calibri"/>
          <w:color w:val="auto"/>
          <w:kern w:val="0"/>
          <w:sz w:val="24"/>
          <w:szCs w:val="24"/>
          <w:highlight w:val="none"/>
          <w:lang w:val="zh-CN" w:eastAsia="zh-CN" w:bidi="ar-SA"/>
        </w:rPr>
        <w:t>2、</w:t>
      </w:r>
      <w:bookmarkStart w:id="188" w:name="_Toc10730567"/>
      <w:bookmarkStart w:id="189" w:name="_Toc13582327"/>
      <w:bookmarkStart w:id="190" w:name="_Toc16376"/>
      <w:r>
        <w:rPr>
          <w:rFonts w:hint="eastAsia" w:ascii="宋体" w:hAnsi="宋体" w:eastAsia="宋体" w:cs="Calibri"/>
          <w:color w:val="auto"/>
          <w:kern w:val="0"/>
          <w:sz w:val="24"/>
          <w:szCs w:val="24"/>
          <w:highlight w:val="none"/>
          <w:lang w:val="en-US" w:eastAsia="zh-CN" w:bidi="ar-SA"/>
        </w:rPr>
        <w:t>收费标准及金额</w:t>
      </w:r>
    </w:p>
    <w:p>
      <w:pPr>
        <w:autoSpaceDE w:val="0"/>
        <w:autoSpaceDN w:val="0"/>
        <w:adjustRightInd w:val="0"/>
        <w:spacing w:line="360" w:lineRule="auto"/>
        <w:rPr>
          <w:rFonts w:hint="eastAsia" w:ascii="宋体" w:hAnsi="宋体" w:eastAsia="宋体" w:cs="Calibri"/>
          <w:color w:val="auto"/>
          <w:kern w:val="0"/>
          <w:sz w:val="24"/>
          <w:highlight w:val="none"/>
          <w:lang w:val="zh-CN"/>
        </w:rPr>
      </w:pPr>
      <w:r>
        <w:rPr>
          <w:rFonts w:hint="eastAsia" w:ascii="宋体" w:hAnsi="宋体" w:eastAsia="宋体" w:cs="Calibri"/>
          <w:color w:val="auto"/>
          <w:kern w:val="0"/>
          <w:sz w:val="24"/>
          <w:highlight w:val="none"/>
        </w:rPr>
        <w:t>说明：根据</w:t>
      </w:r>
      <w:r>
        <w:rPr>
          <w:rFonts w:hint="eastAsia" w:ascii="宋体" w:hAnsi="宋体" w:eastAsia="宋体" w:cs="Calibri"/>
          <w:color w:val="auto"/>
          <w:kern w:val="0"/>
          <w:sz w:val="24"/>
          <w:highlight w:val="none"/>
          <w:lang w:val="zh-CN"/>
        </w:rPr>
        <w:t>《关于进一步放开建设项目专项业务服务价格的通知》（发改价格[2015]299号）规定，实行市场调节价，应严格遵守《价格法》、《关于商品和服务实行明码标价的规定》等法律法规的规定，由采购人和采购代理机构共同确定合理的收费金额</w:t>
      </w:r>
      <w:r>
        <w:rPr>
          <w:rFonts w:hint="eastAsia" w:ascii="宋体" w:hAnsi="宋体" w:eastAsia="宋体" w:cs="Calibri"/>
          <w:color w:val="auto"/>
          <w:kern w:val="0"/>
          <w:sz w:val="24"/>
          <w:highlight w:val="none"/>
        </w:rPr>
        <w:t>。</w:t>
      </w:r>
    </w:p>
    <w:p>
      <w:pPr>
        <w:autoSpaceDE w:val="0"/>
        <w:autoSpaceDN w:val="0"/>
        <w:adjustRightInd w:val="0"/>
        <w:spacing w:line="360" w:lineRule="auto"/>
        <w:rPr>
          <w:rFonts w:hint="eastAsia"/>
          <w:b/>
          <w:color w:val="auto"/>
          <w:sz w:val="44"/>
          <w:highlight w:val="none"/>
          <w:lang w:val="zh-CN"/>
        </w:rPr>
      </w:pPr>
      <w:r>
        <w:rPr>
          <w:rFonts w:hint="eastAsia" w:ascii="宋体" w:hAnsi="宋体" w:eastAsia="宋体" w:cs="Calibri"/>
          <w:color w:val="auto"/>
          <w:kern w:val="0"/>
          <w:sz w:val="24"/>
          <w:highlight w:val="none"/>
          <w:lang w:val="zh-CN"/>
        </w:rPr>
        <w:t>其他未尽事宜，按照《中华人民共和国政府采购法》、《中华人民共和国政府采购法实施条例》、《中华人民共和国合同法》等法律法规的有关条款执行。</w:t>
      </w:r>
    </w:p>
    <w:p>
      <w:pPr>
        <w:autoSpaceDE w:val="0"/>
        <w:autoSpaceDN w:val="0"/>
        <w:adjustRightInd w:val="0"/>
        <w:spacing w:line="360" w:lineRule="auto"/>
        <w:jc w:val="center"/>
        <w:rPr>
          <w:rFonts w:hint="eastAsia"/>
          <w:b/>
          <w:color w:val="auto"/>
          <w:sz w:val="44"/>
          <w:highlight w:val="none"/>
          <w:lang w:val="zh-CN"/>
        </w:rPr>
      </w:pPr>
    </w:p>
    <w:p>
      <w:pPr>
        <w:pStyle w:val="35"/>
        <w:spacing w:line="360" w:lineRule="auto"/>
        <w:jc w:val="center"/>
        <w:rPr>
          <w:rFonts w:hint="eastAsia"/>
          <w:color w:val="auto"/>
          <w:sz w:val="44"/>
          <w:szCs w:val="36"/>
          <w:highlight w:val="none"/>
          <w:lang w:val="zh-CN" w:eastAsia="zh-CN"/>
        </w:rPr>
      </w:pPr>
      <w:r>
        <w:rPr>
          <w:rFonts w:hint="eastAsia"/>
          <w:color w:val="auto"/>
          <w:sz w:val="44"/>
          <w:szCs w:val="36"/>
          <w:highlight w:val="none"/>
          <w:lang w:val="en-US" w:eastAsia="zh-CN"/>
        </w:rPr>
        <w:t xml:space="preserve"> </w:t>
      </w:r>
      <w:bookmarkStart w:id="191" w:name="_Toc32097"/>
      <w:bookmarkStart w:id="192" w:name="_Toc1951"/>
      <w:r>
        <w:rPr>
          <w:rFonts w:hint="eastAsia"/>
          <w:color w:val="auto"/>
          <w:sz w:val="44"/>
          <w:szCs w:val="36"/>
          <w:highlight w:val="none"/>
          <w:lang w:val="en-US" w:eastAsia="zh-CN"/>
        </w:rPr>
        <w:t xml:space="preserve">第三部分  </w:t>
      </w:r>
      <w:r>
        <w:rPr>
          <w:rFonts w:hint="eastAsia"/>
          <w:color w:val="auto"/>
          <w:sz w:val="44"/>
          <w:szCs w:val="36"/>
          <w:highlight w:val="none"/>
          <w:lang w:val="zh-CN" w:eastAsia="zh-CN"/>
        </w:rPr>
        <w:t>评审办法</w:t>
      </w:r>
      <w:bookmarkEnd w:id="188"/>
      <w:bookmarkEnd w:id="189"/>
      <w:bookmarkEnd w:id="190"/>
      <w:bookmarkEnd w:id="191"/>
      <w:bookmarkEnd w:id="192"/>
    </w:p>
    <w:p>
      <w:pPr>
        <w:numPr>
          <w:ilvl w:val="0"/>
          <w:numId w:val="0"/>
        </w:numPr>
        <w:rPr>
          <w:rFonts w:hint="eastAsia"/>
          <w:color w:val="auto"/>
          <w:highlight w:val="none"/>
          <w:lang w:eastAsia="zh-CN"/>
        </w:rPr>
      </w:pPr>
    </w:p>
    <w:tbl>
      <w:tblPr>
        <w:tblStyle w:val="36"/>
        <w:tblW w:w="91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9"/>
        <w:gridCol w:w="1021"/>
        <w:gridCol w:w="2381"/>
        <w:gridCol w:w="481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0" w:type="dxa"/>
            <w:gridSpan w:val="2"/>
          </w:tcPr>
          <w:p>
            <w:pPr>
              <w:spacing w:line="440" w:lineRule="exact"/>
              <w:jc w:val="center"/>
              <w:rPr>
                <w:rFonts w:ascii="宋体" w:hAnsi="宋体" w:cs="Calibri"/>
                <w:b/>
                <w:color w:val="auto"/>
                <w:kern w:val="0"/>
                <w:sz w:val="24"/>
                <w:highlight w:val="none"/>
              </w:rPr>
            </w:pPr>
            <w:r>
              <w:rPr>
                <w:rFonts w:ascii="宋体" w:hAnsi="宋体" w:cs="Calibri"/>
                <w:b/>
                <w:color w:val="auto"/>
                <w:kern w:val="0"/>
                <w:sz w:val="24"/>
                <w:highlight w:val="none"/>
              </w:rPr>
              <w:t>条款号</w:t>
            </w:r>
          </w:p>
        </w:tc>
        <w:tc>
          <w:tcPr>
            <w:tcW w:w="2381" w:type="dxa"/>
          </w:tcPr>
          <w:p>
            <w:pPr>
              <w:spacing w:line="440" w:lineRule="exact"/>
              <w:jc w:val="center"/>
              <w:rPr>
                <w:rFonts w:ascii="宋体" w:hAnsi="宋体" w:cs="Calibri"/>
                <w:b/>
                <w:color w:val="auto"/>
                <w:kern w:val="0"/>
                <w:sz w:val="24"/>
                <w:highlight w:val="none"/>
              </w:rPr>
            </w:pPr>
            <w:r>
              <w:rPr>
                <w:rFonts w:ascii="宋体" w:hAnsi="宋体" w:cs="Calibri"/>
                <w:b/>
                <w:color w:val="auto"/>
                <w:kern w:val="0"/>
                <w:sz w:val="24"/>
                <w:highlight w:val="none"/>
              </w:rPr>
              <w:t>评审因素</w:t>
            </w:r>
          </w:p>
        </w:tc>
        <w:tc>
          <w:tcPr>
            <w:tcW w:w="4819" w:type="dxa"/>
          </w:tcPr>
          <w:p>
            <w:pPr>
              <w:spacing w:line="440" w:lineRule="exact"/>
              <w:jc w:val="center"/>
              <w:rPr>
                <w:rFonts w:ascii="宋体" w:hAnsi="宋体" w:cs="Calibri"/>
                <w:b/>
                <w:color w:val="auto"/>
                <w:kern w:val="0"/>
                <w:sz w:val="24"/>
                <w:highlight w:val="none"/>
              </w:rPr>
            </w:pPr>
            <w:r>
              <w:rPr>
                <w:rFonts w:ascii="宋体" w:hAnsi="宋体" w:cs="Calibri"/>
                <w:b/>
                <w:color w:val="auto"/>
                <w:kern w:val="0"/>
                <w:sz w:val="24"/>
                <w:highlight w:val="none"/>
              </w:rPr>
              <w:t>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Merge w:val="restart"/>
            <w:vAlign w:val="center"/>
          </w:tcPr>
          <w:p>
            <w:pPr>
              <w:spacing w:line="440" w:lineRule="exact"/>
              <w:jc w:val="center"/>
              <w:rPr>
                <w:rFonts w:ascii="宋体" w:hAnsi="宋体" w:cs="Calibri"/>
                <w:color w:val="auto"/>
                <w:kern w:val="0"/>
                <w:sz w:val="24"/>
                <w:highlight w:val="none"/>
              </w:rPr>
            </w:pPr>
            <w:r>
              <w:rPr>
                <w:rFonts w:hint="eastAsia" w:ascii="宋体" w:hAnsi="宋体" w:cs="Calibri"/>
                <w:color w:val="auto"/>
                <w:kern w:val="0"/>
                <w:sz w:val="24"/>
                <w:highlight w:val="none"/>
              </w:rPr>
              <w:t>3</w:t>
            </w:r>
            <w:r>
              <w:rPr>
                <w:rFonts w:ascii="宋体" w:hAnsi="宋体" w:cs="Calibri"/>
                <w:color w:val="auto"/>
                <w:kern w:val="0"/>
                <w:sz w:val="24"/>
                <w:highlight w:val="none"/>
              </w:rPr>
              <w:t>.1.</w:t>
            </w:r>
            <w:r>
              <w:rPr>
                <w:rFonts w:hint="eastAsia" w:ascii="宋体" w:hAnsi="宋体" w:cs="Calibri"/>
                <w:color w:val="auto"/>
                <w:kern w:val="0"/>
                <w:sz w:val="24"/>
                <w:highlight w:val="none"/>
              </w:rPr>
              <w:t>1</w:t>
            </w:r>
          </w:p>
        </w:tc>
        <w:tc>
          <w:tcPr>
            <w:tcW w:w="1021" w:type="dxa"/>
            <w:vMerge w:val="restart"/>
            <w:vAlign w:val="center"/>
          </w:tcPr>
          <w:p>
            <w:pPr>
              <w:spacing w:line="440" w:lineRule="exact"/>
              <w:jc w:val="center"/>
              <w:rPr>
                <w:rFonts w:ascii="宋体" w:hAnsi="宋体" w:cs="Calibri"/>
                <w:color w:val="auto"/>
                <w:kern w:val="0"/>
                <w:sz w:val="24"/>
                <w:highlight w:val="none"/>
              </w:rPr>
            </w:pPr>
            <w:r>
              <w:rPr>
                <w:rFonts w:ascii="宋体" w:hAnsi="宋体" w:cs="Calibri"/>
                <w:color w:val="auto"/>
                <w:kern w:val="0"/>
                <w:sz w:val="24"/>
                <w:highlight w:val="none"/>
              </w:rPr>
              <w:t>资格评审标准</w:t>
            </w:r>
          </w:p>
        </w:tc>
        <w:tc>
          <w:tcPr>
            <w:tcW w:w="2381" w:type="dxa"/>
          </w:tcPr>
          <w:p>
            <w:pPr>
              <w:spacing w:line="440" w:lineRule="exact"/>
              <w:jc w:val="center"/>
              <w:rPr>
                <w:rFonts w:ascii="宋体" w:hAnsi="宋体" w:cs="Calibri"/>
                <w:color w:val="auto"/>
                <w:kern w:val="0"/>
                <w:sz w:val="24"/>
                <w:highlight w:val="none"/>
              </w:rPr>
            </w:pPr>
            <w:r>
              <w:rPr>
                <w:rFonts w:hint="eastAsia" w:ascii="宋体" w:hAnsi="宋体" w:cs="Calibri"/>
                <w:color w:val="auto"/>
                <w:kern w:val="0"/>
                <w:sz w:val="24"/>
                <w:highlight w:val="none"/>
              </w:rPr>
              <w:t>供应商</w:t>
            </w:r>
            <w:r>
              <w:rPr>
                <w:rFonts w:ascii="宋体" w:hAnsi="宋体" w:cs="Calibri"/>
                <w:color w:val="auto"/>
                <w:kern w:val="0"/>
                <w:sz w:val="24"/>
                <w:highlight w:val="none"/>
              </w:rPr>
              <w:t>名称</w:t>
            </w:r>
          </w:p>
        </w:tc>
        <w:tc>
          <w:tcPr>
            <w:tcW w:w="4819" w:type="dxa"/>
            <w:vAlign w:val="center"/>
          </w:tcPr>
          <w:p>
            <w:pPr>
              <w:spacing w:line="440" w:lineRule="exact"/>
              <w:rPr>
                <w:rFonts w:ascii="宋体" w:hAnsi="宋体" w:cs="Calibri"/>
                <w:color w:val="auto"/>
                <w:kern w:val="0"/>
                <w:sz w:val="24"/>
                <w:highlight w:val="none"/>
              </w:rPr>
            </w:pPr>
            <w:r>
              <w:rPr>
                <w:rFonts w:ascii="宋体" w:hAnsi="宋体" w:cs="Calibri"/>
                <w:color w:val="auto"/>
                <w:kern w:val="0"/>
                <w:sz w:val="24"/>
                <w:highlight w:val="none"/>
              </w:rPr>
              <w:t>与营业执照</w:t>
            </w:r>
            <w:r>
              <w:rPr>
                <w:rFonts w:hint="eastAsia" w:ascii="宋体" w:hAnsi="宋体" w:cs="Calibri"/>
                <w:color w:val="auto"/>
                <w:kern w:val="0"/>
                <w:sz w:val="24"/>
                <w:highlight w:val="none"/>
              </w:rPr>
              <w:t>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59" w:type="dxa"/>
            <w:vMerge w:val="continue"/>
            <w:vAlign w:val="center"/>
          </w:tcPr>
          <w:p>
            <w:pPr>
              <w:spacing w:line="440" w:lineRule="exact"/>
              <w:jc w:val="center"/>
              <w:rPr>
                <w:rFonts w:ascii="宋体" w:hAnsi="宋体" w:cs="Calibri"/>
                <w:color w:val="auto"/>
                <w:kern w:val="0"/>
                <w:sz w:val="24"/>
                <w:highlight w:val="none"/>
              </w:rPr>
            </w:pPr>
          </w:p>
        </w:tc>
        <w:tc>
          <w:tcPr>
            <w:tcW w:w="1021" w:type="dxa"/>
            <w:vMerge w:val="continue"/>
            <w:vAlign w:val="center"/>
          </w:tcPr>
          <w:p>
            <w:pPr>
              <w:spacing w:line="440" w:lineRule="exact"/>
              <w:jc w:val="center"/>
              <w:rPr>
                <w:rFonts w:ascii="宋体" w:hAnsi="宋体" w:cs="Calibri"/>
                <w:color w:val="auto"/>
                <w:kern w:val="0"/>
                <w:sz w:val="24"/>
                <w:highlight w:val="none"/>
              </w:rPr>
            </w:pPr>
          </w:p>
        </w:tc>
        <w:tc>
          <w:tcPr>
            <w:tcW w:w="2381" w:type="dxa"/>
          </w:tcPr>
          <w:p>
            <w:pPr>
              <w:spacing w:line="440" w:lineRule="exact"/>
              <w:jc w:val="center"/>
              <w:rPr>
                <w:rFonts w:ascii="宋体" w:hAnsi="宋体" w:cs="Calibri"/>
                <w:color w:val="auto"/>
                <w:kern w:val="0"/>
                <w:sz w:val="24"/>
                <w:highlight w:val="none"/>
              </w:rPr>
            </w:pPr>
            <w:r>
              <w:rPr>
                <w:rFonts w:ascii="宋体" w:hAnsi="宋体" w:cs="Calibri"/>
                <w:color w:val="auto"/>
                <w:kern w:val="0"/>
                <w:sz w:val="24"/>
                <w:highlight w:val="none"/>
              </w:rPr>
              <w:t>财务状况</w:t>
            </w:r>
          </w:p>
        </w:tc>
        <w:tc>
          <w:tcPr>
            <w:tcW w:w="4819" w:type="dxa"/>
            <w:vAlign w:val="center"/>
          </w:tcPr>
          <w:p>
            <w:pPr>
              <w:rPr>
                <w:rFonts w:ascii="宋体" w:hAnsi="宋体" w:cs="Calibri"/>
                <w:color w:val="auto"/>
                <w:kern w:val="0"/>
                <w:sz w:val="24"/>
                <w:highlight w:val="none"/>
              </w:rPr>
            </w:pPr>
            <w:r>
              <w:rPr>
                <w:rFonts w:ascii="宋体" w:hAnsi="宋体" w:cs="Calibri"/>
                <w:color w:val="auto"/>
                <w:kern w:val="0"/>
                <w:sz w:val="24"/>
                <w:highlight w:val="none"/>
              </w:rPr>
              <w:t>符合第二</w:t>
            </w:r>
            <w:r>
              <w:rPr>
                <w:rFonts w:hint="eastAsia" w:ascii="宋体" w:hAnsi="宋体" w:cs="Calibri"/>
                <w:color w:val="auto"/>
                <w:kern w:val="0"/>
                <w:sz w:val="24"/>
                <w:highlight w:val="none"/>
              </w:rPr>
              <w:t>部分</w:t>
            </w:r>
            <w:r>
              <w:rPr>
                <w:rFonts w:ascii="宋体" w:hAnsi="宋体" w:cs="Calibri"/>
                <w:color w:val="auto"/>
                <w:kern w:val="0"/>
                <w:sz w:val="24"/>
                <w:highlight w:val="none"/>
              </w:rPr>
              <w:t>“</w:t>
            </w:r>
            <w:r>
              <w:rPr>
                <w:rFonts w:hint="eastAsia" w:ascii="宋体" w:hAnsi="宋体" w:cs="Calibri"/>
                <w:color w:val="auto"/>
                <w:kern w:val="0"/>
                <w:sz w:val="24"/>
                <w:highlight w:val="none"/>
              </w:rPr>
              <w:t>供应商</w:t>
            </w:r>
            <w:r>
              <w:rPr>
                <w:rFonts w:ascii="宋体" w:hAnsi="宋体" w:cs="Calibri"/>
                <w:color w:val="auto"/>
                <w:kern w:val="0"/>
                <w:sz w:val="24"/>
                <w:highlight w:val="none"/>
              </w:rPr>
              <w:t>须知”规定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trPr>
        <w:tc>
          <w:tcPr>
            <w:tcW w:w="959" w:type="dxa"/>
            <w:vMerge w:val="continue"/>
            <w:vAlign w:val="center"/>
          </w:tcPr>
          <w:p>
            <w:pPr>
              <w:spacing w:line="440" w:lineRule="exact"/>
              <w:jc w:val="center"/>
              <w:rPr>
                <w:rFonts w:ascii="宋体" w:hAnsi="宋体" w:cs="Calibri"/>
                <w:color w:val="auto"/>
                <w:kern w:val="0"/>
                <w:sz w:val="24"/>
                <w:highlight w:val="none"/>
              </w:rPr>
            </w:pPr>
          </w:p>
        </w:tc>
        <w:tc>
          <w:tcPr>
            <w:tcW w:w="1021" w:type="dxa"/>
            <w:vMerge w:val="continue"/>
            <w:vAlign w:val="center"/>
          </w:tcPr>
          <w:p>
            <w:pPr>
              <w:spacing w:line="440" w:lineRule="exact"/>
              <w:jc w:val="center"/>
              <w:rPr>
                <w:rFonts w:ascii="宋体" w:hAnsi="宋体" w:cs="Calibri"/>
                <w:color w:val="auto"/>
                <w:kern w:val="0"/>
                <w:sz w:val="24"/>
                <w:highlight w:val="none"/>
              </w:rPr>
            </w:pPr>
          </w:p>
        </w:tc>
        <w:tc>
          <w:tcPr>
            <w:tcW w:w="2381" w:type="dxa"/>
          </w:tcPr>
          <w:p>
            <w:pPr>
              <w:spacing w:line="440" w:lineRule="exact"/>
              <w:jc w:val="center"/>
              <w:rPr>
                <w:rFonts w:ascii="宋体" w:hAnsi="宋体" w:cs="Calibri"/>
                <w:color w:val="auto"/>
                <w:kern w:val="0"/>
                <w:sz w:val="24"/>
                <w:highlight w:val="none"/>
              </w:rPr>
            </w:pPr>
            <w:r>
              <w:rPr>
                <w:rFonts w:ascii="宋体" w:hAnsi="宋体" w:cs="Calibri"/>
                <w:color w:val="auto"/>
                <w:kern w:val="0"/>
                <w:sz w:val="24"/>
                <w:highlight w:val="none"/>
              </w:rPr>
              <w:t>信誉</w:t>
            </w:r>
          </w:p>
        </w:tc>
        <w:tc>
          <w:tcPr>
            <w:tcW w:w="4819" w:type="dxa"/>
            <w:vAlign w:val="center"/>
          </w:tcPr>
          <w:p>
            <w:pPr>
              <w:rPr>
                <w:rFonts w:ascii="宋体" w:hAnsi="宋体" w:cs="Calibri"/>
                <w:color w:val="auto"/>
                <w:kern w:val="0"/>
                <w:sz w:val="24"/>
                <w:highlight w:val="none"/>
              </w:rPr>
            </w:pPr>
            <w:r>
              <w:rPr>
                <w:rFonts w:ascii="宋体" w:hAnsi="宋体" w:cs="Calibri"/>
                <w:color w:val="auto"/>
                <w:kern w:val="0"/>
                <w:sz w:val="24"/>
                <w:highlight w:val="none"/>
              </w:rPr>
              <w:t>符合第二</w:t>
            </w:r>
            <w:r>
              <w:rPr>
                <w:rFonts w:hint="eastAsia" w:ascii="宋体" w:hAnsi="宋体" w:cs="Calibri"/>
                <w:color w:val="auto"/>
                <w:kern w:val="0"/>
                <w:sz w:val="24"/>
                <w:highlight w:val="none"/>
              </w:rPr>
              <w:t>部分</w:t>
            </w:r>
            <w:r>
              <w:rPr>
                <w:rFonts w:ascii="宋体" w:hAnsi="宋体" w:cs="Calibri"/>
                <w:color w:val="auto"/>
                <w:kern w:val="0"/>
                <w:sz w:val="24"/>
                <w:highlight w:val="none"/>
              </w:rPr>
              <w:t>“</w:t>
            </w:r>
            <w:r>
              <w:rPr>
                <w:rFonts w:hint="eastAsia" w:ascii="宋体" w:hAnsi="宋体" w:cs="Calibri"/>
                <w:color w:val="auto"/>
                <w:kern w:val="0"/>
                <w:sz w:val="24"/>
                <w:highlight w:val="none"/>
              </w:rPr>
              <w:t>供应商</w:t>
            </w:r>
            <w:r>
              <w:rPr>
                <w:rFonts w:ascii="宋体" w:hAnsi="宋体" w:cs="Calibri"/>
                <w:color w:val="auto"/>
                <w:kern w:val="0"/>
                <w:sz w:val="24"/>
                <w:highlight w:val="none"/>
              </w:rPr>
              <w:t>须知”规定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Merge w:val="continue"/>
            <w:vAlign w:val="center"/>
          </w:tcPr>
          <w:p>
            <w:pPr>
              <w:spacing w:line="440" w:lineRule="exact"/>
              <w:jc w:val="center"/>
              <w:rPr>
                <w:rFonts w:ascii="宋体" w:hAnsi="宋体" w:cs="Calibri"/>
                <w:color w:val="auto"/>
                <w:kern w:val="0"/>
                <w:sz w:val="24"/>
                <w:highlight w:val="none"/>
              </w:rPr>
            </w:pPr>
          </w:p>
        </w:tc>
        <w:tc>
          <w:tcPr>
            <w:tcW w:w="1021" w:type="dxa"/>
            <w:vMerge w:val="continue"/>
            <w:vAlign w:val="center"/>
          </w:tcPr>
          <w:p>
            <w:pPr>
              <w:spacing w:line="440" w:lineRule="exact"/>
              <w:jc w:val="center"/>
              <w:rPr>
                <w:rFonts w:ascii="宋体" w:hAnsi="宋体" w:cs="Calibri"/>
                <w:color w:val="auto"/>
                <w:kern w:val="0"/>
                <w:sz w:val="24"/>
                <w:highlight w:val="none"/>
              </w:rPr>
            </w:pPr>
          </w:p>
        </w:tc>
        <w:tc>
          <w:tcPr>
            <w:tcW w:w="2381" w:type="dxa"/>
          </w:tcPr>
          <w:p>
            <w:pPr>
              <w:spacing w:line="440" w:lineRule="exact"/>
              <w:jc w:val="center"/>
              <w:rPr>
                <w:rFonts w:ascii="宋体" w:hAnsi="宋体" w:cs="Calibri"/>
                <w:color w:val="auto"/>
                <w:kern w:val="0"/>
                <w:sz w:val="24"/>
                <w:highlight w:val="none"/>
              </w:rPr>
            </w:pPr>
            <w:r>
              <w:rPr>
                <w:rFonts w:hint="eastAsia" w:ascii="宋体" w:hAnsi="宋体" w:cs="Calibri"/>
                <w:color w:val="auto"/>
                <w:kern w:val="0"/>
                <w:sz w:val="24"/>
                <w:highlight w:val="none"/>
              </w:rPr>
              <w:t>其他要求</w:t>
            </w:r>
          </w:p>
        </w:tc>
        <w:tc>
          <w:tcPr>
            <w:tcW w:w="4819" w:type="dxa"/>
            <w:vAlign w:val="center"/>
          </w:tcPr>
          <w:p>
            <w:pPr>
              <w:spacing w:line="440" w:lineRule="exact"/>
              <w:rPr>
                <w:rFonts w:ascii="宋体" w:hAnsi="宋体" w:cs="Calibri"/>
                <w:color w:val="auto"/>
                <w:kern w:val="0"/>
                <w:sz w:val="24"/>
                <w:highlight w:val="none"/>
              </w:rPr>
            </w:pPr>
            <w:r>
              <w:rPr>
                <w:rFonts w:ascii="宋体" w:hAnsi="宋体" w:cs="Calibri"/>
                <w:color w:val="auto"/>
                <w:kern w:val="0"/>
                <w:sz w:val="24"/>
                <w:highlight w:val="none"/>
              </w:rPr>
              <w:t>符合第二</w:t>
            </w:r>
            <w:r>
              <w:rPr>
                <w:rFonts w:hint="eastAsia" w:ascii="宋体" w:hAnsi="宋体" w:cs="Calibri"/>
                <w:color w:val="auto"/>
                <w:kern w:val="0"/>
                <w:sz w:val="24"/>
                <w:highlight w:val="none"/>
              </w:rPr>
              <w:t>部分</w:t>
            </w:r>
            <w:r>
              <w:rPr>
                <w:rFonts w:ascii="宋体" w:hAnsi="宋体" w:cs="Calibri"/>
                <w:color w:val="auto"/>
                <w:kern w:val="0"/>
                <w:sz w:val="24"/>
                <w:highlight w:val="none"/>
              </w:rPr>
              <w:t>“</w:t>
            </w:r>
            <w:r>
              <w:rPr>
                <w:rFonts w:hint="eastAsia" w:ascii="宋体" w:hAnsi="宋体" w:cs="Calibri"/>
                <w:color w:val="auto"/>
                <w:kern w:val="0"/>
                <w:sz w:val="24"/>
                <w:highlight w:val="none"/>
              </w:rPr>
              <w:t>供应商</w:t>
            </w:r>
            <w:r>
              <w:rPr>
                <w:rFonts w:ascii="宋体" w:hAnsi="宋体" w:cs="Calibri"/>
                <w:color w:val="auto"/>
                <w:kern w:val="0"/>
                <w:sz w:val="24"/>
                <w:highlight w:val="none"/>
              </w:rPr>
              <w:t>须知”规定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Merge w:val="restart"/>
            <w:vAlign w:val="center"/>
          </w:tcPr>
          <w:p>
            <w:pPr>
              <w:spacing w:line="440" w:lineRule="exact"/>
              <w:jc w:val="center"/>
              <w:rPr>
                <w:rFonts w:ascii="宋体" w:hAnsi="宋体" w:cs="Calibri"/>
                <w:color w:val="auto"/>
                <w:kern w:val="0"/>
                <w:sz w:val="24"/>
                <w:highlight w:val="none"/>
              </w:rPr>
            </w:pPr>
            <w:r>
              <w:rPr>
                <w:rFonts w:hint="eastAsia" w:ascii="宋体" w:hAnsi="宋体" w:cs="Calibri"/>
                <w:color w:val="auto"/>
                <w:kern w:val="0"/>
                <w:sz w:val="24"/>
                <w:highlight w:val="none"/>
              </w:rPr>
              <w:t>3</w:t>
            </w:r>
            <w:r>
              <w:rPr>
                <w:rFonts w:ascii="宋体" w:hAnsi="宋体" w:cs="Calibri"/>
                <w:color w:val="auto"/>
                <w:kern w:val="0"/>
                <w:sz w:val="24"/>
                <w:highlight w:val="none"/>
              </w:rPr>
              <w:t>.1.</w:t>
            </w:r>
            <w:r>
              <w:rPr>
                <w:rFonts w:hint="eastAsia" w:ascii="宋体" w:hAnsi="宋体" w:cs="Calibri"/>
                <w:color w:val="auto"/>
                <w:kern w:val="0"/>
                <w:sz w:val="24"/>
                <w:highlight w:val="none"/>
              </w:rPr>
              <w:t>2</w:t>
            </w:r>
          </w:p>
        </w:tc>
        <w:tc>
          <w:tcPr>
            <w:tcW w:w="1021" w:type="dxa"/>
            <w:vMerge w:val="restart"/>
            <w:vAlign w:val="center"/>
          </w:tcPr>
          <w:p>
            <w:pPr>
              <w:spacing w:line="400" w:lineRule="exact"/>
              <w:jc w:val="center"/>
              <w:rPr>
                <w:rFonts w:ascii="宋体" w:hAnsi="宋体" w:cs="Calibri"/>
                <w:color w:val="auto"/>
                <w:kern w:val="0"/>
                <w:sz w:val="24"/>
                <w:highlight w:val="none"/>
              </w:rPr>
            </w:pPr>
            <w:r>
              <w:rPr>
                <w:rFonts w:hint="eastAsia" w:ascii="宋体" w:hAnsi="宋体" w:cs="Calibri"/>
                <w:color w:val="auto"/>
                <w:kern w:val="0"/>
                <w:sz w:val="24"/>
                <w:highlight w:val="none"/>
              </w:rPr>
              <w:t>响应评审标准</w:t>
            </w:r>
          </w:p>
        </w:tc>
        <w:tc>
          <w:tcPr>
            <w:tcW w:w="2381" w:type="dxa"/>
          </w:tcPr>
          <w:p>
            <w:pPr>
              <w:spacing w:line="440" w:lineRule="exact"/>
              <w:jc w:val="center"/>
              <w:rPr>
                <w:rFonts w:ascii="宋体" w:hAnsi="宋体" w:cs="Calibri"/>
                <w:color w:val="auto"/>
                <w:kern w:val="0"/>
                <w:sz w:val="24"/>
                <w:highlight w:val="none"/>
              </w:rPr>
            </w:pPr>
            <w:r>
              <w:rPr>
                <w:rFonts w:hint="eastAsia" w:ascii="宋体" w:hAnsi="宋体" w:cs="Calibri"/>
                <w:color w:val="auto"/>
                <w:kern w:val="0"/>
                <w:sz w:val="24"/>
                <w:highlight w:val="none"/>
              </w:rPr>
              <w:t>响应</w:t>
            </w:r>
            <w:r>
              <w:rPr>
                <w:rFonts w:ascii="宋体" w:hAnsi="宋体" w:cs="Calibri"/>
                <w:color w:val="auto"/>
                <w:kern w:val="0"/>
                <w:sz w:val="24"/>
                <w:highlight w:val="none"/>
              </w:rPr>
              <w:t>函签字盖章</w:t>
            </w:r>
          </w:p>
        </w:tc>
        <w:tc>
          <w:tcPr>
            <w:tcW w:w="4819" w:type="dxa"/>
            <w:vAlign w:val="center"/>
          </w:tcPr>
          <w:p>
            <w:pPr>
              <w:spacing w:line="440" w:lineRule="exact"/>
              <w:rPr>
                <w:rFonts w:ascii="宋体" w:hAnsi="宋体" w:cs="Calibri"/>
                <w:color w:val="auto"/>
                <w:kern w:val="0"/>
                <w:sz w:val="24"/>
                <w:highlight w:val="none"/>
              </w:rPr>
            </w:pPr>
            <w:r>
              <w:rPr>
                <w:rFonts w:ascii="宋体" w:hAnsi="宋体" w:cs="Calibri"/>
                <w:color w:val="auto"/>
                <w:kern w:val="0"/>
                <w:sz w:val="24"/>
                <w:highlight w:val="none"/>
              </w:rPr>
              <w:t>有法定代表人或其委托代理人签字或加盖单位章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Merge w:val="continue"/>
          </w:tcPr>
          <w:p>
            <w:pPr>
              <w:spacing w:line="440" w:lineRule="exact"/>
              <w:jc w:val="center"/>
              <w:rPr>
                <w:rFonts w:ascii="宋体" w:hAnsi="宋体" w:cs="Calibri"/>
                <w:color w:val="auto"/>
                <w:kern w:val="0"/>
                <w:sz w:val="24"/>
                <w:highlight w:val="none"/>
              </w:rPr>
            </w:pPr>
          </w:p>
        </w:tc>
        <w:tc>
          <w:tcPr>
            <w:tcW w:w="1021" w:type="dxa"/>
            <w:vMerge w:val="continue"/>
          </w:tcPr>
          <w:p>
            <w:pPr>
              <w:spacing w:line="400" w:lineRule="exact"/>
              <w:rPr>
                <w:rFonts w:ascii="宋体" w:hAnsi="宋体" w:cs="Calibri"/>
                <w:color w:val="auto"/>
                <w:kern w:val="0"/>
                <w:sz w:val="24"/>
                <w:highlight w:val="none"/>
              </w:rPr>
            </w:pPr>
          </w:p>
        </w:tc>
        <w:tc>
          <w:tcPr>
            <w:tcW w:w="2381" w:type="dxa"/>
          </w:tcPr>
          <w:p>
            <w:pPr>
              <w:spacing w:line="440" w:lineRule="exact"/>
              <w:jc w:val="center"/>
              <w:rPr>
                <w:rFonts w:ascii="宋体" w:hAnsi="宋体" w:cs="Calibri"/>
                <w:color w:val="auto"/>
                <w:kern w:val="0"/>
                <w:sz w:val="24"/>
                <w:highlight w:val="none"/>
              </w:rPr>
            </w:pPr>
            <w:r>
              <w:rPr>
                <w:rFonts w:hint="eastAsia" w:ascii="宋体" w:hAnsi="宋体" w:cs="Calibri"/>
                <w:color w:val="auto"/>
                <w:kern w:val="0"/>
                <w:sz w:val="24"/>
                <w:highlight w:val="none"/>
              </w:rPr>
              <w:t>响应</w:t>
            </w:r>
            <w:r>
              <w:rPr>
                <w:rFonts w:ascii="宋体" w:hAnsi="宋体" w:cs="Calibri"/>
                <w:color w:val="auto"/>
                <w:kern w:val="0"/>
                <w:sz w:val="24"/>
                <w:highlight w:val="none"/>
              </w:rPr>
              <w:t>文件格式</w:t>
            </w:r>
          </w:p>
        </w:tc>
        <w:tc>
          <w:tcPr>
            <w:tcW w:w="4819" w:type="dxa"/>
            <w:vAlign w:val="center"/>
          </w:tcPr>
          <w:p>
            <w:pPr>
              <w:spacing w:line="440" w:lineRule="exact"/>
              <w:rPr>
                <w:rFonts w:ascii="宋体" w:hAnsi="宋体" w:cs="Calibri"/>
                <w:color w:val="auto"/>
                <w:kern w:val="0"/>
                <w:sz w:val="24"/>
                <w:highlight w:val="none"/>
              </w:rPr>
            </w:pPr>
            <w:r>
              <w:rPr>
                <w:rFonts w:ascii="宋体" w:hAnsi="宋体" w:cs="Calibri"/>
                <w:color w:val="auto"/>
                <w:kern w:val="0"/>
                <w:sz w:val="24"/>
                <w:highlight w:val="none"/>
              </w:rPr>
              <w:t>符合第六</w:t>
            </w:r>
            <w:r>
              <w:rPr>
                <w:rFonts w:hint="eastAsia" w:ascii="宋体" w:hAnsi="宋体" w:cs="Calibri"/>
                <w:color w:val="auto"/>
                <w:kern w:val="0"/>
                <w:sz w:val="24"/>
                <w:highlight w:val="none"/>
              </w:rPr>
              <w:t>部分</w:t>
            </w:r>
            <w:r>
              <w:rPr>
                <w:rFonts w:ascii="宋体" w:hAnsi="宋体" w:cs="Calibri"/>
                <w:color w:val="auto"/>
                <w:kern w:val="0"/>
                <w:sz w:val="24"/>
                <w:highlight w:val="none"/>
              </w:rPr>
              <w:t>“</w:t>
            </w:r>
            <w:r>
              <w:rPr>
                <w:rFonts w:hint="eastAsia" w:ascii="宋体" w:hAnsi="宋体" w:cs="Calibri"/>
                <w:color w:val="auto"/>
                <w:kern w:val="0"/>
                <w:sz w:val="24"/>
                <w:highlight w:val="none"/>
              </w:rPr>
              <w:t>响应</w:t>
            </w:r>
            <w:r>
              <w:rPr>
                <w:rFonts w:ascii="宋体" w:hAnsi="宋体" w:cs="Calibri"/>
                <w:color w:val="auto"/>
                <w:kern w:val="0"/>
                <w:sz w:val="24"/>
                <w:highlight w:val="none"/>
              </w:rPr>
              <w:t>文件格式”的要求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Merge w:val="continue"/>
          </w:tcPr>
          <w:p>
            <w:pPr>
              <w:spacing w:line="440" w:lineRule="exact"/>
              <w:jc w:val="center"/>
              <w:rPr>
                <w:rFonts w:ascii="宋体" w:hAnsi="宋体" w:cs="Calibri"/>
                <w:color w:val="auto"/>
                <w:kern w:val="0"/>
                <w:sz w:val="24"/>
                <w:highlight w:val="none"/>
              </w:rPr>
            </w:pPr>
          </w:p>
        </w:tc>
        <w:tc>
          <w:tcPr>
            <w:tcW w:w="1021" w:type="dxa"/>
            <w:vMerge w:val="continue"/>
          </w:tcPr>
          <w:p>
            <w:pPr>
              <w:spacing w:line="400" w:lineRule="exact"/>
              <w:rPr>
                <w:rFonts w:ascii="宋体" w:hAnsi="宋体" w:cs="Calibri"/>
                <w:color w:val="auto"/>
                <w:kern w:val="0"/>
                <w:sz w:val="24"/>
                <w:highlight w:val="none"/>
              </w:rPr>
            </w:pPr>
          </w:p>
        </w:tc>
        <w:tc>
          <w:tcPr>
            <w:tcW w:w="2381" w:type="dxa"/>
          </w:tcPr>
          <w:p>
            <w:pPr>
              <w:spacing w:line="440" w:lineRule="exact"/>
              <w:jc w:val="center"/>
              <w:rPr>
                <w:rFonts w:ascii="宋体" w:hAnsi="宋体" w:cs="Calibri"/>
                <w:color w:val="auto"/>
                <w:kern w:val="0"/>
                <w:sz w:val="24"/>
                <w:highlight w:val="none"/>
              </w:rPr>
            </w:pPr>
            <w:r>
              <w:rPr>
                <w:rFonts w:hint="eastAsia" w:ascii="宋体" w:hAnsi="宋体" w:cs="Calibri"/>
                <w:color w:val="auto"/>
                <w:kern w:val="0"/>
                <w:sz w:val="24"/>
                <w:highlight w:val="none"/>
              </w:rPr>
              <w:t>响应报价</w:t>
            </w:r>
          </w:p>
        </w:tc>
        <w:tc>
          <w:tcPr>
            <w:tcW w:w="4819" w:type="dxa"/>
            <w:vAlign w:val="center"/>
          </w:tcPr>
          <w:p>
            <w:pPr>
              <w:spacing w:line="440" w:lineRule="exact"/>
              <w:rPr>
                <w:rFonts w:ascii="宋体" w:hAnsi="宋体" w:cs="Calibri"/>
                <w:color w:val="auto"/>
                <w:kern w:val="0"/>
                <w:sz w:val="24"/>
                <w:highlight w:val="none"/>
              </w:rPr>
            </w:pPr>
            <w:r>
              <w:rPr>
                <w:rFonts w:ascii="宋体" w:hAnsi="宋体" w:cs="Calibri"/>
                <w:color w:val="auto"/>
                <w:kern w:val="0"/>
                <w:sz w:val="24"/>
                <w:highlight w:val="none"/>
              </w:rPr>
              <w:t>只能有一个有效报价</w:t>
            </w:r>
            <w:r>
              <w:rPr>
                <w:rFonts w:hint="eastAsia" w:ascii="宋体" w:hAnsi="宋体" w:cs="Calibri"/>
                <w:color w:val="auto"/>
                <w:kern w:val="0"/>
                <w:sz w:val="24"/>
                <w:highlight w:val="none"/>
              </w:rPr>
              <w:t>且不高于控制价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Merge w:val="continue"/>
          </w:tcPr>
          <w:p>
            <w:pPr>
              <w:spacing w:line="440" w:lineRule="exact"/>
              <w:jc w:val="center"/>
              <w:rPr>
                <w:rFonts w:ascii="宋体" w:hAnsi="宋体" w:cs="Calibri"/>
                <w:color w:val="auto"/>
                <w:kern w:val="0"/>
                <w:sz w:val="24"/>
                <w:highlight w:val="none"/>
              </w:rPr>
            </w:pPr>
          </w:p>
        </w:tc>
        <w:tc>
          <w:tcPr>
            <w:tcW w:w="1021" w:type="dxa"/>
            <w:vMerge w:val="continue"/>
          </w:tcPr>
          <w:p>
            <w:pPr>
              <w:spacing w:line="400" w:lineRule="exact"/>
              <w:rPr>
                <w:rFonts w:ascii="宋体" w:hAnsi="宋体" w:cs="Calibri"/>
                <w:color w:val="auto"/>
                <w:kern w:val="0"/>
                <w:sz w:val="24"/>
                <w:highlight w:val="none"/>
              </w:rPr>
            </w:pPr>
          </w:p>
        </w:tc>
        <w:tc>
          <w:tcPr>
            <w:tcW w:w="2381" w:type="dxa"/>
          </w:tcPr>
          <w:p>
            <w:pPr>
              <w:spacing w:line="440" w:lineRule="exact"/>
              <w:jc w:val="center"/>
              <w:rPr>
                <w:rFonts w:ascii="宋体" w:hAnsi="宋体" w:cs="Calibri"/>
                <w:color w:val="auto"/>
                <w:kern w:val="0"/>
                <w:sz w:val="24"/>
                <w:highlight w:val="none"/>
              </w:rPr>
            </w:pPr>
            <w:r>
              <w:rPr>
                <w:rFonts w:hint="eastAsia" w:ascii="宋体" w:hAnsi="宋体" w:cs="Calibri"/>
                <w:color w:val="auto"/>
                <w:kern w:val="0"/>
                <w:sz w:val="24"/>
                <w:highlight w:val="none"/>
              </w:rPr>
              <w:t>响应</w:t>
            </w:r>
            <w:r>
              <w:rPr>
                <w:rFonts w:ascii="宋体" w:hAnsi="宋体" w:cs="Calibri"/>
                <w:color w:val="auto"/>
                <w:kern w:val="0"/>
                <w:sz w:val="24"/>
                <w:highlight w:val="none"/>
              </w:rPr>
              <w:t>内容</w:t>
            </w:r>
          </w:p>
        </w:tc>
        <w:tc>
          <w:tcPr>
            <w:tcW w:w="4819" w:type="dxa"/>
            <w:vAlign w:val="center"/>
          </w:tcPr>
          <w:p>
            <w:pPr>
              <w:spacing w:line="440" w:lineRule="exact"/>
              <w:jc w:val="left"/>
              <w:rPr>
                <w:rFonts w:ascii="宋体" w:hAnsi="宋体" w:cs="Calibri"/>
                <w:color w:val="auto"/>
                <w:kern w:val="0"/>
                <w:sz w:val="24"/>
                <w:highlight w:val="none"/>
              </w:rPr>
            </w:pPr>
            <w:r>
              <w:rPr>
                <w:rFonts w:ascii="宋体" w:hAnsi="宋体" w:cs="Calibri"/>
                <w:color w:val="auto"/>
                <w:kern w:val="0"/>
                <w:sz w:val="24"/>
                <w:highlight w:val="none"/>
              </w:rPr>
              <w:t>符合第二</w:t>
            </w:r>
            <w:r>
              <w:rPr>
                <w:rFonts w:hint="eastAsia" w:ascii="宋体" w:hAnsi="宋体" w:cs="Calibri"/>
                <w:color w:val="auto"/>
                <w:kern w:val="0"/>
                <w:sz w:val="24"/>
                <w:highlight w:val="none"/>
              </w:rPr>
              <w:t>部分</w:t>
            </w:r>
            <w:r>
              <w:rPr>
                <w:rFonts w:ascii="宋体" w:hAnsi="宋体" w:cs="Calibri"/>
                <w:color w:val="auto"/>
                <w:kern w:val="0"/>
                <w:sz w:val="24"/>
                <w:highlight w:val="none"/>
              </w:rPr>
              <w:t>“</w:t>
            </w:r>
            <w:r>
              <w:rPr>
                <w:rFonts w:hint="eastAsia" w:ascii="宋体" w:hAnsi="宋体" w:cs="Calibri"/>
                <w:color w:val="auto"/>
                <w:kern w:val="0"/>
                <w:sz w:val="24"/>
                <w:highlight w:val="none"/>
              </w:rPr>
              <w:t>供应商</w:t>
            </w:r>
            <w:r>
              <w:rPr>
                <w:rFonts w:ascii="宋体" w:hAnsi="宋体" w:cs="Calibri"/>
                <w:color w:val="auto"/>
                <w:kern w:val="0"/>
                <w:sz w:val="24"/>
                <w:highlight w:val="none"/>
              </w:rPr>
              <w:t>须知”规定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Merge w:val="continue"/>
          </w:tcPr>
          <w:p>
            <w:pPr>
              <w:spacing w:line="440" w:lineRule="exact"/>
              <w:jc w:val="center"/>
              <w:rPr>
                <w:rFonts w:ascii="宋体" w:hAnsi="宋体" w:cs="Calibri"/>
                <w:color w:val="auto"/>
                <w:kern w:val="0"/>
                <w:sz w:val="24"/>
                <w:highlight w:val="none"/>
              </w:rPr>
            </w:pPr>
          </w:p>
        </w:tc>
        <w:tc>
          <w:tcPr>
            <w:tcW w:w="1021" w:type="dxa"/>
            <w:vMerge w:val="continue"/>
          </w:tcPr>
          <w:p>
            <w:pPr>
              <w:spacing w:line="400" w:lineRule="exact"/>
              <w:rPr>
                <w:rFonts w:ascii="宋体" w:hAnsi="宋体" w:cs="Calibri"/>
                <w:color w:val="auto"/>
                <w:kern w:val="0"/>
                <w:sz w:val="24"/>
                <w:highlight w:val="none"/>
              </w:rPr>
            </w:pPr>
          </w:p>
        </w:tc>
        <w:tc>
          <w:tcPr>
            <w:tcW w:w="2381" w:type="dxa"/>
          </w:tcPr>
          <w:p>
            <w:pPr>
              <w:spacing w:line="440" w:lineRule="exact"/>
              <w:jc w:val="center"/>
              <w:rPr>
                <w:rFonts w:ascii="宋体" w:hAnsi="宋体" w:cs="Calibri"/>
                <w:color w:val="auto"/>
                <w:kern w:val="0"/>
                <w:sz w:val="24"/>
                <w:highlight w:val="none"/>
              </w:rPr>
            </w:pPr>
            <w:r>
              <w:rPr>
                <w:rFonts w:hint="eastAsia" w:ascii="宋体" w:hAnsi="宋体" w:cs="Calibri"/>
                <w:color w:val="auto"/>
                <w:kern w:val="0"/>
                <w:sz w:val="24"/>
                <w:highlight w:val="none"/>
              </w:rPr>
              <w:t>交付期</w:t>
            </w:r>
          </w:p>
        </w:tc>
        <w:tc>
          <w:tcPr>
            <w:tcW w:w="4819" w:type="dxa"/>
            <w:vAlign w:val="center"/>
          </w:tcPr>
          <w:p>
            <w:pPr>
              <w:spacing w:line="440" w:lineRule="exact"/>
              <w:jc w:val="left"/>
              <w:rPr>
                <w:rFonts w:ascii="宋体" w:hAnsi="宋体" w:cs="Calibri"/>
                <w:color w:val="auto"/>
                <w:kern w:val="0"/>
                <w:sz w:val="24"/>
                <w:highlight w:val="none"/>
              </w:rPr>
            </w:pPr>
            <w:r>
              <w:rPr>
                <w:rFonts w:ascii="宋体" w:hAnsi="宋体" w:cs="Calibri"/>
                <w:color w:val="auto"/>
                <w:kern w:val="0"/>
                <w:sz w:val="24"/>
                <w:highlight w:val="none"/>
              </w:rPr>
              <w:t>符合第二</w:t>
            </w:r>
            <w:r>
              <w:rPr>
                <w:rFonts w:hint="eastAsia" w:ascii="宋体" w:hAnsi="宋体" w:cs="Calibri"/>
                <w:color w:val="auto"/>
                <w:kern w:val="0"/>
                <w:sz w:val="24"/>
                <w:highlight w:val="none"/>
              </w:rPr>
              <w:t>部分</w:t>
            </w:r>
            <w:r>
              <w:rPr>
                <w:rFonts w:ascii="宋体" w:hAnsi="宋体" w:cs="Calibri"/>
                <w:color w:val="auto"/>
                <w:kern w:val="0"/>
                <w:sz w:val="24"/>
                <w:highlight w:val="none"/>
              </w:rPr>
              <w:t>“</w:t>
            </w:r>
            <w:r>
              <w:rPr>
                <w:rFonts w:hint="eastAsia" w:ascii="宋体" w:hAnsi="宋体" w:cs="Calibri"/>
                <w:color w:val="auto"/>
                <w:kern w:val="0"/>
                <w:sz w:val="24"/>
                <w:highlight w:val="none"/>
              </w:rPr>
              <w:t>供应商</w:t>
            </w:r>
            <w:r>
              <w:rPr>
                <w:rFonts w:ascii="宋体" w:hAnsi="宋体" w:cs="Calibri"/>
                <w:color w:val="auto"/>
                <w:kern w:val="0"/>
                <w:sz w:val="24"/>
                <w:highlight w:val="none"/>
              </w:rPr>
              <w:t>须知”规定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Merge w:val="continue"/>
          </w:tcPr>
          <w:p>
            <w:pPr>
              <w:spacing w:line="440" w:lineRule="exact"/>
              <w:jc w:val="center"/>
              <w:rPr>
                <w:rFonts w:ascii="宋体" w:hAnsi="宋体" w:cs="Calibri"/>
                <w:color w:val="auto"/>
                <w:kern w:val="0"/>
                <w:sz w:val="24"/>
                <w:highlight w:val="none"/>
              </w:rPr>
            </w:pPr>
          </w:p>
        </w:tc>
        <w:tc>
          <w:tcPr>
            <w:tcW w:w="1021" w:type="dxa"/>
            <w:vMerge w:val="continue"/>
          </w:tcPr>
          <w:p>
            <w:pPr>
              <w:spacing w:line="400" w:lineRule="exact"/>
              <w:rPr>
                <w:rFonts w:ascii="宋体" w:hAnsi="宋体" w:cs="Calibri"/>
                <w:color w:val="auto"/>
                <w:kern w:val="0"/>
                <w:sz w:val="24"/>
                <w:highlight w:val="none"/>
              </w:rPr>
            </w:pPr>
          </w:p>
        </w:tc>
        <w:tc>
          <w:tcPr>
            <w:tcW w:w="2381" w:type="dxa"/>
            <w:vAlign w:val="center"/>
          </w:tcPr>
          <w:p>
            <w:pPr>
              <w:spacing w:line="440" w:lineRule="exact"/>
              <w:jc w:val="center"/>
              <w:rPr>
                <w:rFonts w:ascii="宋体" w:hAnsi="宋体" w:cs="Calibri"/>
                <w:color w:val="auto"/>
                <w:kern w:val="0"/>
                <w:sz w:val="24"/>
                <w:highlight w:val="none"/>
              </w:rPr>
            </w:pPr>
            <w:r>
              <w:rPr>
                <w:rFonts w:ascii="宋体" w:hAnsi="宋体" w:cs="Calibri"/>
                <w:color w:val="auto"/>
                <w:kern w:val="0"/>
                <w:sz w:val="24"/>
                <w:highlight w:val="none"/>
              </w:rPr>
              <w:t>质量标准</w:t>
            </w:r>
          </w:p>
        </w:tc>
        <w:tc>
          <w:tcPr>
            <w:tcW w:w="4819" w:type="dxa"/>
            <w:vAlign w:val="center"/>
          </w:tcPr>
          <w:p>
            <w:pPr>
              <w:spacing w:line="440" w:lineRule="exact"/>
              <w:jc w:val="left"/>
              <w:rPr>
                <w:rFonts w:ascii="宋体" w:hAnsi="宋体" w:cs="Calibri"/>
                <w:color w:val="auto"/>
                <w:kern w:val="0"/>
                <w:sz w:val="24"/>
                <w:highlight w:val="none"/>
              </w:rPr>
            </w:pPr>
            <w:r>
              <w:rPr>
                <w:rFonts w:hint="eastAsia" w:ascii="宋体" w:hAnsi="宋体" w:cs="Calibri"/>
                <w:color w:val="auto"/>
                <w:kern w:val="0"/>
                <w:sz w:val="24"/>
                <w:highlight w:val="none"/>
              </w:rPr>
              <w:t>响应产品的技术规格、技术标准明显不符合采购项目要求的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Merge w:val="continue"/>
          </w:tcPr>
          <w:p>
            <w:pPr>
              <w:spacing w:line="440" w:lineRule="exact"/>
              <w:jc w:val="center"/>
              <w:rPr>
                <w:rFonts w:ascii="宋体" w:hAnsi="宋体" w:cs="Calibri"/>
                <w:color w:val="auto"/>
                <w:kern w:val="0"/>
                <w:sz w:val="24"/>
                <w:highlight w:val="none"/>
              </w:rPr>
            </w:pPr>
          </w:p>
        </w:tc>
        <w:tc>
          <w:tcPr>
            <w:tcW w:w="1021" w:type="dxa"/>
            <w:vMerge w:val="continue"/>
          </w:tcPr>
          <w:p>
            <w:pPr>
              <w:spacing w:line="440" w:lineRule="exact"/>
              <w:jc w:val="center"/>
              <w:rPr>
                <w:rFonts w:ascii="宋体" w:hAnsi="宋体" w:cs="Calibri"/>
                <w:color w:val="auto"/>
                <w:kern w:val="0"/>
                <w:sz w:val="24"/>
                <w:highlight w:val="none"/>
              </w:rPr>
            </w:pPr>
          </w:p>
        </w:tc>
        <w:tc>
          <w:tcPr>
            <w:tcW w:w="2381" w:type="dxa"/>
            <w:vAlign w:val="center"/>
          </w:tcPr>
          <w:p>
            <w:pPr>
              <w:spacing w:line="440" w:lineRule="exact"/>
              <w:jc w:val="center"/>
              <w:rPr>
                <w:rFonts w:ascii="宋体" w:hAnsi="宋体" w:cs="Calibri"/>
                <w:color w:val="auto"/>
                <w:kern w:val="0"/>
                <w:sz w:val="24"/>
                <w:highlight w:val="none"/>
              </w:rPr>
            </w:pPr>
            <w:r>
              <w:rPr>
                <w:rFonts w:hint="eastAsia" w:ascii="宋体" w:hAnsi="宋体" w:cs="Calibri"/>
                <w:color w:val="auto"/>
                <w:kern w:val="0"/>
                <w:sz w:val="24"/>
                <w:highlight w:val="none"/>
              </w:rPr>
              <w:t>响应文件有效期</w:t>
            </w:r>
          </w:p>
        </w:tc>
        <w:tc>
          <w:tcPr>
            <w:tcW w:w="4819" w:type="dxa"/>
            <w:vAlign w:val="center"/>
          </w:tcPr>
          <w:p>
            <w:pPr>
              <w:rPr>
                <w:rFonts w:ascii="宋体" w:hAnsi="宋体" w:cs="Calibri"/>
                <w:color w:val="auto"/>
                <w:kern w:val="0"/>
                <w:sz w:val="24"/>
                <w:highlight w:val="none"/>
              </w:rPr>
            </w:pPr>
            <w:r>
              <w:rPr>
                <w:rFonts w:ascii="宋体" w:hAnsi="宋体" w:cs="Calibri"/>
                <w:color w:val="auto"/>
                <w:kern w:val="0"/>
                <w:sz w:val="24"/>
                <w:highlight w:val="none"/>
              </w:rPr>
              <w:t>符合第二</w:t>
            </w:r>
            <w:r>
              <w:rPr>
                <w:rFonts w:hint="eastAsia" w:ascii="宋体" w:hAnsi="宋体" w:cs="Calibri"/>
                <w:color w:val="auto"/>
                <w:kern w:val="0"/>
                <w:sz w:val="24"/>
                <w:highlight w:val="none"/>
              </w:rPr>
              <w:t>部分</w:t>
            </w:r>
            <w:r>
              <w:rPr>
                <w:rFonts w:ascii="宋体" w:hAnsi="宋体" w:cs="Calibri"/>
                <w:color w:val="auto"/>
                <w:kern w:val="0"/>
                <w:sz w:val="24"/>
                <w:highlight w:val="none"/>
              </w:rPr>
              <w:t>“</w:t>
            </w:r>
            <w:r>
              <w:rPr>
                <w:rFonts w:hint="eastAsia" w:ascii="宋体" w:hAnsi="宋体" w:cs="Calibri"/>
                <w:color w:val="auto"/>
                <w:kern w:val="0"/>
                <w:sz w:val="24"/>
                <w:highlight w:val="none"/>
              </w:rPr>
              <w:t>供应商</w:t>
            </w:r>
            <w:r>
              <w:rPr>
                <w:rFonts w:ascii="宋体" w:hAnsi="宋体" w:cs="Calibri"/>
                <w:color w:val="auto"/>
                <w:kern w:val="0"/>
                <w:sz w:val="24"/>
                <w:highlight w:val="none"/>
              </w:rPr>
              <w:t>须知”规定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Merge w:val="continue"/>
          </w:tcPr>
          <w:p>
            <w:pPr>
              <w:spacing w:line="440" w:lineRule="exact"/>
              <w:jc w:val="center"/>
              <w:rPr>
                <w:rFonts w:ascii="宋体" w:hAnsi="宋体" w:cs="Calibri"/>
                <w:color w:val="auto"/>
                <w:kern w:val="0"/>
                <w:sz w:val="24"/>
                <w:highlight w:val="none"/>
              </w:rPr>
            </w:pPr>
          </w:p>
        </w:tc>
        <w:tc>
          <w:tcPr>
            <w:tcW w:w="1021" w:type="dxa"/>
            <w:vMerge w:val="continue"/>
          </w:tcPr>
          <w:p>
            <w:pPr>
              <w:spacing w:line="440" w:lineRule="exact"/>
              <w:jc w:val="center"/>
              <w:rPr>
                <w:rFonts w:ascii="宋体" w:hAnsi="宋体" w:cs="Calibri"/>
                <w:color w:val="auto"/>
                <w:kern w:val="0"/>
                <w:sz w:val="24"/>
                <w:highlight w:val="none"/>
              </w:rPr>
            </w:pPr>
          </w:p>
        </w:tc>
        <w:tc>
          <w:tcPr>
            <w:tcW w:w="2381" w:type="dxa"/>
            <w:vAlign w:val="center"/>
          </w:tcPr>
          <w:p>
            <w:pPr>
              <w:spacing w:line="440" w:lineRule="exact"/>
              <w:jc w:val="center"/>
              <w:rPr>
                <w:rFonts w:ascii="宋体" w:hAnsi="宋体" w:cs="Calibri"/>
                <w:color w:val="auto"/>
                <w:kern w:val="0"/>
                <w:sz w:val="24"/>
                <w:highlight w:val="none"/>
              </w:rPr>
            </w:pPr>
            <w:r>
              <w:rPr>
                <w:rFonts w:hint="eastAsia" w:ascii="宋体" w:hAnsi="宋体" w:cs="Calibri"/>
                <w:color w:val="auto"/>
                <w:kern w:val="0"/>
                <w:sz w:val="24"/>
                <w:highlight w:val="none"/>
              </w:rPr>
              <w:t>质保期</w:t>
            </w:r>
          </w:p>
        </w:tc>
        <w:tc>
          <w:tcPr>
            <w:tcW w:w="4819" w:type="dxa"/>
            <w:vAlign w:val="center"/>
          </w:tcPr>
          <w:p>
            <w:pPr>
              <w:rPr>
                <w:rFonts w:ascii="宋体" w:hAnsi="宋体" w:cs="Calibri"/>
                <w:color w:val="auto"/>
                <w:kern w:val="0"/>
                <w:sz w:val="24"/>
                <w:highlight w:val="none"/>
              </w:rPr>
            </w:pPr>
            <w:r>
              <w:rPr>
                <w:rFonts w:ascii="宋体" w:hAnsi="宋体" w:cs="Calibri"/>
                <w:color w:val="auto"/>
                <w:kern w:val="0"/>
                <w:sz w:val="24"/>
                <w:highlight w:val="none"/>
              </w:rPr>
              <w:t>符合</w:t>
            </w:r>
            <w:r>
              <w:rPr>
                <w:rFonts w:hint="eastAsia" w:ascii="宋体" w:hAnsi="宋体" w:cs="Calibri"/>
                <w:color w:val="auto"/>
                <w:kern w:val="0"/>
                <w:sz w:val="24"/>
                <w:highlight w:val="none"/>
              </w:rPr>
              <w:t>第五部分采购需求</w:t>
            </w:r>
            <w:r>
              <w:rPr>
                <w:rFonts w:ascii="宋体" w:hAnsi="宋体" w:cs="Calibri"/>
                <w:color w:val="auto"/>
                <w:kern w:val="0"/>
                <w:sz w:val="24"/>
                <w:highlight w:val="none"/>
              </w:rPr>
              <w:t>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Merge w:val="continue"/>
          </w:tcPr>
          <w:p>
            <w:pPr>
              <w:spacing w:line="440" w:lineRule="exact"/>
              <w:jc w:val="center"/>
              <w:rPr>
                <w:rFonts w:ascii="宋体" w:hAnsi="宋体" w:cs="Calibri"/>
                <w:color w:val="auto"/>
                <w:kern w:val="0"/>
                <w:sz w:val="24"/>
                <w:highlight w:val="none"/>
              </w:rPr>
            </w:pPr>
          </w:p>
        </w:tc>
        <w:tc>
          <w:tcPr>
            <w:tcW w:w="1021" w:type="dxa"/>
            <w:vMerge w:val="continue"/>
          </w:tcPr>
          <w:p>
            <w:pPr>
              <w:spacing w:line="440" w:lineRule="exact"/>
              <w:jc w:val="center"/>
              <w:rPr>
                <w:rFonts w:ascii="宋体" w:hAnsi="宋体" w:cs="Calibri"/>
                <w:color w:val="auto"/>
                <w:kern w:val="0"/>
                <w:sz w:val="24"/>
                <w:highlight w:val="none"/>
              </w:rPr>
            </w:pPr>
          </w:p>
        </w:tc>
        <w:tc>
          <w:tcPr>
            <w:tcW w:w="2381" w:type="dxa"/>
            <w:vAlign w:val="center"/>
          </w:tcPr>
          <w:p>
            <w:pPr>
              <w:spacing w:line="440" w:lineRule="exact"/>
              <w:jc w:val="center"/>
              <w:rPr>
                <w:rFonts w:ascii="宋体" w:hAnsi="宋体" w:cs="Calibri"/>
                <w:color w:val="auto"/>
                <w:kern w:val="0"/>
                <w:sz w:val="24"/>
                <w:highlight w:val="none"/>
              </w:rPr>
            </w:pPr>
            <w:r>
              <w:rPr>
                <w:rFonts w:hint="eastAsia" w:ascii="宋体" w:hAnsi="宋体" w:cs="Calibri"/>
                <w:color w:val="auto"/>
                <w:kern w:val="0"/>
                <w:sz w:val="24"/>
                <w:highlight w:val="none"/>
              </w:rPr>
              <w:t>其他</w:t>
            </w:r>
          </w:p>
        </w:tc>
        <w:tc>
          <w:tcPr>
            <w:tcW w:w="4819" w:type="dxa"/>
            <w:vAlign w:val="center"/>
          </w:tcPr>
          <w:p>
            <w:pPr>
              <w:spacing w:line="440" w:lineRule="exact"/>
              <w:rPr>
                <w:rFonts w:ascii="宋体" w:hAnsi="宋体" w:cs="Calibri"/>
                <w:color w:val="auto"/>
                <w:kern w:val="0"/>
                <w:sz w:val="24"/>
                <w:highlight w:val="none"/>
              </w:rPr>
            </w:pPr>
            <w:r>
              <w:rPr>
                <w:rFonts w:hint="eastAsia" w:ascii="宋体" w:hAnsi="宋体" w:cs="Calibri"/>
                <w:color w:val="auto"/>
                <w:kern w:val="0"/>
                <w:sz w:val="24"/>
                <w:highlight w:val="none"/>
              </w:rPr>
              <w:t>如“响应产品技术参数、指标”与响应文件中提供的产品检测报告、彩页等证明材料的实质性响应情况是否一致或直接复制采购文件“采购需求技术参数、指标”内容</w:t>
            </w:r>
          </w:p>
        </w:tc>
      </w:tr>
    </w:tbl>
    <w:p>
      <w:pPr>
        <w:autoSpaceDE w:val="0"/>
        <w:autoSpaceDN w:val="0"/>
        <w:adjustRightInd w:val="0"/>
        <w:spacing w:line="360" w:lineRule="auto"/>
        <w:rPr>
          <w:rFonts w:ascii="宋体" w:hAnsi="宋体" w:cs="Calibri"/>
          <w:color w:val="auto"/>
          <w:kern w:val="0"/>
          <w:sz w:val="24"/>
          <w:highlight w:val="none"/>
        </w:rPr>
      </w:pPr>
      <w:r>
        <w:rPr>
          <w:rFonts w:hint="eastAsia" w:ascii="宋体" w:hAnsi="宋体" w:cs="Calibri"/>
          <w:color w:val="auto"/>
          <w:kern w:val="0"/>
          <w:sz w:val="24"/>
          <w:highlight w:val="none"/>
        </w:rPr>
        <w:t>响应文件报价出现前后不一致的，按照下列规定修正：</w:t>
      </w:r>
    </w:p>
    <w:p>
      <w:pPr>
        <w:autoSpaceDE w:val="0"/>
        <w:autoSpaceDN w:val="0"/>
        <w:adjustRightInd w:val="0"/>
        <w:spacing w:line="360" w:lineRule="auto"/>
        <w:rPr>
          <w:rFonts w:ascii="宋体" w:hAnsi="宋体" w:cs="Calibri"/>
          <w:color w:val="auto"/>
          <w:kern w:val="0"/>
          <w:sz w:val="24"/>
          <w:highlight w:val="none"/>
        </w:rPr>
      </w:pPr>
      <w:r>
        <w:rPr>
          <w:rFonts w:hint="eastAsia" w:ascii="宋体" w:hAnsi="宋体" w:cs="Calibri"/>
          <w:color w:val="auto"/>
          <w:kern w:val="0"/>
          <w:sz w:val="24"/>
          <w:highlight w:val="none"/>
        </w:rPr>
        <w:t>（1）大写金额和小写金额不一致的，以大写金额为准；</w:t>
      </w:r>
    </w:p>
    <w:p>
      <w:pPr>
        <w:autoSpaceDE w:val="0"/>
        <w:autoSpaceDN w:val="0"/>
        <w:adjustRightInd w:val="0"/>
        <w:spacing w:line="360" w:lineRule="auto"/>
        <w:rPr>
          <w:rFonts w:ascii="宋体" w:hAnsi="宋体" w:cs="Calibri"/>
          <w:color w:val="auto"/>
          <w:kern w:val="0"/>
          <w:sz w:val="24"/>
          <w:highlight w:val="none"/>
        </w:rPr>
      </w:pPr>
      <w:r>
        <w:rPr>
          <w:rFonts w:hint="eastAsia" w:ascii="宋体" w:hAnsi="宋体" w:cs="Calibri"/>
          <w:color w:val="auto"/>
          <w:kern w:val="0"/>
          <w:sz w:val="24"/>
          <w:highlight w:val="none"/>
        </w:rPr>
        <w:t>（2）单价金额小数点或者百分比有明显错位的，以开标一览表的总价为准，并修改单价；</w:t>
      </w:r>
    </w:p>
    <w:p>
      <w:pPr>
        <w:autoSpaceDE w:val="0"/>
        <w:autoSpaceDN w:val="0"/>
        <w:adjustRightInd w:val="0"/>
        <w:spacing w:line="360" w:lineRule="auto"/>
        <w:rPr>
          <w:rFonts w:ascii="宋体" w:hAnsi="宋体" w:cs="Calibri"/>
          <w:color w:val="auto"/>
          <w:kern w:val="0"/>
          <w:sz w:val="24"/>
          <w:highlight w:val="none"/>
        </w:rPr>
      </w:pPr>
      <w:r>
        <w:rPr>
          <w:rFonts w:hint="eastAsia" w:ascii="宋体" w:hAnsi="宋体" w:cs="Calibri"/>
          <w:color w:val="auto"/>
          <w:kern w:val="0"/>
          <w:sz w:val="24"/>
          <w:highlight w:val="none"/>
        </w:rPr>
        <w:t>（3）总价金额与按单价汇总金额不一致的，以单价金额计算结果为准。</w:t>
      </w:r>
    </w:p>
    <w:p>
      <w:pPr>
        <w:autoSpaceDE w:val="0"/>
        <w:autoSpaceDN w:val="0"/>
        <w:adjustRightInd w:val="0"/>
        <w:spacing w:line="360" w:lineRule="auto"/>
        <w:rPr>
          <w:rFonts w:ascii="宋体" w:hAnsi="宋体" w:cs="Calibri"/>
          <w:color w:val="auto"/>
          <w:kern w:val="0"/>
          <w:sz w:val="24"/>
          <w:highlight w:val="none"/>
        </w:rPr>
      </w:pPr>
      <w:r>
        <w:rPr>
          <w:rFonts w:hint="eastAsia" w:ascii="宋体" w:hAnsi="宋体" w:cs="Calibri"/>
          <w:color w:val="auto"/>
          <w:kern w:val="0"/>
          <w:sz w:val="24"/>
          <w:highlight w:val="none"/>
        </w:rPr>
        <w:t>同时出现两种以上不一致的，按照前款规定的顺序修正。供应商不确认的，其响应文件无效。</w:t>
      </w:r>
      <w:bookmarkStart w:id="193" w:name="_Toc13582329"/>
      <w:bookmarkStart w:id="194" w:name="_Toc5639506"/>
      <w:bookmarkStart w:id="195" w:name="_Toc10730569"/>
      <w:bookmarkStart w:id="196" w:name="_Toc14881"/>
    </w:p>
    <w:p>
      <w:pPr>
        <w:autoSpaceDE w:val="0"/>
        <w:autoSpaceDN w:val="0"/>
        <w:adjustRightInd w:val="0"/>
        <w:spacing w:line="360" w:lineRule="auto"/>
        <w:rPr>
          <w:rFonts w:ascii="宋体" w:hAnsi="宋体" w:cs="Calibri"/>
          <w:b/>
          <w:color w:val="auto"/>
          <w:kern w:val="0"/>
          <w:sz w:val="28"/>
          <w:highlight w:val="none"/>
        </w:rPr>
      </w:pPr>
      <w:r>
        <w:rPr>
          <w:rFonts w:hint="eastAsia" w:ascii="宋体" w:hAnsi="宋体"/>
          <w:b/>
          <w:color w:val="auto"/>
          <w:sz w:val="28"/>
          <w:highlight w:val="none"/>
          <w:lang w:val="zh-CN"/>
        </w:rPr>
        <w:t>1.评审方法</w:t>
      </w:r>
      <w:bookmarkEnd w:id="193"/>
      <w:bookmarkEnd w:id="194"/>
      <w:bookmarkEnd w:id="195"/>
      <w:bookmarkEnd w:id="196"/>
    </w:p>
    <w:p>
      <w:pPr>
        <w:autoSpaceDE w:val="0"/>
        <w:autoSpaceDN w:val="0"/>
        <w:adjustRightInd w:val="0"/>
        <w:spacing w:line="360" w:lineRule="auto"/>
        <w:rPr>
          <w:rFonts w:ascii="宋体" w:hAnsi="宋体" w:cs="Calibri"/>
          <w:color w:val="auto"/>
          <w:kern w:val="0"/>
          <w:sz w:val="24"/>
          <w:highlight w:val="none"/>
        </w:rPr>
      </w:pPr>
      <w:r>
        <w:rPr>
          <w:rFonts w:hint="eastAsia" w:ascii="宋体" w:hAnsi="宋体" w:cs="Calibri"/>
          <w:color w:val="auto"/>
          <w:kern w:val="0"/>
          <w:sz w:val="24"/>
          <w:highlight w:val="none"/>
        </w:rPr>
        <w:t>本次询比采购采用</w:t>
      </w:r>
      <w:r>
        <w:rPr>
          <w:rFonts w:hint="eastAsia" w:ascii="宋体" w:hAnsi="宋体" w:cs="Calibri"/>
          <w:b/>
          <w:color w:val="auto"/>
          <w:kern w:val="0"/>
          <w:sz w:val="24"/>
          <w:highlight w:val="none"/>
        </w:rPr>
        <w:t>综合评分法</w:t>
      </w:r>
      <w:r>
        <w:rPr>
          <w:rFonts w:hint="eastAsia" w:ascii="宋体" w:hAnsi="宋体" w:cs="Calibri"/>
          <w:color w:val="auto"/>
          <w:kern w:val="0"/>
          <w:sz w:val="24"/>
          <w:highlight w:val="none"/>
        </w:rPr>
        <w:t>。评审小组对满足采购文件实质性要求的响应文件，按照本章第2.2款规定的评审办法进行评审，并推荐候选成交供应商，或根据采购人授权直接确定成交人，但报价低于其成本的除外。综合评分相等时，以报价低的优先；响应报价也相等的，由采购人或者经采购人授权谈判小组自行确定。</w:t>
      </w:r>
      <w:bookmarkStart w:id="197" w:name="_Toc5639507"/>
      <w:bookmarkStart w:id="198" w:name="_Toc10730570"/>
      <w:bookmarkStart w:id="199" w:name="_Toc13582330"/>
      <w:bookmarkStart w:id="200" w:name="_Toc31513"/>
    </w:p>
    <w:p>
      <w:pPr>
        <w:autoSpaceDE w:val="0"/>
        <w:autoSpaceDN w:val="0"/>
        <w:adjustRightInd w:val="0"/>
        <w:spacing w:line="360" w:lineRule="auto"/>
        <w:rPr>
          <w:rFonts w:ascii="宋体" w:hAnsi="宋体"/>
          <w:b/>
          <w:color w:val="auto"/>
          <w:sz w:val="28"/>
          <w:highlight w:val="none"/>
          <w:lang w:val="zh-CN"/>
        </w:rPr>
      </w:pPr>
      <w:r>
        <w:rPr>
          <w:rFonts w:hint="eastAsia" w:ascii="宋体" w:hAnsi="宋体"/>
          <w:b/>
          <w:color w:val="auto"/>
          <w:sz w:val="28"/>
          <w:highlight w:val="none"/>
          <w:lang w:val="zh-CN"/>
        </w:rPr>
        <w:t>2. 评审标准</w:t>
      </w:r>
      <w:bookmarkEnd w:id="197"/>
      <w:bookmarkEnd w:id="198"/>
      <w:bookmarkEnd w:id="199"/>
      <w:bookmarkEnd w:id="200"/>
      <w:bookmarkStart w:id="201" w:name="_Toc5639508"/>
      <w:bookmarkStart w:id="202" w:name="_Toc13582331"/>
      <w:bookmarkStart w:id="203" w:name="_Toc10730571"/>
      <w:bookmarkStart w:id="204" w:name="_Toc15048797"/>
      <w:bookmarkStart w:id="205" w:name="_Toc12970"/>
      <w:bookmarkStart w:id="206" w:name="_Toc29132"/>
    </w:p>
    <w:p>
      <w:pPr>
        <w:autoSpaceDE w:val="0"/>
        <w:autoSpaceDN w:val="0"/>
        <w:adjustRightInd w:val="0"/>
        <w:rPr>
          <w:rFonts w:ascii="宋体" w:hAnsi="宋体" w:cs="Calibri"/>
          <w:color w:val="auto"/>
          <w:kern w:val="0"/>
          <w:sz w:val="24"/>
          <w:highlight w:val="none"/>
        </w:rPr>
      </w:pPr>
      <w:r>
        <w:rPr>
          <w:rFonts w:hint="eastAsia" w:ascii="宋体" w:hAnsi="宋体" w:cs="Calibri"/>
          <w:color w:val="auto"/>
          <w:kern w:val="0"/>
          <w:sz w:val="24"/>
          <w:highlight w:val="none"/>
        </w:rPr>
        <w:t>2.1 初步评审标准</w:t>
      </w:r>
      <w:bookmarkEnd w:id="201"/>
      <w:bookmarkEnd w:id="202"/>
      <w:bookmarkEnd w:id="203"/>
      <w:bookmarkEnd w:id="204"/>
      <w:bookmarkEnd w:id="205"/>
      <w:bookmarkEnd w:id="206"/>
    </w:p>
    <w:p>
      <w:pPr>
        <w:pStyle w:val="35"/>
        <w:jc w:val="left"/>
        <w:rPr>
          <w:rFonts w:ascii="宋体" w:hAnsi="宋体" w:cs="Calibri"/>
          <w:b w:val="0"/>
          <w:bCs w:val="0"/>
          <w:color w:val="auto"/>
          <w:kern w:val="0"/>
          <w:sz w:val="24"/>
          <w:szCs w:val="24"/>
          <w:highlight w:val="none"/>
        </w:rPr>
      </w:pPr>
      <w:bookmarkStart w:id="207" w:name="_Toc10730572"/>
      <w:bookmarkStart w:id="208" w:name="_Toc13582332"/>
      <w:bookmarkStart w:id="209" w:name="_Toc15048798"/>
      <w:bookmarkStart w:id="210" w:name="_Toc29309901"/>
      <w:bookmarkStart w:id="211" w:name="_Toc18701"/>
      <w:bookmarkStart w:id="212" w:name="_Toc12231"/>
      <w:bookmarkStart w:id="213" w:name="_Toc708"/>
      <w:bookmarkStart w:id="214" w:name="_Toc11022"/>
      <w:bookmarkStart w:id="215" w:name="_Toc2323"/>
      <w:bookmarkStart w:id="216" w:name="_Toc14633"/>
      <w:r>
        <w:rPr>
          <w:rFonts w:hint="eastAsia" w:ascii="宋体" w:hAnsi="宋体" w:cs="Calibri"/>
          <w:b w:val="0"/>
          <w:bCs w:val="0"/>
          <w:color w:val="auto"/>
          <w:kern w:val="0"/>
          <w:sz w:val="24"/>
          <w:szCs w:val="24"/>
          <w:highlight w:val="none"/>
        </w:rPr>
        <w:t>2.1.1资格评审标准：见评审办法前附表。</w:t>
      </w:r>
      <w:bookmarkEnd w:id="207"/>
      <w:bookmarkEnd w:id="208"/>
      <w:bookmarkEnd w:id="209"/>
      <w:bookmarkEnd w:id="210"/>
      <w:bookmarkEnd w:id="211"/>
      <w:bookmarkEnd w:id="212"/>
      <w:bookmarkEnd w:id="213"/>
      <w:bookmarkEnd w:id="214"/>
      <w:bookmarkEnd w:id="215"/>
      <w:bookmarkEnd w:id="216"/>
    </w:p>
    <w:p>
      <w:pPr>
        <w:pStyle w:val="35"/>
        <w:jc w:val="left"/>
        <w:rPr>
          <w:rFonts w:ascii="宋体" w:hAnsi="宋体" w:cs="Calibri"/>
          <w:b w:val="0"/>
          <w:bCs w:val="0"/>
          <w:color w:val="auto"/>
          <w:kern w:val="0"/>
          <w:sz w:val="24"/>
          <w:szCs w:val="24"/>
          <w:highlight w:val="none"/>
        </w:rPr>
      </w:pPr>
      <w:bookmarkStart w:id="217" w:name="_Toc10730573"/>
      <w:bookmarkStart w:id="218" w:name="_Toc15048799"/>
      <w:bookmarkStart w:id="219" w:name="_Toc2388"/>
      <w:bookmarkStart w:id="220" w:name="_Toc29309902"/>
      <w:bookmarkStart w:id="221" w:name="_Toc6314"/>
      <w:bookmarkStart w:id="222" w:name="_Toc13582333"/>
      <w:bookmarkStart w:id="223" w:name="_Toc18359"/>
      <w:bookmarkStart w:id="224" w:name="_Toc10141"/>
      <w:bookmarkStart w:id="225" w:name="_Toc18488"/>
      <w:bookmarkStart w:id="226" w:name="_Toc223"/>
      <w:r>
        <w:rPr>
          <w:rFonts w:hint="eastAsia" w:ascii="宋体" w:hAnsi="宋体" w:cs="Calibri"/>
          <w:b w:val="0"/>
          <w:bCs w:val="0"/>
          <w:color w:val="auto"/>
          <w:kern w:val="0"/>
          <w:sz w:val="24"/>
          <w:szCs w:val="24"/>
          <w:highlight w:val="none"/>
        </w:rPr>
        <w:t>2.1.2响应性评审标准：见评审办法前附表。</w:t>
      </w:r>
      <w:bookmarkEnd w:id="217"/>
      <w:bookmarkEnd w:id="218"/>
      <w:bookmarkEnd w:id="219"/>
      <w:bookmarkEnd w:id="220"/>
      <w:bookmarkEnd w:id="221"/>
      <w:bookmarkEnd w:id="222"/>
      <w:bookmarkEnd w:id="223"/>
      <w:bookmarkEnd w:id="224"/>
      <w:bookmarkEnd w:id="225"/>
      <w:bookmarkEnd w:id="226"/>
    </w:p>
    <w:p>
      <w:pPr>
        <w:pStyle w:val="35"/>
        <w:jc w:val="left"/>
        <w:rPr>
          <w:rFonts w:ascii="宋体" w:hAnsi="宋体" w:cs="Calibri"/>
          <w:b w:val="0"/>
          <w:bCs w:val="0"/>
          <w:color w:val="auto"/>
          <w:kern w:val="0"/>
          <w:sz w:val="24"/>
          <w:szCs w:val="24"/>
          <w:highlight w:val="none"/>
        </w:rPr>
      </w:pPr>
      <w:bookmarkStart w:id="227" w:name="_Toc13582334"/>
      <w:bookmarkStart w:id="228" w:name="_Toc21351"/>
      <w:bookmarkStart w:id="229" w:name="_Toc28777"/>
      <w:bookmarkStart w:id="230" w:name="_Toc15048800"/>
      <w:bookmarkStart w:id="231" w:name="_Toc10730574"/>
      <w:bookmarkStart w:id="232" w:name="_Toc21773"/>
      <w:bookmarkStart w:id="233" w:name="_Toc28522"/>
      <w:bookmarkStart w:id="234" w:name="_Toc28171"/>
      <w:bookmarkStart w:id="235" w:name="_Toc2412"/>
      <w:r>
        <w:rPr>
          <w:rFonts w:hint="eastAsia" w:ascii="宋体" w:hAnsi="宋体" w:cs="Calibri"/>
          <w:b w:val="0"/>
          <w:bCs w:val="0"/>
          <w:color w:val="auto"/>
          <w:kern w:val="0"/>
          <w:sz w:val="24"/>
          <w:szCs w:val="24"/>
          <w:highlight w:val="none"/>
        </w:rPr>
        <w:t>2.2详细评审标准</w:t>
      </w:r>
      <w:bookmarkEnd w:id="227"/>
      <w:bookmarkEnd w:id="228"/>
      <w:bookmarkEnd w:id="229"/>
      <w:bookmarkEnd w:id="230"/>
      <w:bookmarkEnd w:id="231"/>
      <w:bookmarkEnd w:id="232"/>
      <w:bookmarkEnd w:id="233"/>
      <w:bookmarkEnd w:id="234"/>
      <w:bookmarkEnd w:id="235"/>
    </w:p>
    <w:p>
      <w:pPr>
        <w:autoSpaceDE w:val="0"/>
        <w:autoSpaceDN w:val="0"/>
        <w:adjustRightInd w:val="0"/>
        <w:spacing w:line="360" w:lineRule="auto"/>
        <w:rPr>
          <w:rFonts w:ascii="宋体" w:hAnsi="宋体" w:cs="Calibri"/>
          <w:color w:val="auto"/>
          <w:kern w:val="0"/>
          <w:sz w:val="24"/>
          <w:highlight w:val="none"/>
        </w:rPr>
      </w:pPr>
      <w:r>
        <w:rPr>
          <w:rFonts w:hint="eastAsia" w:ascii="宋体" w:hAnsi="宋体" w:cs="Calibri"/>
          <w:color w:val="auto"/>
          <w:kern w:val="0"/>
          <w:sz w:val="24"/>
          <w:highlight w:val="none"/>
        </w:rPr>
        <w:t>2.2.1谈判小组应按照采购文件规定的评审方法对供应商的最终报价或最终方案进行评审。谈判小组应按照</w:t>
      </w:r>
      <w:r>
        <w:rPr>
          <w:rFonts w:hint="eastAsia" w:ascii="宋体" w:hAnsi="宋体" w:cs="Calibri"/>
          <w:b/>
          <w:color w:val="auto"/>
          <w:kern w:val="0"/>
          <w:sz w:val="24"/>
          <w:highlight w:val="none"/>
        </w:rPr>
        <w:t>综合评分法</w:t>
      </w:r>
      <w:r>
        <w:rPr>
          <w:rFonts w:hint="eastAsia" w:ascii="宋体" w:hAnsi="宋体" w:cs="Calibri"/>
          <w:color w:val="auto"/>
          <w:kern w:val="0"/>
          <w:sz w:val="24"/>
          <w:highlight w:val="none"/>
        </w:rPr>
        <w:t>的评审方法。</w:t>
      </w:r>
    </w:p>
    <w:p>
      <w:pPr>
        <w:autoSpaceDE w:val="0"/>
        <w:autoSpaceDN w:val="0"/>
        <w:adjustRightInd w:val="0"/>
        <w:spacing w:line="360" w:lineRule="auto"/>
        <w:rPr>
          <w:rFonts w:ascii="宋体" w:hAnsi="宋体" w:cs="Calibri"/>
          <w:color w:val="auto"/>
          <w:kern w:val="0"/>
          <w:sz w:val="24"/>
          <w:highlight w:val="none"/>
          <w:lang w:val="zh-CN"/>
        </w:rPr>
      </w:pPr>
      <w:r>
        <w:rPr>
          <w:rFonts w:hint="eastAsia" w:ascii="宋体" w:hAnsi="宋体" w:cs="Calibri"/>
          <w:color w:val="auto"/>
          <w:kern w:val="0"/>
          <w:sz w:val="24"/>
          <w:highlight w:val="none"/>
          <w:lang w:val="zh-CN"/>
        </w:rPr>
        <w:t>2.2.2 采用综合评分法评审，评审小组应对通过初步审查的供应商的响应文件进行评分后，依据供应商综合得分由高到低的顺序按照采购文件规定的数量推荐候选成交供应商。</w:t>
      </w:r>
    </w:p>
    <w:p>
      <w:pPr>
        <w:autoSpaceDE w:val="0"/>
        <w:autoSpaceDN w:val="0"/>
        <w:adjustRightInd w:val="0"/>
        <w:spacing w:line="360" w:lineRule="auto"/>
        <w:rPr>
          <w:rFonts w:ascii="宋体" w:hAnsi="宋体" w:cs="Calibri"/>
          <w:color w:val="auto"/>
          <w:kern w:val="0"/>
          <w:sz w:val="24"/>
          <w:highlight w:val="none"/>
          <w:lang w:val="zh-CN"/>
        </w:rPr>
      </w:pPr>
      <w:r>
        <w:rPr>
          <w:rFonts w:hint="eastAsia" w:ascii="宋体" w:hAnsi="宋体" w:cs="Calibri"/>
          <w:color w:val="auto"/>
          <w:kern w:val="0"/>
          <w:sz w:val="24"/>
          <w:highlight w:val="none"/>
          <w:lang w:val="zh-CN"/>
        </w:rPr>
        <w:t>评审因素的设定应当与供应商所提供货物服务的质量相关，包括报价、技术或者服务水平、履约能力、售后服务等。</w:t>
      </w:r>
    </w:p>
    <w:p>
      <w:pPr>
        <w:autoSpaceDE w:val="0"/>
        <w:autoSpaceDN w:val="0"/>
        <w:adjustRightInd w:val="0"/>
        <w:spacing w:line="360" w:lineRule="auto"/>
        <w:rPr>
          <w:rFonts w:ascii="宋体" w:hAnsi="宋体" w:cs="Calibri"/>
          <w:color w:val="auto"/>
          <w:kern w:val="0"/>
          <w:sz w:val="24"/>
          <w:highlight w:val="none"/>
          <w:lang w:val="zh-CN"/>
        </w:rPr>
      </w:pPr>
      <w:r>
        <w:rPr>
          <w:rFonts w:hint="eastAsia" w:ascii="宋体" w:hAnsi="宋体" w:cs="Calibri"/>
          <w:color w:val="auto"/>
          <w:kern w:val="0"/>
          <w:sz w:val="24"/>
          <w:highlight w:val="none"/>
          <w:lang w:val="zh-CN"/>
        </w:rPr>
        <w:t>注释：可根据项目具体情况，对详细评审办法进行增项或减项</w:t>
      </w:r>
      <w:bookmarkStart w:id="236" w:name="_Toc26980"/>
      <w:bookmarkStart w:id="237" w:name="_Toc521574011"/>
    </w:p>
    <w:tbl>
      <w:tblPr>
        <w:tblStyle w:val="36"/>
        <w:tblW w:w="9188" w:type="dxa"/>
        <w:jc w:val="center"/>
        <w:tblLayout w:type="fixed"/>
        <w:tblCellMar>
          <w:top w:w="0" w:type="dxa"/>
          <w:left w:w="108" w:type="dxa"/>
          <w:bottom w:w="0" w:type="dxa"/>
          <w:right w:w="108" w:type="dxa"/>
        </w:tblCellMar>
      </w:tblPr>
      <w:tblGrid>
        <w:gridCol w:w="929"/>
        <w:gridCol w:w="2004"/>
        <w:gridCol w:w="709"/>
        <w:gridCol w:w="5546"/>
      </w:tblGrid>
      <w:tr>
        <w:tblPrEx>
          <w:tblCellMar>
            <w:top w:w="0" w:type="dxa"/>
            <w:left w:w="108" w:type="dxa"/>
            <w:bottom w:w="0" w:type="dxa"/>
            <w:right w:w="108" w:type="dxa"/>
          </w:tblCellMar>
        </w:tblPrEx>
        <w:trPr>
          <w:trHeight w:val="745" w:hRule="atLeast"/>
          <w:jc w:val="center"/>
        </w:trPr>
        <w:tc>
          <w:tcPr>
            <w:tcW w:w="929"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line="40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类别</w:t>
            </w:r>
          </w:p>
        </w:tc>
        <w:tc>
          <w:tcPr>
            <w:tcW w:w="2004"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line="40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项目</w:t>
            </w:r>
          </w:p>
        </w:tc>
        <w:tc>
          <w:tcPr>
            <w:tcW w:w="709"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line="400" w:lineRule="exact"/>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满分 分值</w:t>
            </w:r>
          </w:p>
        </w:tc>
        <w:tc>
          <w:tcPr>
            <w:tcW w:w="5546"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line="40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评审标准</w:t>
            </w:r>
          </w:p>
        </w:tc>
      </w:tr>
      <w:tr>
        <w:tblPrEx>
          <w:tblCellMar>
            <w:top w:w="0" w:type="dxa"/>
            <w:left w:w="108" w:type="dxa"/>
            <w:bottom w:w="0" w:type="dxa"/>
            <w:right w:w="108" w:type="dxa"/>
          </w:tblCellMar>
        </w:tblPrEx>
        <w:trPr>
          <w:trHeight w:val="745" w:hRule="atLeast"/>
          <w:jc w:val="center"/>
        </w:trPr>
        <w:tc>
          <w:tcPr>
            <w:tcW w:w="929"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投标</w:t>
            </w:r>
            <w:r>
              <w:rPr>
                <w:rFonts w:hint="eastAsia" w:ascii="宋体" w:hAnsi="宋体" w:eastAsia="宋体" w:cs="宋体"/>
                <w:color w:val="auto"/>
                <w:sz w:val="24"/>
                <w:szCs w:val="24"/>
                <w:highlight w:val="none"/>
              </w:rPr>
              <w:t>报价</w:t>
            </w:r>
          </w:p>
          <w:p>
            <w:pPr>
              <w:autoSpaceDE w:val="0"/>
              <w:autoSpaceDN w:val="0"/>
              <w:adjustRightInd w:val="0"/>
              <w:spacing w:line="400" w:lineRule="exact"/>
              <w:jc w:val="both"/>
              <w:rPr>
                <w:rFonts w:hint="eastAsia" w:ascii="宋体" w:hAnsi="宋体" w:eastAsia="宋体" w:cs="宋体"/>
                <w:color w:val="auto"/>
                <w:sz w:val="24"/>
                <w:szCs w:val="24"/>
                <w:highlight w:val="none"/>
              </w:rPr>
            </w:pPr>
          </w:p>
        </w:tc>
        <w:tc>
          <w:tcPr>
            <w:tcW w:w="2004"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报价分</w:t>
            </w:r>
          </w:p>
        </w:tc>
        <w:tc>
          <w:tcPr>
            <w:tcW w:w="709"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line="40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30</w:t>
            </w:r>
          </w:p>
        </w:tc>
        <w:tc>
          <w:tcPr>
            <w:tcW w:w="5546"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pStyle w:val="34"/>
              <w:spacing w:line="360" w:lineRule="auto"/>
              <w:jc w:val="both"/>
              <w:rPr>
                <w:rFonts w:hint="eastAsia" w:eastAsia="宋体"/>
                <w:color w:val="auto"/>
                <w:sz w:val="24"/>
                <w:szCs w:val="24"/>
                <w:highlight w:val="none"/>
              </w:rPr>
            </w:pPr>
            <w:r>
              <w:rPr>
                <w:rFonts w:hint="eastAsia" w:eastAsia="宋体"/>
                <w:color w:val="auto"/>
                <w:sz w:val="24"/>
                <w:szCs w:val="24"/>
                <w:highlight w:val="none"/>
              </w:rPr>
              <w:t>以满足招标文件要求且投标价格最低的投标报价为评标基准价，其价格分为满分；其他投标人的价格分统一按照下列公式计算：</w:t>
            </w:r>
          </w:p>
          <w:p>
            <w:pPr>
              <w:pStyle w:val="34"/>
              <w:spacing w:line="360" w:lineRule="auto"/>
              <w:jc w:val="both"/>
              <w:rPr>
                <w:rFonts w:eastAsia="宋体"/>
                <w:color w:val="auto"/>
                <w:sz w:val="24"/>
                <w:szCs w:val="24"/>
                <w:highlight w:val="none"/>
              </w:rPr>
            </w:pPr>
            <w:r>
              <w:rPr>
                <w:rFonts w:hint="eastAsia" w:eastAsia="宋体"/>
                <w:color w:val="auto"/>
                <w:sz w:val="24"/>
                <w:szCs w:val="24"/>
                <w:highlight w:val="none"/>
              </w:rPr>
              <w:t>投标报价得分=（评标基准价/投标报价）×价格分值</w:t>
            </w:r>
          </w:p>
          <w:p>
            <w:pPr>
              <w:autoSpaceDE w:val="0"/>
              <w:autoSpaceDN w:val="0"/>
              <w:adjustRightInd w:val="0"/>
              <w:spacing w:line="400" w:lineRule="exact"/>
              <w:jc w:val="left"/>
              <w:rPr>
                <w:rFonts w:hint="eastAsia" w:ascii="宋体" w:hAnsi="宋体" w:eastAsia="宋体" w:cs="宋体"/>
                <w:color w:val="auto"/>
                <w:sz w:val="24"/>
                <w:szCs w:val="24"/>
                <w:highlight w:val="none"/>
              </w:rPr>
            </w:pPr>
            <w:r>
              <w:rPr>
                <w:rFonts w:hint="eastAsia" w:eastAsia="宋体"/>
                <w:color w:val="auto"/>
                <w:sz w:val="24"/>
                <w:szCs w:val="24"/>
                <w:highlight w:val="none"/>
              </w:rPr>
              <w:t>注：对小型和微型企业产品的价格给予6%的扣除，用扣除后的价格计算投标报价得分，须提供《制造（生产）企业</w:t>
            </w:r>
            <w:r>
              <w:rPr>
                <w:rFonts w:hint="eastAsia" w:eastAsia="宋体"/>
                <w:color w:val="auto"/>
                <w:sz w:val="24"/>
                <w:szCs w:val="24"/>
                <w:highlight w:val="none"/>
                <w:lang w:val="zh-CN"/>
              </w:rPr>
              <w:t>小型、微型企业声明函》</w:t>
            </w:r>
            <w:r>
              <w:rPr>
                <w:rFonts w:hint="eastAsia" w:eastAsia="宋体"/>
                <w:color w:val="auto"/>
                <w:sz w:val="24"/>
                <w:szCs w:val="24"/>
                <w:highlight w:val="none"/>
              </w:rPr>
              <w:t>。</w:t>
            </w:r>
          </w:p>
        </w:tc>
      </w:tr>
      <w:tr>
        <w:tblPrEx>
          <w:tblCellMar>
            <w:top w:w="0" w:type="dxa"/>
            <w:left w:w="108" w:type="dxa"/>
            <w:bottom w:w="0" w:type="dxa"/>
            <w:right w:w="108" w:type="dxa"/>
          </w:tblCellMar>
        </w:tblPrEx>
        <w:trPr>
          <w:trHeight w:val="411" w:hRule="atLeast"/>
          <w:jc w:val="center"/>
        </w:trPr>
        <w:tc>
          <w:tcPr>
            <w:tcW w:w="929" w:type="dxa"/>
            <w:tcBorders>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商务评价</w:t>
            </w:r>
          </w:p>
        </w:tc>
        <w:tc>
          <w:tcPr>
            <w:tcW w:w="2004" w:type="dxa"/>
            <w:tcBorders>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line="400" w:lineRule="exact"/>
              <w:jc w:val="center"/>
              <w:rPr>
                <w:rFonts w:hint="eastAsia" w:ascii="宋体" w:hAnsi="宋体" w:eastAsia="宋体" w:cs="宋体"/>
                <w:color w:val="auto"/>
                <w:sz w:val="24"/>
                <w:szCs w:val="24"/>
                <w:highlight w:val="none"/>
              </w:rPr>
            </w:pPr>
            <w:r>
              <w:rPr>
                <w:rFonts w:hint="eastAsia"/>
                <w:color w:val="auto"/>
                <w:sz w:val="24"/>
                <w:szCs w:val="24"/>
                <w:highlight w:val="none"/>
              </w:rPr>
              <w:t>业绩情况</w:t>
            </w:r>
          </w:p>
        </w:tc>
        <w:tc>
          <w:tcPr>
            <w:tcW w:w="709"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line="40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w:t>
            </w:r>
          </w:p>
        </w:tc>
        <w:tc>
          <w:tcPr>
            <w:tcW w:w="5546"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zh-CN"/>
              </w:rPr>
              <w:t>提供自</w:t>
            </w:r>
            <w:r>
              <w:rPr>
                <w:rFonts w:hint="eastAsia" w:ascii="宋体" w:hAnsi="宋体" w:eastAsia="宋体" w:cs="宋体"/>
                <w:color w:val="auto"/>
                <w:kern w:val="0"/>
                <w:sz w:val="24"/>
                <w:szCs w:val="24"/>
                <w:highlight w:val="none"/>
                <w:u w:val="single"/>
                <w:lang w:val="zh-CN"/>
              </w:rPr>
              <w:t>201</w:t>
            </w:r>
            <w:r>
              <w:rPr>
                <w:rFonts w:hint="eastAsia" w:ascii="宋体" w:hAnsi="宋体" w:cs="宋体"/>
                <w:color w:val="auto"/>
                <w:kern w:val="0"/>
                <w:sz w:val="24"/>
                <w:szCs w:val="24"/>
                <w:highlight w:val="none"/>
                <w:u w:val="single"/>
                <w:lang w:val="en-US" w:eastAsia="zh-CN"/>
              </w:rPr>
              <w:t>8</w:t>
            </w:r>
            <w:r>
              <w:rPr>
                <w:rFonts w:hint="eastAsia" w:ascii="宋体" w:hAnsi="宋体" w:eastAsia="宋体" w:cs="宋体"/>
                <w:color w:val="auto"/>
                <w:kern w:val="0"/>
                <w:sz w:val="24"/>
                <w:szCs w:val="24"/>
                <w:highlight w:val="none"/>
                <w:lang w:val="zh-CN"/>
              </w:rPr>
              <w:t>年以来的类似业绩证明材料。</w:t>
            </w:r>
            <w:r>
              <w:rPr>
                <w:rFonts w:hint="eastAsia" w:ascii="宋体" w:hAnsi="宋体" w:eastAsia="宋体" w:cs="宋体"/>
                <w:color w:val="auto"/>
                <w:sz w:val="24"/>
                <w:szCs w:val="24"/>
                <w:highlight w:val="none"/>
              </w:rPr>
              <w:t>每提供一个得</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分，最高得</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分；未提供不得分。（需提供包含合同首页、标的及金额所在页、供货合同签字盖章页</w:t>
            </w:r>
            <w:r>
              <w:rPr>
                <w:rFonts w:hint="eastAsia" w:ascii="宋体" w:hAnsi="宋体" w:eastAsia="宋体" w:cs="宋体"/>
                <w:color w:val="auto"/>
                <w:sz w:val="24"/>
                <w:szCs w:val="24"/>
                <w:highlight w:val="none"/>
                <w:lang w:val="en-US" w:eastAsia="zh-CN"/>
              </w:rPr>
              <w:t>或</w:t>
            </w:r>
            <w:r>
              <w:rPr>
                <w:rFonts w:hint="eastAsia" w:ascii="宋体" w:hAnsi="宋体" w:eastAsia="宋体" w:cs="宋体"/>
                <w:color w:val="auto"/>
                <w:sz w:val="24"/>
                <w:szCs w:val="24"/>
                <w:highlight w:val="none"/>
              </w:rPr>
              <w:t>中标通知书的扫描或复印件）</w:t>
            </w:r>
          </w:p>
        </w:tc>
      </w:tr>
      <w:tr>
        <w:tblPrEx>
          <w:tblCellMar>
            <w:top w:w="0" w:type="dxa"/>
            <w:left w:w="108" w:type="dxa"/>
            <w:bottom w:w="0" w:type="dxa"/>
            <w:right w:w="108" w:type="dxa"/>
          </w:tblCellMar>
        </w:tblPrEx>
        <w:trPr>
          <w:trHeight w:val="1361" w:hRule="atLeast"/>
          <w:jc w:val="center"/>
        </w:trPr>
        <w:tc>
          <w:tcPr>
            <w:tcW w:w="929" w:type="dxa"/>
            <w:vMerge w:val="restart"/>
            <w:tcBorders>
              <w:top w:val="single" w:color="000000" w:sz="6" w:space="0"/>
              <w:left w:val="single" w:color="000000" w:sz="6" w:space="0"/>
              <w:right w:val="single" w:color="000000" w:sz="6" w:space="0"/>
            </w:tcBorders>
            <w:shd w:val="clear" w:color="000000" w:fill="FFFFFF"/>
            <w:noWrap w:val="0"/>
            <w:vAlign w:val="center"/>
          </w:tcPr>
          <w:p>
            <w:pPr>
              <w:autoSpaceDE w:val="0"/>
              <w:autoSpaceDN w:val="0"/>
              <w:adjustRightInd w:val="0"/>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技术质量方面</w:t>
            </w:r>
          </w:p>
        </w:tc>
        <w:tc>
          <w:tcPr>
            <w:tcW w:w="2004"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line="400" w:lineRule="exact"/>
              <w:jc w:val="center"/>
              <w:rPr>
                <w:rFonts w:hint="eastAsia"/>
                <w:color w:val="auto"/>
                <w:sz w:val="24"/>
                <w:szCs w:val="24"/>
                <w:highlight w:val="none"/>
              </w:rPr>
            </w:pPr>
            <w:r>
              <w:rPr>
                <w:rFonts w:hint="eastAsia"/>
                <w:color w:val="auto"/>
                <w:sz w:val="24"/>
                <w:szCs w:val="24"/>
                <w:highlight w:val="none"/>
              </w:rPr>
              <w:t>技术参数</w:t>
            </w:r>
          </w:p>
        </w:tc>
        <w:tc>
          <w:tcPr>
            <w:tcW w:w="709"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line="40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20</w:t>
            </w:r>
          </w:p>
        </w:tc>
        <w:tc>
          <w:tcPr>
            <w:tcW w:w="5546"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line="400" w:lineRule="exact"/>
              <w:jc w:val="left"/>
              <w:rPr>
                <w:rFonts w:hint="default" w:eastAsia="宋体"/>
                <w:color w:val="auto"/>
                <w:sz w:val="24"/>
                <w:szCs w:val="24"/>
                <w:highlight w:val="none"/>
                <w:lang w:val="en-US" w:eastAsia="zh-CN"/>
              </w:rPr>
            </w:pPr>
            <w:r>
              <w:rPr>
                <w:rFonts w:hint="eastAsia"/>
                <w:color w:val="auto"/>
                <w:sz w:val="24"/>
                <w:szCs w:val="24"/>
                <w:highlight w:val="none"/>
              </w:rPr>
              <w:t>投标产品技术参数和配置完全满足或高于招标文件要求的，得</w:t>
            </w:r>
            <w:r>
              <w:rPr>
                <w:rFonts w:hint="eastAsia"/>
                <w:color w:val="auto"/>
                <w:sz w:val="24"/>
                <w:szCs w:val="24"/>
                <w:highlight w:val="none"/>
                <w:lang w:val="en-US" w:eastAsia="zh-CN"/>
              </w:rPr>
              <w:t>20</w:t>
            </w:r>
            <w:r>
              <w:rPr>
                <w:rFonts w:hint="eastAsia"/>
                <w:color w:val="auto"/>
                <w:sz w:val="24"/>
                <w:szCs w:val="24"/>
                <w:highlight w:val="none"/>
              </w:rPr>
              <w:t>分；</w:t>
            </w:r>
            <w:r>
              <w:rPr>
                <w:rFonts w:hint="eastAsia"/>
                <w:color w:val="auto"/>
                <w:sz w:val="24"/>
                <w:szCs w:val="24"/>
                <w:highlight w:val="none"/>
                <w:lang w:val="zh-CN"/>
              </w:rPr>
              <w:t>每有一项负偏离扣</w:t>
            </w:r>
            <w:r>
              <w:rPr>
                <w:rFonts w:hint="eastAsia"/>
                <w:color w:val="auto"/>
                <w:sz w:val="24"/>
                <w:szCs w:val="24"/>
                <w:highlight w:val="none"/>
                <w:lang w:val="en-US" w:eastAsia="zh-CN"/>
              </w:rPr>
              <w:t>2</w:t>
            </w:r>
            <w:r>
              <w:rPr>
                <w:rFonts w:hint="eastAsia"/>
                <w:color w:val="auto"/>
                <w:sz w:val="24"/>
                <w:szCs w:val="24"/>
                <w:highlight w:val="none"/>
                <w:lang w:val="zh-CN"/>
              </w:rPr>
              <w:t>分，扣完该项得分为止。</w:t>
            </w:r>
          </w:p>
        </w:tc>
      </w:tr>
      <w:tr>
        <w:tblPrEx>
          <w:tblCellMar>
            <w:top w:w="0" w:type="dxa"/>
            <w:left w:w="108" w:type="dxa"/>
            <w:bottom w:w="0" w:type="dxa"/>
            <w:right w:w="108" w:type="dxa"/>
          </w:tblCellMar>
        </w:tblPrEx>
        <w:trPr>
          <w:trHeight w:val="812" w:hRule="atLeast"/>
          <w:jc w:val="center"/>
        </w:trPr>
        <w:tc>
          <w:tcPr>
            <w:tcW w:w="929" w:type="dxa"/>
            <w:vMerge w:val="continue"/>
            <w:tcBorders>
              <w:left w:val="single" w:color="000000" w:sz="6" w:space="0"/>
              <w:right w:val="single" w:color="000000" w:sz="6" w:space="0"/>
            </w:tcBorders>
            <w:shd w:val="clear" w:color="000000" w:fill="FFFFFF"/>
            <w:noWrap w:val="0"/>
            <w:vAlign w:val="center"/>
          </w:tcPr>
          <w:p>
            <w:pPr>
              <w:autoSpaceDE w:val="0"/>
              <w:autoSpaceDN w:val="0"/>
              <w:adjustRightInd w:val="0"/>
              <w:spacing w:line="400" w:lineRule="exact"/>
              <w:jc w:val="center"/>
              <w:rPr>
                <w:rFonts w:hint="eastAsia" w:ascii="宋体" w:hAnsi="宋体" w:eastAsia="宋体" w:cs="宋体"/>
                <w:color w:val="auto"/>
                <w:sz w:val="24"/>
                <w:szCs w:val="24"/>
                <w:highlight w:val="none"/>
              </w:rPr>
            </w:pPr>
          </w:p>
        </w:tc>
        <w:tc>
          <w:tcPr>
            <w:tcW w:w="2004"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line="400" w:lineRule="exact"/>
              <w:ind w:firstLine="480" w:firstLineChars="200"/>
              <w:jc w:val="left"/>
              <w:rPr>
                <w:rFonts w:hint="eastAsia" w:eastAsia="宋体" w:cs="Times New Roman"/>
                <w:color w:val="auto"/>
                <w:sz w:val="24"/>
                <w:szCs w:val="24"/>
                <w:highlight w:val="none"/>
              </w:rPr>
            </w:pPr>
            <w:r>
              <w:rPr>
                <w:rFonts w:hint="eastAsia" w:eastAsia="宋体" w:cs="Times New Roman"/>
                <w:color w:val="auto"/>
                <w:sz w:val="24"/>
                <w:szCs w:val="24"/>
                <w:highlight w:val="none"/>
                <w:lang w:eastAsia="zh-CN"/>
              </w:rPr>
              <w:t>质保期</w:t>
            </w:r>
          </w:p>
        </w:tc>
        <w:tc>
          <w:tcPr>
            <w:tcW w:w="709"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line="400" w:lineRule="exact"/>
              <w:ind w:firstLine="240" w:firstLineChars="100"/>
              <w:jc w:val="left"/>
              <w:rPr>
                <w:rFonts w:hint="default" w:eastAsia="宋体" w:cs="Times New Roman"/>
                <w:color w:val="auto"/>
                <w:sz w:val="24"/>
                <w:szCs w:val="24"/>
                <w:highlight w:val="none"/>
                <w:lang w:val="en-US" w:eastAsia="zh-CN"/>
              </w:rPr>
            </w:pPr>
            <w:r>
              <w:rPr>
                <w:rFonts w:hint="eastAsia" w:eastAsia="宋体" w:cs="Times New Roman"/>
                <w:color w:val="auto"/>
                <w:sz w:val="24"/>
                <w:szCs w:val="24"/>
                <w:highlight w:val="none"/>
                <w:lang w:val="en-US" w:eastAsia="zh-CN"/>
              </w:rPr>
              <w:t>3</w:t>
            </w:r>
          </w:p>
        </w:tc>
        <w:tc>
          <w:tcPr>
            <w:tcW w:w="5546"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pStyle w:val="35"/>
              <w:jc w:val="both"/>
              <w:rPr>
                <w:rFonts w:hint="eastAsia" w:eastAsia="宋体" w:cs="Times New Roman"/>
                <w:color w:val="auto"/>
                <w:sz w:val="24"/>
                <w:szCs w:val="24"/>
                <w:highlight w:val="none"/>
                <w:lang w:val="zh-CN"/>
              </w:rPr>
            </w:pPr>
            <w:bookmarkStart w:id="238" w:name="_Toc19949"/>
            <w:bookmarkStart w:id="239" w:name="_Toc904"/>
            <w:bookmarkStart w:id="240" w:name="_Toc29947"/>
            <w:bookmarkStart w:id="241" w:name="_Toc12966"/>
            <w:r>
              <w:rPr>
                <w:rFonts w:hint="eastAsia" w:ascii="Calibri" w:hAnsi="Calibri" w:eastAsia="宋体" w:cs="Times New Roman"/>
                <w:b w:val="0"/>
                <w:bCs w:val="0"/>
                <w:color w:val="auto"/>
                <w:kern w:val="2"/>
                <w:sz w:val="24"/>
                <w:szCs w:val="24"/>
                <w:highlight w:val="none"/>
                <w:lang w:val="zh-CN" w:eastAsia="zh-CN" w:bidi="ar-SA"/>
              </w:rPr>
              <w:t>在满足招标文件情况下，质保期每增加一年加</w:t>
            </w:r>
            <w:r>
              <w:rPr>
                <w:rFonts w:hint="eastAsia" w:ascii="Calibri" w:hAnsi="Calibri" w:eastAsia="宋体" w:cs="Times New Roman"/>
                <w:b w:val="0"/>
                <w:bCs w:val="0"/>
                <w:color w:val="auto"/>
                <w:kern w:val="2"/>
                <w:sz w:val="24"/>
                <w:szCs w:val="24"/>
                <w:highlight w:val="none"/>
                <w:lang w:val="en-US" w:eastAsia="zh-CN" w:bidi="ar-SA"/>
              </w:rPr>
              <w:t>3分，最高得3分。</w:t>
            </w:r>
            <w:bookmarkEnd w:id="238"/>
            <w:bookmarkEnd w:id="239"/>
            <w:bookmarkEnd w:id="240"/>
            <w:bookmarkEnd w:id="241"/>
          </w:p>
        </w:tc>
      </w:tr>
      <w:tr>
        <w:tblPrEx>
          <w:tblCellMar>
            <w:top w:w="0" w:type="dxa"/>
            <w:left w:w="108" w:type="dxa"/>
            <w:bottom w:w="0" w:type="dxa"/>
            <w:right w:w="108" w:type="dxa"/>
          </w:tblCellMar>
        </w:tblPrEx>
        <w:trPr>
          <w:trHeight w:val="745" w:hRule="atLeast"/>
          <w:jc w:val="center"/>
        </w:trPr>
        <w:tc>
          <w:tcPr>
            <w:tcW w:w="929" w:type="dxa"/>
            <w:vMerge w:val="restart"/>
            <w:tcBorders>
              <w:top w:val="single" w:color="000000" w:sz="6" w:space="0"/>
              <w:left w:val="single" w:color="000000" w:sz="6" w:space="0"/>
              <w:right w:val="single" w:color="000000" w:sz="6" w:space="0"/>
            </w:tcBorders>
            <w:shd w:val="clear" w:color="000000" w:fill="FFFFFF"/>
            <w:noWrap w:val="0"/>
            <w:vAlign w:val="center"/>
          </w:tcPr>
          <w:p>
            <w:pPr>
              <w:autoSpaceDE w:val="0"/>
              <w:autoSpaceDN w:val="0"/>
              <w:adjustRightInd w:val="0"/>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项目实施及售后服务情况</w:t>
            </w:r>
          </w:p>
          <w:p>
            <w:pPr>
              <w:autoSpaceDE w:val="0"/>
              <w:autoSpaceDN w:val="0"/>
              <w:adjustRightInd w:val="0"/>
              <w:spacing w:line="400" w:lineRule="exact"/>
              <w:jc w:val="center"/>
              <w:rPr>
                <w:rFonts w:hint="eastAsia" w:ascii="宋体" w:hAnsi="宋体" w:eastAsia="宋体" w:cs="宋体"/>
                <w:color w:val="auto"/>
                <w:sz w:val="24"/>
                <w:szCs w:val="24"/>
                <w:highlight w:val="none"/>
              </w:rPr>
            </w:pPr>
          </w:p>
        </w:tc>
        <w:tc>
          <w:tcPr>
            <w:tcW w:w="2004"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技术方案</w:t>
            </w:r>
          </w:p>
        </w:tc>
        <w:tc>
          <w:tcPr>
            <w:tcW w:w="709"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line="400" w:lineRule="exact"/>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15</w:t>
            </w:r>
          </w:p>
        </w:tc>
        <w:tc>
          <w:tcPr>
            <w:tcW w:w="5546"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pStyle w:val="17"/>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根据投标人提供的技术方案的先进性，自动化程度，节能指标，配置等方面对投标人进行横向评价，优秀得15分，良好得7-14分，一般得6-1分，差或不提供不得分。</w:t>
            </w:r>
          </w:p>
        </w:tc>
      </w:tr>
      <w:tr>
        <w:tblPrEx>
          <w:tblCellMar>
            <w:top w:w="0" w:type="dxa"/>
            <w:left w:w="108" w:type="dxa"/>
            <w:bottom w:w="0" w:type="dxa"/>
            <w:right w:w="108" w:type="dxa"/>
          </w:tblCellMar>
        </w:tblPrEx>
        <w:trPr>
          <w:trHeight w:val="745" w:hRule="atLeast"/>
          <w:jc w:val="center"/>
        </w:trPr>
        <w:tc>
          <w:tcPr>
            <w:tcW w:w="929" w:type="dxa"/>
            <w:vMerge w:val="continue"/>
            <w:tcBorders>
              <w:left w:val="single" w:color="000000" w:sz="6" w:space="0"/>
              <w:right w:val="single" w:color="000000" w:sz="6" w:space="0"/>
            </w:tcBorders>
            <w:shd w:val="clear" w:color="000000" w:fill="FFFFFF"/>
            <w:noWrap w:val="0"/>
            <w:vAlign w:val="center"/>
          </w:tcPr>
          <w:p>
            <w:pPr>
              <w:autoSpaceDE w:val="0"/>
              <w:autoSpaceDN w:val="0"/>
              <w:adjustRightInd w:val="0"/>
              <w:spacing w:line="400" w:lineRule="exact"/>
              <w:jc w:val="center"/>
              <w:rPr>
                <w:rFonts w:hint="eastAsia" w:ascii="宋体" w:hAnsi="宋体" w:eastAsia="宋体" w:cs="宋体"/>
                <w:color w:val="auto"/>
                <w:sz w:val="24"/>
                <w:szCs w:val="24"/>
                <w:highlight w:val="none"/>
              </w:rPr>
            </w:pPr>
          </w:p>
        </w:tc>
        <w:tc>
          <w:tcPr>
            <w:tcW w:w="2004"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line="400" w:lineRule="exact"/>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安装方案及质量保证措施</w:t>
            </w:r>
          </w:p>
        </w:tc>
        <w:tc>
          <w:tcPr>
            <w:tcW w:w="709"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line="400" w:lineRule="exact"/>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15</w:t>
            </w:r>
          </w:p>
        </w:tc>
        <w:tc>
          <w:tcPr>
            <w:tcW w:w="5546"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pStyle w:val="1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根据项目实际情况、对项目的技术及文件准备情况、设备的检验情况、人员组织准备情况、紧急状况的应急处.理方案等方面对投标人进行综合横向评价，优秀得8分，良好得7-4分，一般得3-1分，差或不提供不得分。</w:t>
            </w:r>
          </w:p>
        </w:tc>
      </w:tr>
      <w:tr>
        <w:tblPrEx>
          <w:tblCellMar>
            <w:top w:w="0" w:type="dxa"/>
            <w:left w:w="108" w:type="dxa"/>
            <w:bottom w:w="0" w:type="dxa"/>
            <w:right w:w="108" w:type="dxa"/>
          </w:tblCellMar>
        </w:tblPrEx>
        <w:trPr>
          <w:trHeight w:val="745" w:hRule="atLeast"/>
          <w:jc w:val="center"/>
        </w:trPr>
        <w:tc>
          <w:tcPr>
            <w:tcW w:w="929" w:type="dxa"/>
            <w:vMerge w:val="continue"/>
            <w:tcBorders>
              <w:left w:val="single" w:color="000000" w:sz="6" w:space="0"/>
              <w:right w:val="single" w:color="000000" w:sz="6" w:space="0"/>
            </w:tcBorders>
            <w:shd w:val="clear" w:color="000000" w:fill="FFFFFF"/>
            <w:noWrap w:val="0"/>
            <w:vAlign w:val="center"/>
          </w:tcPr>
          <w:p>
            <w:pPr>
              <w:autoSpaceDE w:val="0"/>
              <w:autoSpaceDN w:val="0"/>
              <w:adjustRightInd w:val="0"/>
              <w:spacing w:line="400" w:lineRule="exact"/>
              <w:jc w:val="center"/>
              <w:rPr>
                <w:rFonts w:hint="eastAsia" w:ascii="宋体" w:hAnsi="宋体" w:eastAsia="宋体" w:cs="宋体"/>
                <w:color w:val="auto"/>
                <w:sz w:val="24"/>
                <w:szCs w:val="24"/>
                <w:highlight w:val="none"/>
              </w:rPr>
            </w:pPr>
          </w:p>
        </w:tc>
        <w:tc>
          <w:tcPr>
            <w:tcW w:w="2004"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line="400" w:lineRule="exact"/>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售后服务</w:t>
            </w:r>
          </w:p>
        </w:tc>
        <w:tc>
          <w:tcPr>
            <w:tcW w:w="709"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line="400" w:lineRule="exact"/>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w:t>
            </w:r>
          </w:p>
        </w:tc>
        <w:tc>
          <w:tcPr>
            <w:tcW w:w="5546"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line="400" w:lineRule="exact"/>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售后服务计划、措施:验收方案及售后服务计划、措施科学详尽，符合本项目所在地区验收标准和程序，相关承诺切合本项目产品具体情况，事故响应时间及时的得7-5分;验收方案及售后服务计划、措施较为具体，满足甲方售后服务基本需求，事故响应时</w:t>
            </w:r>
          </w:p>
          <w:p>
            <w:pPr>
              <w:autoSpaceDE w:val="0"/>
              <w:autoSpaceDN w:val="0"/>
              <w:adjustRightInd w:val="0"/>
              <w:spacing w:line="400" w:lineRule="exact"/>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间较为及时的得4-2分;验收方案、售后服务计划、措施及事故响应时间能够满足本项目售后服务最低需求的得1分;未提供不得分;</w:t>
            </w:r>
          </w:p>
        </w:tc>
      </w:tr>
      <w:tr>
        <w:tblPrEx>
          <w:tblCellMar>
            <w:top w:w="0" w:type="dxa"/>
            <w:left w:w="108" w:type="dxa"/>
            <w:bottom w:w="0" w:type="dxa"/>
            <w:right w:w="108" w:type="dxa"/>
          </w:tblCellMar>
        </w:tblPrEx>
        <w:trPr>
          <w:trHeight w:val="745" w:hRule="atLeast"/>
          <w:jc w:val="center"/>
        </w:trPr>
        <w:tc>
          <w:tcPr>
            <w:tcW w:w="929" w:type="dxa"/>
            <w:vMerge w:val="continue"/>
            <w:tcBorders>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line="400" w:lineRule="exact"/>
              <w:jc w:val="center"/>
              <w:rPr>
                <w:rFonts w:hint="eastAsia" w:ascii="宋体" w:hAnsi="宋体" w:eastAsia="宋体" w:cs="宋体"/>
                <w:color w:val="auto"/>
                <w:sz w:val="24"/>
                <w:szCs w:val="24"/>
                <w:highlight w:val="none"/>
              </w:rPr>
            </w:pPr>
          </w:p>
        </w:tc>
        <w:tc>
          <w:tcPr>
            <w:tcW w:w="2004"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本地化服务</w:t>
            </w:r>
          </w:p>
        </w:tc>
        <w:tc>
          <w:tcPr>
            <w:tcW w:w="709"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line="400" w:lineRule="exact"/>
              <w:jc w:val="center"/>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4</w:t>
            </w:r>
          </w:p>
        </w:tc>
        <w:tc>
          <w:tcPr>
            <w:tcW w:w="5546"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line="40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w:t>
            </w:r>
            <w:r>
              <w:rPr>
                <w:rFonts w:hint="eastAsia" w:ascii="宋体" w:hAnsi="宋体" w:eastAsia="宋体" w:cs="宋体"/>
                <w:color w:val="auto"/>
                <w:sz w:val="24"/>
                <w:szCs w:val="24"/>
                <w:highlight w:val="none"/>
                <w:lang w:val="en-US" w:eastAsia="zh-CN"/>
              </w:rPr>
              <w:t>青海省</w:t>
            </w:r>
            <w:r>
              <w:rPr>
                <w:rFonts w:hint="eastAsia" w:ascii="宋体" w:hAnsi="宋体" w:eastAsia="宋体" w:cs="宋体"/>
                <w:color w:val="auto"/>
                <w:sz w:val="24"/>
                <w:szCs w:val="24"/>
                <w:highlight w:val="none"/>
              </w:rPr>
              <w:t>有服务机构的，得</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分；有合作性服务机构的，得</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分；没有的不得分。（须提供相关证明材料</w:t>
            </w:r>
            <w:r>
              <w:rPr>
                <w:rFonts w:hint="eastAsia" w:ascii="宋体" w:hAnsi="宋体" w:eastAsia="宋体" w:cs="宋体"/>
                <w:color w:val="auto"/>
                <w:sz w:val="24"/>
                <w:szCs w:val="24"/>
                <w:highlight w:val="none"/>
                <w:lang w:eastAsia="zh-CN"/>
              </w:rPr>
              <w:t>：营业执照、合作协议等有效证明材料</w:t>
            </w:r>
            <w:r>
              <w:rPr>
                <w:rFonts w:hint="eastAsia" w:ascii="宋体" w:hAnsi="宋体" w:eastAsia="宋体" w:cs="宋体"/>
                <w:color w:val="auto"/>
                <w:sz w:val="24"/>
                <w:szCs w:val="24"/>
                <w:highlight w:val="none"/>
              </w:rPr>
              <w:t>）；</w:t>
            </w:r>
          </w:p>
        </w:tc>
      </w:tr>
    </w:tbl>
    <w:p>
      <w:pPr>
        <w:spacing w:line="360" w:lineRule="auto"/>
        <w:rPr>
          <w:rFonts w:ascii="宋体" w:hAnsi="宋体" w:cs="宋体"/>
          <w:b/>
          <w:bCs/>
          <w:color w:val="auto"/>
          <w:kern w:val="44"/>
          <w:sz w:val="40"/>
          <w:szCs w:val="44"/>
          <w:highlight w:val="none"/>
        </w:rPr>
      </w:pPr>
    </w:p>
    <w:p>
      <w:pPr>
        <w:pStyle w:val="2"/>
        <w:rPr>
          <w:rFonts w:ascii="宋体" w:hAnsi="宋体" w:cs="宋体"/>
          <w:b/>
          <w:bCs/>
          <w:color w:val="auto"/>
          <w:kern w:val="44"/>
          <w:sz w:val="40"/>
          <w:szCs w:val="44"/>
          <w:highlight w:val="none"/>
        </w:rPr>
      </w:pPr>
    </w:p>
    <w:p>
      <w:pPr>
        <w:pStyle w:val="2"/>
        <w:rPr>
          <w:rFonts w:ascii="宋体" w:hAnsi="宋体" w:cs="宋体"/>
          <w:b/>
          <w:bCs/>
          <w:color w:val="auto"/>
          <w:kern w:val="44"/>
          <w:sz w:val="40"/>
          <w:szCs w:val="44"/>
          <w:highlight w:val="none"/>
        </w:rPr>
      </w:pPr>
    </w:p>
    <w:p>
      <w:pPr>
        <w:pStyle w:val="2"/>
        <w:rPr>
          <w:rFonts w:ascii="宋体" w:hAnsi="宋体" w:cs="宋体"/>
          <w:b/>
          <w:bCs/>
          <w:color w:val="auto"/>
          <w:kern w:val="44"/>
          <w:sz w:val="40"/>
          <w:szCs w:val="44"/>
          <w:highlight w:val="none"/>
        </w:rPr>
      </w:pPr>
    </w:p>
    <w:p>
      <w:pPr>
        <w:pStyle w:val="2"/>
        <w:rPr>
          <w:rFonts w:ascii="宋体" w:hAnsi="宋体" w:cs="宋体"/>
          <w:b/>
          <w:bCs/>
          <w:color w:val="auto"/>
          <w:kern w:val="44"/>
          <w:sz w:val="40"/>
          <w:szCs w:val="44"/>
          <w:highlight w:val="none"/>
        </w:rPr>
      </w:pPr>
    </w:p>
    <w:p>
      <w:pPr>
        <w:pStyle w:val="35"/>
        <w:spacing w:line="360" w:lineRule="auto"/>
        <w:jc w:val="center"/>
        <w:rPr>
          <w:rFonts w:hint="eastAsia"/>
          <w:color w:val="auto"/>
          <w:sz w:val="44"/>
          <w:szCs w:val="36"/>
          <w:highlight w:val="none"/>
          <w:lang w:val="en-US" w:eastAsia="zh-CN"/>
        </w:rPr>
      </w:pPr>
      <w:r>
        <w:rPr>
          <w:rFonts w:hint="eastAsia"/>
          <w:color w:val="auto"/>
          <w:sz w:val="44"/>
          <w:szCs w:val="36"/>
          <w:highlight w:val="none"/>
          <w:lang w:val="en-US" w:eastAsia="zh-CN"/>
        </w:rPr>
        <w:t xml:space="preserve"> </w:t>
      </w:r>
      <w:bookmarkStart w:id="242" w:name="_Toc2181"/>
      <w:r>
        <w:rPr>
          <w:rFonts w:hint="eastAsia"/>
          <w:color w:val="auto"/>
          <w:sz w:val="44"/>
          <w:szCs w:val="36"/>
          <w:highlight w:val="none"/>
          <w:lang w:val="en-US" w:eastAsia="zh-CN"/>
        </w:rPr>
        <w:t>第四部分  合同条款及格式</w:t>
      </w:r>
      <w:bookmarkEnd w:id="236"/>
      <w:bookmarkEnd w:id="237"/>
      <w:bookmarkEnd w:id="242"/>
    </w:p>
    <w:p>
      <w:pPr>
        <w:pStyle w:val="2"/>
        <w:numPr>
          <w:ilvl w:val="0"/>
          <w:numId w:val="0"/>
        </w:numPr>
        <w:jc w:val="both"/>
        <w:rPr>
          <w:color w:val="auto"/>
          <w:highlight w:val="none"/>
        </w:rPr>
      </w:pPr>
    </w:p>
    <w:p>
      <w:pPr>
        <w:spacing w:line="360" w:lineRule="auto"/>
        <w:rPr>
          <w:rFonts w:eastAsia="黑体" w:cs="黑体"/>
          <w:color w:val="auto"/>
          <w:sz w:val="36"/>
          <w:szCs w:val="36"/>
          <w:highlight w:val="none"/>
        </w:rPr>
      </w:pPr>
      <w:r>
        <w:rPr>
          <w:rFonts w:hint="eastAsia" w:eastAsia="黑体" w:cs="黑体"/>
          <w:color w:val="auto"/>
          <w:sz w:val="36"/>
          <w:szCs w:val="36"/>
          <w:highlight w:val="none"/>
        </w:rPr>
        <w:t>（本合同条款及格式为模板格式，具体内容由中标供应商与招标人在签订合同时根据招标文件与投标文件具体约定）</w:t>
      </w:r>
      <w:bookmarkStart w:id="243" w:name="_Toc17210"/>
    </w:p>
    <w:p>
      <w:pPr>
        <w:spacing w:line="360" w:lineRule="auto"/>
        <w:rPr>
          <w:rFonts w:ascii="宋体" w:hAnsi="宋体"/>
          <w:b/>
          <w:bCs/>
          <w:color w:val="auto"/>
          <w:sz w:val="52"/>
          <w:szCs w:val="52"/>
          <w:highlight w:val="none"/>
        </w:rPr>
      </w:pPr>
      <w:r>
        <w:rPr>
          <w:rFonts w:hint="eastAsia" w:eastAsia="黑体" w:cs="黑体"/>
          <w:color w:val="auto"/>
          <w:sz w:val="36"/>
          <w:szCs w:val="36"/>
          <w:highlight w:val="none"/>
        </w:rPr>
        <w:t>一、合同通用条款</w:t>
      </w:r>
      <w:bookmarkEnd w:id="243"/>
    </w:p>
    <w:p>
      <w:pPr>
        <w:spacing w:line="360" w:lineRule="auto"/>
        <w:rPr>
          <w:rFonts w:ascii="宋体" w:hAnsi="宋体"/>
          <w:b/>
          <w:bCs/>
          <w:color w:val="auto"/>
          <w:sz w:val="28"/>
          <w:highlight w:val="none"/>
        </w:rPr>
      </w:pPr>
      <w:r>
        <w:rPr>
          <w:rFonts w:hint="eastAsia" w:ascii="宋体" w:hAnsi="宋体" w:cs="宋体"/>
          <w:b/>
          <w:bCs/>
          <w:color w:val="auto"/>
          <w:sz w:val="28"/>
          <w:highlight w:val="none"/>
        </w:rPr>
        <w:t>1、定义</w:t>
      </w:r>
    </w:p>
    <w:p>
      <w:pPr>
        <w:spacing w:line="360" w:lineRule="auto"/>
        <w:rPr>
          <w:rFonts w:ascii="宋体" w:hAnsi="宋体"/>
          <w:b/>
          <w:bCs/>
          <w:color w:val="auto"/>
          <w:sz w:val="24"/>
          <w:highlight w:val="none"/>
        </w:rPr>
      </w:pPr>
      <w:r>
        <w:rPr>
          <w:rFonts w:hint="eastAsia" w:ascii="宋体" w:hAnsi="宋体"/>
          <w:b/>
          <w:bCs/>
          <w:color w:val="auto"/>
          <w:sz w:val="24"/>
          <w:highlight w:val="none"/>
        </w:rPr>
        <w:t>1.1</w:t>
      </w:r>
      <w:r>
        <w:rPr>
          <w:rFonts w:hint="eastAsia" w:ascii="宋体" w:hAnsi="宋体"/>
          <w:color w:val="auto"/>
          <w:sz w:val="24"/>
          <w:highlight w:val="none"/>
        </w:rPr>
        <w:t>本合同下列术语应解释为：</w:t>
      </w:r>
    </w:p>
    <w:p>
      <w:pPr>
        <w:spacing w:line="360" w:lineRule="auto"/>
        <w:rPr>
          <w:rFonts w:ascii="宋体" w:hAnsi="宋体"/>
          <w:color w:val="auto"/>
          <w:sz w:val="24"/>
          <w:highlight w:val="none"/>
        </w:rPr>
      </w:pPr>
      <w:r>
        <w:rPr>
          <w:rFonts w:hint="eastAsia" w:ascii="宋体" w:hAnsi="宋体"/>
          <w:color w:val="auto"/>
          <w:sz w:val="24"/>
          <w:highlight w:val="none"/>
        </w:rPr>
        <w:t>1.“合同”系指买卖双方签署的、合同格式中载明的买卖双方所达成的协议，包括所有的附件、附录和上述文件所提到的构成合同的所有文件。</w:t>
      </w:r>
    </w:p>
    <w:p>
      <w:pPr>
        <w:spacing w:line="360" w:lineRule="auto"/>
        <w:rPr>
          <w:rFonts w:ascii="宋体" w:hAnsi="宋体"/>
          <w:color w:val="auto"/>
          <w:sz w:val="24"/>
          <w:highlight w:val="none"/>
        </w:rPr>
      </w:pPr>
      <w:r>
        <w:rPr>
          <w:rFonts w:hint="eastAsia" w:ascii="宋体" w:hAnsi="宋体"/>
          <w:color w:val="auto"/>
          <w:sz w:val="24"/>
          <w:highlight w:val="none"/>
        </w:rPr>
        <w:t>2.“合同价”系指根据本合同规定卖方在正确地完全履行合同义务后买方应支付给卖方的价款。</w:t>
      </w:r>
    </w:p>
    <w:p>
      <w:pPr>
        <w:spacing w:line="360" w:lineRule="auto"/>
        <w:rPr>
          <w:rFonts w:ascii="宋体" w:hAnsi="宋体"/>
          <w:color w:val="auto"/>
          <w:sz w:val="24"/>
          <w:highlight w:val="none"/>
        </w:rPr>
      </w:pPr>
      <w:r>
        <w:rPr>
          <w:rFonts w:hint="eastAsia" w:ascii="宋体" w:hAnsi="宋体"/>
          <w:color w:val="auto"/>
          <w:sz w:val="24"/>
          <w:highlight w:val="none"/>
        </w:rPr>
        <w:t>3.“货物”系指卖方根据本合同规定须向买方提供的一切产品、设备和</w:t>
      </w:r>
      <w:r>
        <w:rPr>
          <w:rFonts w:ascii="宋体" w:hAnsi="宋体"/>
          <w:color w:val="auto"/>
          <w:sz w:val="24"/>
          <w:highlight w:val="none"/>
        </w:rPr>
        <w:t>/</w:t>
      </w:r>
      <w:r>
        <w:rPr>
          <w:rFonts w:hint="eastAsia" w:ascii="宋体" w:hAnsi="宋体"/>
          <w:color w:val="auto"/>
          <w:sz w:val="24"/>
          <w:highlight w:val="none"/>
        </w:rPr>
        <w:t>或其它材料。</w:t>
      </w:r>
    </w:p>
    <w:p>
      <w:pPr>
        <w:spacing w:line="360" w:lineRule="auto"/>
        <w:rPr>
          <w:rFonts w:ascii="宋体" w:hAnsi="宋体"/>
          <w:color w:val="auto"/>
          <w:sz w:val="24"/>
          <w:highlight w:val="none"/>
        </w:rPr>
      </w:pPr>
      <w:r>
        <w:rPr>
          <w:rFonts w:hint="eastAsia" w:ascii="宋体" w:hAnsi="宋体"/>
          <w:color w:val="auto"/>
          <w:sz w:val="24"/>
          <w:highlight w:val="none"/>
        </w:rPr>
        <w:t>4.“服务”系指根据本合同规定卖方承担与供货有关的辅助服务，如运输、保险以及其它的伴随服务，例如提供技术援助、培训和合同中规定卖方应承担的其它义务。</w:t>
      </w:r>
    </w:p>
    <w:p>
      <w:pPr>
        <w:spacing w:line="360" w:lineRule="auto"/>
        <w:rPr>
          <w:rFonts w:ascii="宋体" w:hAnsi="宋体"/>
          <w:color w:val="auto"/>
          <w:sz w:val="24"/>
          <w:highlight w:val="none"/>
        </w:rPr>
      </w:pPr>
      <w:r>
        <w:rPr>
          <w:rFonts w:hint="eastAsia" w:ascii="宋体" w:hAnsi="宋体"/>
          <w:color w:val="auto"/>
          <w:sz w:val="24"/>
          <w:highlight w:val="none"/>
        </w:rPr>
        <w:t>5.“合同条款”系指本合同条款。</w:t>
      </w:r>
    </w:p>
    <w:p>
      <w:pPr>
        <w:spacing w:line="360" w:lineRule="auto"/>
        <w:rPr>
          <w:rFonts w:ascii="宋体" w:hAnsi="宋体"/>
          <w:color w:val="auto"/>
          <w:sz w:val="24"/>
          <w:highlight w:val="none"/>
        </w:rPr>
      </w:pPr>
      <w:r>
        <w:rPr>
          <w:rFonts w:hint="eastAsia" w:ascii="宋体" w:hAnsi="宋体"/>
          <w:color w:val="auto"/>
          <w:sz w:val="24"/>
          <w:highlight w:val="none"/>
        </w:rPr>
        <w:t>6.“买方”系指在合同专用条款中指明的购买货物和服务的单位。</w:t>
      </w:r>
    </w:p>
    <w:p>
      <w:pPr>
        <w:spacing w:line="360" w:lineRule="auto"/>
        <w:rPr>
          <w:rFonts w:ascii="宋体" w:hAnsi="宋体"/>
          <w:color w:val="auto"/>
          <w:sz w:val="24"/>
          <w:highlight w:val="none"/>
        </w:rPr>
      </w:pPr>
      <w:r>
        <w:rPr>
          <w:rFonts w:hint="eastAsia" w:ascii="宋体" w:hAnsi="宋体"/>
          <w:color w:val="auto"/>
          <w:sz w:val="24"/>
          <w:highlight w:val="none"/>
        </w:rPr>
        <w:t>7.“卖方”系指在合同专用条款中指明的提供本合同项下货物和服务的公司或其它实体。</w:t>
      </w:r>
    </w:p>
    <w:p>
      <w:pPr>
        <w:spacing w:line="360" w:lineRule="auto"/>
        <w:rPr>
          <w:rFonts w:ascii="宋体" w:hAnsi="宋体"/>
          <w:color w:val="auto"/>
          <w:sz w:val="24"/>
          <w:highlight w:val="none"/>
        </w:rPr>
      </w:pPr>
      <w:r>
        <w:rPr>
          <w:rFonts w:hint="eastAsia" w:ascii="宋体" w:hAnsi="宋体"/>
          <w:color w:val="auto"/>
          <w:sz w:val="24"/>
          <w:highlight w:val="none"/>
        </w:rPr>
        <w:t>8.“项目现场”系指本合同项下货物安装、运行的现场，其名称在合同专用条款中指明。</w:t>
      </w:r>
    </w:p>
    <w:p>
      <w:pPr>
        <w:spacing w:line="360" w:lineRule="auto"/>
        <w:rPr>
          <w:rFonts w:ascii="宋体" w:hAnsi="宋体"/>
          <w:color w:val="auto"/>
          <w:sz w:val="24"/>
          <w:highlight w:val="none"/>
        </w:rPr>
      </w:pPr>
      <w:r>
        <w:rPr>
          <w:rFonts w:hint="eastAsia" w:ascii="宋体" w:hAnsi="宋体"/>
          <w:color w:val="auto"/>
          <w:sz w:val="24"/>
          <w:highlight w:val="none"/>
        </w:rPr>
        <w:t>9.“天”指日历天数。</w:t>
      </w:r>
    </w:p>
    <w:p>
      <w:pPr>
        <w:spacing w:line="360" w:lineRule="auto"/>
        <w:rPr>
          <w:rFonts w:ascii="宋体" w:hAnsi="宋体"/>
          <w:b/>
          <w:bCs/>
          <w:color w:val="auto"/>
          <w:sz w:val="28"/>
          <w:highlight w:val="none"/>
        </w:rPr>
      </w:pPr>
      <w:r>
        <w:rPr>
          <w:rFonts w:hint="eastAsia" w:ascii="宋体" w:hAnsi="宋体" w:cs="宋体"/>
          <w:b/>
          <w:bCs/>
          <w:color w:val="auto"/>
          <w:sz w:val="28"/>
          <w:highlight w:val="none"/>
        </w:rPr>
        <w:t>2.适用性</w:t>
      </w:r>
    </w:p>
    <w:p>
      <w:pPr>
        <w:tabs>
          <w:tab w:val="left" w:pos="0"/>
        </w:tabs>
        <w:spacing w:line="360" w:lineRule="auto"/>
        <w:rPr>
          <w:rFonts w:ascii="宋体" w:hAnsi="宋体"/>
          <w:color w:val="auto"/>
          <w:sz w:val="24"/>
          <w:highlight w:val="none"/>
        </w:rPr>
      </w:pPr>
      <w:r>
        <w:rPr>
          <w:rFonts w:hint="eastAsia" w:ascii="宋体" w:hAnsi="宋体" w:cs="宋体"/>
          <w:color w:val="auto"/>
          <w:sz w:val="24"/>
          <w:highlight w:val="none"/>
        </w:rPr>
        <w:t>2.1本合同条款适用于没有被本合同其他部分的条款所取代的范围。</w:t>
      </w:r>
    </w:p>
    <w:p>
      <w:pPr>
        <w:spacing w:line="360" w:lineRule="auto"/>
        <w:rPr>
          <w:rFonts w:ascii="宋体" w:hAnsi="宋体"/>
          <w:b/>
          <w:bCs/>
          <w:color w:val="auto"/>
          <w:sz w:val="28"/>
          <w:highlight w:val="none"/>
        </w:rPr>
      </w:pPr>
      <w:r>
        <w:rPr>
          <w:rFonts w:hint="eastAsia" w:ascii="宋体" w:hAnsi="宋体" w:cs="宋体"/>
          <w:b/>
          <w:bCs/>
          <w:color w:val="auto"/>
          <w:sz w:val="28"/>
          <w:highlight w:val="none"/>
        </w:rPr>
        <w:t>3.标准</w:t>
      </w:r>
    </w:p>
    <w:p>
      <w:pPr>
        <w:tabs>
          <w:tab w:val="left" w:pos="0"/>
        </w:tabs>
        <w:spacing w:line="360" w:lineRule="auto"/>
        <w:rPr>
          <w:rFonts w:ascii="宋体" w:hAnsi="宋体"/>
          <w:color w:val="auto"/>
          <w:sz w:val="24"/>
          <w:highlight w:val="none"/>
        </w:rPr>
      </w:pPr>
      <w:r>
        <w:rPr>
          <w:rFonts w:ascii="宋体" w:hAnsi="宋体" w:cs="宋体"/>
          <w:color w:val="auto"/>
          <w:sz w:val="24"/>
          <w:highlight w:val="none"/>
        </w:rPr>
        <w:t xml:space="preserve">3.1 </w:t>
      </w:r>
      <w:r>
        <w:rPr>
          <w:rFonts w:hint="eastAsia" w:ascii="宋体" w:hAnsi="宋体" w:cs="宋体"/>
          <w:color w:val="auto"/>
          <w:sz w:val="24"/>
          <w:highlight w:val="none"/>
        </w:rPr>
        <w:t>本合同下交付的货物应符合技术规格参数与要求所述的标准。如果没有提及适用标准，则应符合中华人民共和国有关机构发布的最新版本的标准。</w:t>
      </w:r>
    </w:p>
    <w:p>
      <w:pPr>
        <w:tabs>
          <w:tab w:val="left" w:pos="0"/>
        </w:tabs>
        <w:spacing w:line="360" w:lineRule="auto"/>
        <w:rPr>
          <w:rFonts w:ascii="宋体" w:hAnsi="宋体"/>
          <w:color w:val="auto"/>
          <w:sz w:val="24"/>
          <w:highlight w:val="none"/>
        </w:rPr>
      </w:pPr>
      <w:r>
        <w:rPr>
          <w:rFonts w:hint="eastAsia" w:ascii="宋体" w:hAnsi="宋体" w:cs="宋体"/>
          <w:color w:val="auto"/>
          <w:sz w:val="24"/>
          <w:highlight w:val="none"/>
        </w:rPr>
        <w:t>3.2除非技术规格中另有规定，计量单位均采用中华人民共和国法定计量单位。</w:t>
      </w:r>
    </w:p>
    <w:p>
      <w:pPr>
        <w:spacing w:line="360" w:lineRule="auto"/>
        <w:rPr>
          <w:rFonts w:ascii="宋体" w:hAnsi="宋体"/>
          <w:b/>
          <w:bCs/>
          <w:color w:val="auto"/>
          <w:sz w:val="28"/>
          <w:highlight w:val="none"/>
        </w:rPr>
      </w:pPr>
      <w:r>
        <w:rPr>
          <w:rFonts w:hint="eastAsia" w:ascii="宋体" w:hAnsi="宋体" w:cs="宋体"/>
          <w:b/>
          <w:bCs/>
          <w:color w:val="auto"/>
          <w:sz w:val="28"/>
          <w:highlight w:val="none"/>
        </w:rPr>
        <w:t>4.使用合同文件和资料</w:t>
      </w:r>
    </w:p>
    <w:p>
      <w:pPr>
        <w:tabs>
          <w:tab w:val="left" w:pos="0"/>
        </w:tabs>
        <w:spacing w:line="360" w:lineRule="auto"/>
        <w:rPr>
          <w:rFonts w:ascii="宋体" w:hAnsi="宋体"/>
          <w:color w:val="auto"/>
          <w:sz w:val="24"/>
          <w:highlight w:val="none"/>
        </w:rPr>
      </w:pPr>
      <w:r>
        <w:rPr>
          <w:rFonts w:ascii="宋体" w:hAnsi="宋体" w:cs="宋体"/>
          <w:color w:val="auto"/>
          <w:sz w:val="24"/>
          <w:highlight w:val="none"/>
        </w:rPr>
        <w:t xml:space="preserve">4.1 </w:t>
      </w:r>
      <w:r>
        <w:rPr>
          <w:rFonts w:hint="eastAsia" w:ascii="宋体" w:hAnsi="宋体" w:cs="宋体"/>
          <w:color w:val="auto"/>
          <w:sz w:val="24"/>
          <w:highlight w:val="none"/>
        </w:rPr>
        <w:t>没有买方事先书面同意，卖方不得将由买方或代表买方提供的有关合同或任何合同条文、规格、计划、图纸、模型、样品或资料提供给与履行本合同无关的任何其他人。即使向与履行本合同有关的人员提供，也应注意保密并限于履行合同必须的范围。</w:t>
      </w:r>
    </w:p>
    <w:p>
      <w:pPr>
        <w:tabs>
          <w:tab w:val="left" w:pos="0"/>
        </w:tabs>
        <w:spacing w:line="360" w:lineRule="auto"/>
        <w:rPr>
          <w:rFonts w:ascii="宋体" w:hAnsi="宋体"/>
          <w:color w:val="auto"/>
          <w:sz w:val="24"/>
          <w:highlight w:val="none"/>
        </w:rPr>
      </w:pPr>
      <w:r>
        <w:rPr>
          <w:rFonts w:ascii="宋体" w:hAnsi="宋体" w:cs="宋体"/>
          <w:color w:val="auto"/>
          <w:sz w:val="24"/>
          <w:highlight w:val="none"/>
        </w:rPr>
        <w:t xml:space="preserve">4.2 </w:t>
      </w:r>
      <w:r>
        <w:rPr>
          <w:rFonts w:hint="eastAsia" w:ascii="宋体" w:hAnsi="宋体" w:cs="宋体"/>
          <w:color w:val="auto"/>
          <w:sz w:val="24"/>
          <w:highlight w:val="none"/>
        </w:rPr>
        <w:t>没有买方事先书面同意，除了履行本合同外，卖方不应使用合同条款第</w:t>
      </w:r>
      <w:r>
        <w:rPr>
          <w:rFonts w:ascii="宋体" w:hAnsi="宋体" w:cs="宋体"/>
          <w:color w:val="auto"/>
          <w:sz w:val="24"/>
          <w:highlight w:val="none"/>
        </w:rPr>
        <w:t>4.1</w:t>
      </w:r>
      <w:r>
        <w:rPr>
          <w:rFonts w:hint="eastAsia" w:ascii="宋体" w:hAnsi="宋体" w:cs="宋体"/>
          <w:color w:val="auto"/>
          <w:sz w:val="24"/>
          <w:highlight w:val="none"/>
        </w:rPr>
        <w:t>所列举的任何文件和资料。</w:t>
      </w:r>
    </w:p>
    <w:p>
      <w:pPr>
        <w:spacing w:line="360" w:lineRule="auto"/>
        <w:rPr>
          <w:rFonts w:ascii="宋体" w:hAnsi="宋体"/>
          <w:b/>
          <w:bCs/>
          <w:color w:val="auto"/>
          <w:sz w:val="28"/>
          <w:highlight w:val="none"/>
        </w:rPr>
      </w:pPr>
      <w:r>
        <w:rPr>
          <w:rFonts w:hint="eastAsia" w:ascii="宋体" w:hAnsi="宋体" w:cs="宋体"/>
          <w:b/>
          <w:bCs/>
          <w:color w:val="auto"/>
          <w:sz w:val="28"/>
          <w:highlight w:val="none"/>
        </w:rPr>
        <w:t>5.专利权</w:t>
      </w:r>
    </w:p>
    <w:p>
      <w:pPr>
        <w:tabs>
          <w:tab w:val="left" w:pos="0"/>
        </w:tabs>
        <w:spacing w:line="360" w:lineRule="auto"/>
        <w:rPr>
          <w:rFonts w:ascii="宋体" w:hAnsi="宋体"/>
          <w:color w:val="auto"/>
          <w:sz w:val="24"/>
          <w:highlight w:val="none"/>
        </w:rPr>
      </w:pPr>
      <w:r>
        <w:rPr>
          <w:rFonts w:ascii="宋体" w:hAnsi="宋体" w:cs="宋体"/>
          <w:color w:val="auto"/>
          <w:sz w:val="24"/>
          <w:highlight w:val="none"/>
        </w:rPr>
        <w:t xml:space="preserve">5.1 </w:t>
      </w:r>
      <w:r>
        <w:rPr>
          <w:rFonts w:hint="eastAsia" w:ascii="宋体" w:hAnsi="宋体" w:cs="宋体"/>
          <w:color w:val="auto"/>
          <w:sz w:val="24"/>
          <w:highlight w:val="none"/>
        </w:rPr>
        <w:t>卖方应保证，买方使用该货物或货物的任何一部分时，免受第三方提出的侵犯其专利权、商标权、著作权或其它知识产权的起诉。</w:t>
      </w:r>
    </w:p>
    <w:p>
      <w:pPr>
        <w:spacing w:line="360" w:lineRule="auto"/>
        <w:rPr>
          <w:rFonts w:ascii="宋体" w:hAnsi="宋体"/>
          <w:b/>
          <w:bCs/>
          <w:color w:val="auto"/>
          <w:sz w:val="28"/>
          <w:highlight w:val="none"/>
        </w:rPr>
      </w:pPr>
      <w:r>
        <w:rPr>
          <w:rFonts w:hint="eastAsia" w:ascii="宋体" w:hAnsi="宋体" w:cs="宋体"/>
          <w:b/>
          <w:bCs/>
          <w:color w:val="auto"/>
          <w:sz w:val="28"/>
          <w:highlight w:val="none"/>
        </w:rPr>
        <w:t>6.履约保证金（本项目不适用）</w:t>
      </w:r>
    </w:p>
    <w:p>
      <w:pPr>
        <w:tabs>
          <w:tab w:val="left" w:pos="0"/>
        </w:tabs>
        <w:spacing w:line="360" w:lineRule="auto"/>
        <w:rPr>
          <w:rFonts w:ascii="宋体" w:hAnsi="宋体"/>
          <w:color w:val="auto"/>
          <w:sz w:val="24"/>
          <w:highlight w:val="none"/>
        </w:rPr>
      </w:pPr>
      <w:r>
        <w:rPr>
          <w:rFonts w:ascii="宋体" w:hAnsi="宋体" w:cs="宋体"/>
          <w:color w:val="auto"/>
          <w:sz w:val="24"/>
          <w:highlight w:val="none"/>
        </w:rPr>
        <w:t xml:space="preserve">6.1 </w:t>
      </w:r>
      <w:r>
        <w:rPr>
          <w:rFonts w:hint="eastAsia" w:ascii="宋体" w:hAnsi="宋体" w:cs="宋体"/>
          <w:color w:val="auto"/>
          <w:sz w:val="24"/>
          <w:highlight w:val="none"/>
        </w:rPr>
        <w:t>卖方应在与招标人签订合同后三十（</w:t>
      </w:r>
      <w:r>
        <w:rPr>
          <w:rFonts w:ascii="宋体" w:hAnsi="宋体" w:cs="宋体"/>
          <w:color w:val="auto"/>
          <w:sz w:val="24"/>
          <w:highlight w:val="none"/>
        </w:rPr>
        <w:t>30</w:t>
      </w:r>
      <w:r>
        <w:rPr>
          <w:rFonts w:hint="eastAsia" w:ascii="宋体" w:hAnsi="宋体" w:cs="宋体"/>
          <w:color w:val="auto"/>
          <w:sz w:val="24"/>
          <w:highlight w:val="none"/>
        </w:rPr>
        <w:t>）天内，向买方提交合同专用条款中所规定金额的履约保证金。</w:t>
      </w:r>
    </w:p>
    <w:p>
      <w:pPr>
        <w:tabs>
          <w:tab w:val="left" w:pos="0"/>
        </w:tabs>
        <w:spacing w:line="360" w:lineRule="auto"/>
        <w:rPr>
          <w:rFonts w:ascii="宋体" w:hAnsi="宋体"/>
          <w:color w:val="auto"/>
          <w:sz w:val="24"/>
          <w:highlight w:val="none"/>
        </w:rPr>
      </w:pPr>
      <w:r>
        <w:rPr>
          <w:rFonts w:ascii="宋体" w:hAnsi="宋体" w:cs="宋体"/>
          <w:color w:val="auto"/>
          <w:sz w:val="24"/>
          <w:highlight w:val="none"/>
        </w:rPr>
        <w:t xml:space="preserve">6.2 </w:t>
      </w:r>
      <w:r>
        <w:rPr>
          <w:rFonts w:hint="eastAsia" w:ascii="宋体" w:hAnsi="宋体" w:cs="宋体"/>
          <w:color w:val="auto"/>
          <w:sz w:val="24"/>
          <w:highlight w:val="none"/>
        </w:rPr>
        <w:t>履约保证金用于补偿买方因卖方不能完成其合同义务而蒙受的损失。</w:t>
      </w:r>
    </w:p>
    <w:p>
      <w:pPr>
        <w:tabs>
          <w:tab w:val="left" w:pos="0"/>
        </w:tabs>
        <w:spacing w:line="360" w:lineRule="auto"/>
        <w:rPr>
          <w:rFonts w:ascii="宋体" w:hAnsi="宋体"/>
          <w:color w:val="auto"/>
          <w:sz w:val="24"/>
          <w:highlight w:val="none"/>
        </w:rPr>
      </w:pPr>
      <w:r>
        <w:rPr>
          <w:rFonts w:ascii="宋体" w:hAnsi="宋体" w:cs="宋体"/>
          <w:color w:val="auto"/>
          <w:sz w:val="24"/>
          <w:highlight w:val="none"/>
        </w:rPr>
        <w:t xml:space="preserve">6.3 </w:t>
      </w:r>
      <w:r>
        <w:rPr>
          <w:rFonts w:hint="eastAsia" w:ascii="宋体" w:hAnsi="宋体" w:cs="宋体"/>
          <w:color w:val="auto"/>
          <w:sz w:val="24"/>
          <w:highlight w:val="none"/>
        </w:rPr>
        <w:t>履约保证金应采用人民币，并采用下述方式之一提交：</w:t>
      </w:r>
    </w:p>
    <w:p>
      <w:pPr>
        <w:tabs>
          <w:tab w:val="left" w:pos="0"/>
        </w:tabs>
        <w:spacing w:line="360" w:lineRule="auto"/>
        <w:rPr>
          <w:rFonts w:ascii="宋体" w:hAnsi="宋体"/>
          <w:color w:val="auto"/>
          <w:sz w:val="24"/>
          <w:highlight w:val="none"/>
        </w:rPr>
      </w:pPr>
      <w:r>
        <w:rPr>
          <w:rFonts w:hint="eastAsia" w:ascii="宋体" w:hAnsi="宋体" w:cs="宋体"/>
          <w:color w:val="auto"/>
          <w:sz w:val="24"/>
          <w:highlight w:val="none"/>
        </w:rPr>
        <w:t>（</w:t>
      </w:r>
      <w:r>
        <w:rPr>
          <w:rFonts w:ascii="宋体" w:hAnsi="宋体" w:cs="宋体"/>
          <w:color w:val="auto"/>
          <w:sz w:val="24"/>
          <w:highlight w:val="none"/>
        </w:rPr>
        <w:t>1</w:t>
      </w:r>
      <w:r>
        <w:rPr>
          <w:rFonts w:hint="eastAsia" w:ascii="宋体" w:hAnsi="宋体" w:cs="宋体"/>
          <w:color w:val="auto"/>
          <w:sz w:val="24"/>
          <w:highlight w:val="none"/>
        </w:rPr>
        <w:t>）银行保函</w:t>
      </w:r>
    </w:p>
    <w:p>
      <w:pPr>
        <w:tabs>
          <w:tab w:val="left" w:pos="0"/>
        </w:tabs>
        <w:spacing w:line="360" w:lineRule="auto"/>
        <w:ind w:firstLine="480" w:firstLineChars="200"/>
        <w:rPr>
          <w:rFonts w:ascii="宋体" w:hAnsi="宋体"/>
          <w:color w:val="auto"/>
          <w:sz w:val="24"/>
          <w:highlight w:val="none"/>
        </w:rPr>
      </w:pPr>
      <w:r>
        <w:rPr>
          <w:rFonts w:hint="eastAsia" w:ascii="宋体" w:hAnsi="宋体" w:cs="宋体"/>
          <w:color w:val="auto"/>
          <w:sz w:val="24"/>
          <w:highlight w:val="none"/>
        </w:rPr>
        <w:t>由买方可接受的在中华人民共和国境内注册和营业的银行总行或其省、直辖市级分行出具，其格式采用招标文件提供的格式或其他买方可接受的格式；</w:t>
      </w:r>
    </w:p>
    <w:p>
      <w:pPr>
        <w:tabs>
          <w:tab w:val="left" w:pos="0"/>
        </w:tabs>
        <w:spacing w:line="360" w:lineRule="auto"/>
        <w:rPr>
          <w:rFonts w:ascii="宋体" w:hAnsi="宋体"/>
          <w:color w:val="auto"/>
          <w:sz w:val="24"/>
          <w:highlight w:val="none"/>
        </w:rPr>
      </w:pPr>
      <w:r>
        <w:rPr>
          <w:rFonts w:hint="eastAsia" w:ascii="宋体" w:hAnsi="宋体" w:cs="宋体"/>
          <w:color w:val="auto"/>
          <w:sz w:val="24"/>
          <w:highlight w:val="none"/>
        </w:rPr>
        <w:t>（</w:t>
      </w:r>
      <w:r>
        <w:rPr>
          <w:rFonts w:ascii="宋体" w:hAnsi="宋体" w:cs="宋体"/>
          <w:color w:val="auto"/>
          <w:sz w:val="24"/>
          <w:highlight w:val="none"/>
        </w:rPr>
        <w:t>2</w:t>
      </w:r>
      <w:r>
        <w:rPr>
          <w:rFonts w:hint="eastAsia" w:ascii="宋体" w:hAnsi="宋体" w:cs="宋体"/>
          <w:color w:val="auto"/>
          <w:sz w:val="24"/>
          <w:highlight w:val="none"/>
        </w:rPr>
        <w:t>）银行转账、汇票、支票或现金。</w:t>
      </w:r>
    </w:p>
    <w:p>
      <w:pPr>
        <w:tabs>
          <w:tab w:val="left" w:pos="0"/>
        </w:tabs>
        <w:spacing w:line="360" w:lineRule="auto"/>
        <w:rPr>
          <w:rFonts w:ascii="宋体" w:hAnsi="宋体"/>
          <w:color w:val="auto"/>
          <w:sz w:val="24"/>
          <w:highlight w:val="none"/>
        </w:rPr>
      </w:pPr>
      <w:r>
        <w:rPr>
          <w:rFonts w:ascii="宋体" w:hAnsi="宋体" w:cs="宋体"/>
          <w:color w:val="auto"/>
          <w:sz w:val="24"/>
          <w:highlight w:val="none"/>
        </w:rPr>
        <w:t xml:space="preserve">6.4 </w:t>
      </w:r>
      <w:r>
        <w:rPr>
          <w:rFonts w:hint="eastAsia" w:ascii="宋体" w:hAnsi="宋体" w:cs="宋体"/>
          <w:color w:val="auto"/>
          <w:sz w:val="24"/>
          <w:highlight w:val="none"/>
        </w:rPr>
        <w:t>经买方验收合格交付使用后三十（</w:t>
      </w:r>
      <w:r>
        <w:rPr>
          <w:rFonts w:ascii="宋体" w:hAnsi="宋体" w:cs="宋体"/>
          <w:color w:val="auto"/>
          <w:sz w:val="24"/>
          <w:highlight w:val="none"/>
        </w:rPr>
        <w:t>30</w:t>
      </w:r>
      <w:r>
        <w:rPr>
          <w:rFonts w:hint="eastAsia" w:ascii="宋体" w:hAnsi="宋体" w:cs="宋体"/>
          <w:color w:val="auto"/>
          <w:sz w:val="24"/>
          <w:highlight w:val="none"/>
        </w:rPr>
        <w:t>）天内，买方将履约保证金退还卖方。</w:t>
      </w:r>
    </w:p>
    <w:p>
      <w:pPr>
        <w:tabs>
          <w:tab w:val="left" w:pos="0"/>
        </w:tabs>
        <w:spacing w:line="360" w:lineRule="auto"/>
        <w:rPr>
          <w:rFonts w:ascii="宋体" w:hAnsi="宋体"/>
          <w:b/>
          <w:bCs/>
          <w:color w:val="auto"/>
          <w:sz w:val="28"/>
          <w:highlight w:val="none"/>
        </w:rPr>
      </w:pPr>
      <w:r>
        <w:rPr>
          <w:rFonts w:ascii="宋体" w:hAnsi="宋体" w:cs="宋体"/>
          <w:b/>
          <w:bCs/>
          <w:color w:val="auto"/>
          <w:sz w:val="28"/>
          <w:highlight w:val="none"/>
        </w:rPr>
        <w:t>7.</w:t>
      </w:r>
      <w:r>
        <w:rPr>
          <w:rFonts w:hint="eastAsia" w:ascii="宋体" w:hAnsi="宋体" w:cs="宋体"/>
          <w:b/>
          <w:bCs/>
          <w:color w:val="auto"/>
          <w:sz w:val="28"/>
          <w:highlight w:val="none"/>
        </w:rPr>
        <w:t>检验和测试</w:t>
      </w:r>
    </w:p>
    <w:p>
      <w:pPr>
        <w:tabs>
          <w:tab w:val="left" w:pos="0"/>
        </w:tabs>
        <w:spacing w:line="360" w:lineRule="auto"/>
        <w:rPr>
          <w:rFonts w:ascii="宋体" w:hAnsi="宋体"/>
          <w:color w:val="auto"/>
          <w:sz w:val="24"/>
          <w:highlight w:val="none"/>
        </w:rPr>
      </w:pPr>
      <w:r>
        <w:rPr>
          <w:rFonts w:ascii="宋体" w:hAnsi="宋体" w:cs="宋体"/>
          <w:color w:val="auto"/>
          <w:sz w:val="24"/>
          <w:highlight w:val="none"/>
        </w:rPr>
        <w:t xml:space="preserve">7.1 </w:t>
      </w:r>
      <w:r>
        <w:rPr>
          <w:rFonts w:hint="eastAsia" w:ascii="宋体" w:hAnsi="宋体" w:cs="宋体"/>
          <w:color w:val="auto"/>
          <w:sz w:val="24"/>
          <w:highlight w:val="none"/>
        </w:rPr>
        <w:t>买方或其代表应有权检验和</w:t>
      </w:r>
      <w:r>
        <w:rPr>
          <w:rFonts w:ascii="宋体" w:hAnsi="宋体" w:cs="宋体"/>
          <w:color w:val="auto"/>
          <w:sz w:val="24"/>
          <w:highlight w:val="none"/>
        </w:rPr>
        <w:t>/</w:t>
      </w:r>
      <w:r>
        <w:rPr>
          <w:rFonts w:hint="eastAsia" w:ascii="宋体" w:hAnsi="宋体" w:cs="宋体"/>
          <w:color w:val="auto"/>
          <w:sz w:val="24"/>
          <w:highlight w:val="none"/>
        </w:rPr>
        <w:t>或测试货物，以确认货物是否符合合同规格的要求，并且不承担额外的费用。合同条款和技术规格将说明买方要求进行的检验和测试，以及在何处进行这些检验和测试。买方将及时以书面形式把进行检验和</w:t>
      </w:r>
      <w:r>
        <w:rPr>
          <w:rFonts w:ascii="宋体" w:hAnsi="宋体" w:cs="宋体"/>
          <w:color w:val="auto"/>
          <w:sz w:val="24"/>
          <w:highlight w:val="none"/>
        </w:rPr>
        <w:t>/</w:t>
      </w:r>
      <w:r>
        <w:rPr>
          <w:rFonts w:hint="eastAsia" w:ascii="宋体" w:hAnsi="宋体" w:cs="宋体"/>
          <w:color w:val="auto"/>
          <w:sz w:val="24"/>
          <w:highlight w:val="none"/>
        </w:rPr>
        <w:t>或买方测试代表的身份通知卖方。</w:t>
      </w:r>
    </w:p>
    <w:p>
      <w:pPr>
        <w:tabs>
          <w:tab w:val="left" w:pos="0"/>
        </w:tabs>
        <w:spacing w:line="360" w:lineRule="auto"/>
        <w:rPr>
          <w:rFonts w:ascii="宋体" w:hAnsi="宋体"/>
          <w:color w:val="auto"/>
          <w:sz w:val="24"/>
          <w:highlight w:val="none"/>
        </w:rPr>
      </w:pPr>
      <w:r>
        <w:rPr>
          <w:rFonts w:ascii="宋体" w:hAnsi="宋体" w:cs="宋体"/>
          <w:color w:val="auto"/>
          <w:sz w:val="24"/>
          <w:highlight w:val="none"/>
        </w:rPr>
        <w:t xml:space="preserve">7.2 </w:t>
      </w:r>
      <w:r>
        <w:rPr>
          <w:rFonts w:hint="eastAsia" w:ascii="宋体" w:hAnsi="宋体" w:cs="宋体"/>
          <w:color w:val="auto"/>
          <w:sz w:val="24"/>
          <w:highlight w:val="none"/>
        </w:rPr>
        <w:t>检验和测试可以在卖方或制造厂的所在地、交货地点和</w:t>
      </w:r>
      <w:r>
        <w:rPr>
          <w:rFonts w:ascii="宋体" w:hAnsi="宋体" w:cs="宋体"/>
          <w:color w:val="auto"/>
          <w:sz w:val="24"/>
          <w:highlight w:val="none"/>
        </w:rPr>
        <w:t>/</w:t>
      </w:r>
      <w:r>
        <w:rPr>
          <w:rFonts w:hint="eastAsia" w:ascii="宋体" w:hAnsi="宋体" w:cs="宋体"/>
          <w:color w:val="auto"/>
          <w:sz w:val="24"/>
          <w:highlight w:val="none"/>
        </w:rPr>
        <w:t>或货物的最终目的地进行。如果在卖方或制造厂的所在地进行，卖方应免费为买方的检验人员提供工作条件</w:t>
      </w:r>
      <w:r>
        <w:rPr>
          <w:rFonts w:ascii="宋体" w:hAnsi="宋体" w:cs="宋体"/>
          <w:color w:val="auto"/>
          <w:sz w:val="24"/>
          <w:highlight w:val="none"/>
        </w:rPr>
        <w:t>,</w:t>
      </w:r>
      <w:r>
        <w:rPr>
          <w:rFonts w:hint="eastAsia" w:ascii="宋体" w:hAnsi="宋体" w:cs="宋体"/>
          <w:color w:val="auto"/>
          <w:sz w:val="24"/>
          <w:highlight w:val="none"/>
        </w:rPr>
        <w:t>包括但不限于必要的技术资料、检测工具和仪器。</w:t>
      </w:r>
    </w:p>
    <w:p>
      <w:pPr>
        <w:tabs>
          <w:tab w:val="left" w:pos="0"/>
        </w:tabs>
        <w:spacing w:line="360" w:lineRule="auto"/>
        <w:rPr>
          <w:rFonts w:ascii="宋体" w:hAnsi="宋体"/>
          <w:color w:val="auto"/>
          <w:sz w:val="24"/>
          <w:highlight w:val="none"/>
        </w:rPr>
      </w:pPr>
      <w:r>
        <w:rPr>
          <w:rFonts w:ascii="宋体" w:hAnsi="宋体" w:cs="宋体"/>
          <w:color w:val="auto"/>
          <w:sz w:val="24"/>
          <w:highlight w:val="none"/>
        </w:rPr>
        <w:t xml:space="preserve">7.3 </w:t>
      </w:r>
      <w:r>
        <w:rPr>
          <w:rFonts w:hint="eastAsia" w:ascii="宋体" w:hAnsi="宋体" w:cs="宋体"/>
          <w:color w:val="auto"/>
          <w:sz w:val="24"/>
          <w:highlight w:val="none"/>
        </w:rPr>
        <w:t>如果任何被检测或测试的货物不能满足规格的要求，买方可以拒绝接受该货物，卖方应更换被拒绝的货物，或者免费进行必要的修改以满足规格的要求。</w:t>
      </w:r>
    </w:p>
    <w:p>
      <w:pPr>
        <w:tabs>
          <w:tab w:val="left" w:pos="0"/>
        </w:tabs>
        <w:spacing w:line="360" w:lineRule="auto"/>
        <w:rPr>
          <w:rFonts w:ascii="宋体" w:hAnsi="宋体"/>
          <w:color w:val="auto"/>
          <w:sz w:val="24"/>
          <w:highlight w:val="none"/>
        </w:rPr>
      </w:pPr>
      <w:r>
        <w:rPr>
          <w:rFonts w:ascii="宋体" w:hAnsi="宋体" w:cs="宋体"/>
          <w:color w:val="auto"/>
          <w:sz w:val="24"/>
          <w:highlight w:val="none"/>
        </w:rPr>
        <w:t xml:space="preserve">7.4 </w:t>
      </w:r>
      <w:r>
        <w:rPr>
          <w:rFonts w:hint="eastAsia" w:ascii="宋体" w:hAnsi="宋体" w:cs="宋体"/>
          <w:color w:val="auto"/>
          <w:sz w:val="24"/>
          <w:highlight w:val="none"/>
        </w:rPr>
        <w:t>买方在货物到达最终目的地后对货物进行检验、测试及必要时拒绝接受货物的权力将不会因为货物在从卖方或制造厂启运前通过了买方或其代表的检验、测试和认可而受到限制或放弃。</w:t>
      </w:r>
    </w:p>
    <w:p>
      <w:pPr>
        <w:tabs>
          <w:tab w:val="left" w:pos="0"/>
        </w:tabs>
        <w:spacing w:line="360" w:lineRule="auto"/>
        <w:rPr>
          <w:rFonts w:ascii="宋体" w:hAnsi="宋体"/>
          <w:color w:val="auto"/>
          <w:sz w:val="24"/>
          <w:highlight w:val="none"/>
        </w:rPr>
      </w:pPr>
      <w:r>
        <w:rPr>
          <w:rFonts w:ascii="宋体" w:hAnsi="宋体" w:cs="宋体"/>
          <w:color w:val="auto"/>
          <w:sz w:val="24"/>
          <w:highlight w:val="none"/>
        </w:rPr>
        <w:t xml:space="preserve">7.5 </w:t>
      </w:r>
      <w:r>
        <w:rPr>
          <w:rFonts w:hint="eastAsia" w:ascii="宋体" w:hAnsi="宋体" w:cs="宋体"/>
          <w:color w:val="auto"/>
          <w:sz w:val="24"/>
          <w:highlight w:val="none"/>
        </w:rPr>
        <w:t>在交货前，卖方或制造厂应对货物的质量、规格、性能、数量和重量等进行详细而全面的检验，并出具一份证明货物符合合同规定的检验证书，但该证书不能作为有关质量、规格、性能、数量或重量的最终检验。制造厂检验的结果和细节应附在质量检验证书后面。</w:t>
      </w:r>
    </w:p>
    <w:p>
      <w:pPr>
        <w:tabs>
          <w:tab w:val="left" w:pos="0"/>
        </w:tabs>
        <w:spacing w:line="360" w:lineRule="auto"/>
        <w:rPr>
          <w:rFonts w:ascii="宋体" w:hAnsi="宋体"/>
          <w:color w:val="auto"/>
          <w:sz w:val="24"/>
          <w:highlight w:val="none"/>
        </w:rPr>
      </w:pPr>
      <w:r>
        <w:rPr>
          <w:rFonts w:ascii="宋体" w:hAnsi="宋体" w:cs="宋体"/>
          <w:color w:val="auto"/>
          <w:sz w:val="24"/>
          <w:highlight w:val="none"/>
        </w:rPr>
        <w:t xml:space="preserve">7.6 </w:t>
      </w:r>
      <w:r>
        <w:rPr>
          <w:rFonts w:hint="eastAsia" w:ascii="宋体" w:hAnsi="宋体" w:cs="宋体"/>
          <w:color w:val="auto"/>
          <w:sz w:val="24"/>
          <w:highlight w:val="none"/>
        </w:rPr>
        <w:t>合同条款第</w:t>
      </w:r>
      <w:r>
        <w:rPr>
          <w:rFonts w:ascii="宋体" w:hAnsi="宋体" w:cs="宋体"/>
          <w:color w:val="auto"/>
          <w:sz w:val="24"/>
          <w:highlight w:val="none"/>
        </w:rPr>
        <w:t>7</w:t>
      </w:r>
      <w:r>
        <w:rPr>
          <w:rFonts w:hint="eastAsia" w:ascii="宋体" w:hAnsi="宋体" w:cs="宋体"/>
          <w:color w:val="auto"/>
          <w:sz w:val="24"/>
          <w:highlight w:val="none"/>
        </w:rPr>
        <w:t>条的规定不能免除卖方在本合同项下的保证义务或其他义务。</w:t>
      </w:r>
    </w:p>
    <w:p>
      <w:pPr>
        <w:tabs>
          <w:tab w:val="left" w:pos="0"/>
        </w:tabs>
        <w:spacing w:line="360" w:lineRule="auto"/>
        <w:rPr>
          <w:rFonts w:ascii="宋体" w:hAnsi="宋体"/>
          <w:b/>
          <w:bCs/>
          <w:color w:val="auto"/>
          <w:sz w:val="28"/>
          <w:highlight w:val="none"/>
        </w:rPr>
      </w:pPr>
      <w:r>
        <w:rPr>
          <w:rFonts w:ascii="宋体" w:hAnsi="宋体" w:cs="宋体"/>
          <w:b/>
          <w:bCs/>
          <w:color w:val="auto"/>
          <w:sz w:val="28"/>
          <w:highlight w:val="none"/>
        </w:rPr>
        <w:t>8</w:t>
      </w:r>
      <w:r>
        <w:rPr>
          <w:rFonts w:hint="eastAsia" w:ascii="宋体" w:hAnsi="宋体" w:cs="宋体"/>
          <w:b/>
          <w:bCs/>
          <w:color w:val="auto"/>
          <w:sz w:val="28"/>
          <w:highlight w:val="none"/>
        </w:rPr>
        <w:t>．包装</w:t>
      </w:r>
    </w:p>
    <w:p>
      <w:pPr>
        <w:tabs>
          <w:tab w:val="left" w:pos="0"/>
        </w:tabs>
        <w:spacing w:line="360" w:lineRule="auto"/>
        <w:rPr>
          <w:rFonts w:ascii="宋体" w:hAnsi="宋体"/>
          <w:color w:val="auto"/>
          <w:sz w:val="24"/>
          <w:highlight w:val="none"/>
        </w:rPr>
      </w:pPr>
      <w:r>
        <w:rPr>
          <w:rFonts w:ascii="宋体" w:hAnsi="宋体" w:cs="宋体"/>
          <w:color w:val="auto"/>
          <w:sz w:val="24"/>
          <w:highlight w:val="none"/>
        </w:rPr>
        <w:t xml:space="preserve">8.1 </w:t>
      </w:r>
      <w:r>
        <w:rPr>
          <w:rFonts w:hint="eastAsia" w:ascii="宋体" w:hAnsi="宋体" w:cs="宋体"/>
          <w:color w:val="auto"/>
          <w:sz w:val="24"/>
          <w:highlight w:val="none"/>
        </w:rPr>
        <w:t>卖方应提供货物运至合同规定的最终目的地所需要的包装，以防止货物在转运中损坏或变质。这类包装应采取防潮、防晒、防锈、防腐蚀、防震动及防止其它损坏的必要保护措施，从而保护货物能够经受多次搬运、装卸及长途运输。卖方应承担由于其包装或其防护措施不妥而引起的货物锈蚀、损坏和丢失的任何损失的责任或费用。</w:t>
      </w:r>
    </w:p>
    <w:p>
      <w:pPr>
        <w:tabs>
          <w:tab w:val="left" w:pos="0"/>
        </w:tabs>
        <w:spacing w:line="360" w:lineRule="auto"/>
        <w:rPr>
          <w:rFonts w:ascii="宋体" w:hAnsi="宋体"/>
          <w:b/>
          <w:bCs/>
          <w:color w:val="auto"/>
          <w:sz w:val="28"/>
          <w:highlight w:val="none"/>
        </w:rPr>
      </w:pPr>
      <w:r>
        <w:rPr>
          <w:rFonts w:ascii="宋体" w:hAnsi="宋体" w:cs="宋体"/>
          <w:b/>
          <w:bCs/>
          <w:color w:val="auto"/>
          <w:sz w:val="28"/>
          <w:highlight w:val="none"/>
        </w:rPr>
        <w:t>9.</w:t>
      </w:r>
      <w:r>
        <w:rPr>
          <w:rFonts w:hint="eastAsia" w:ascii="宋体" w:hAnsi="宋体" w:cs="宋体"/>
          <w:b/>
          <w:bCs/>
          <w:color w:val="auto"/>
          <w:sz w:val="28"/>
          <w:highlight w:val="none"/>
        </w:rPr>
        <w:t>装运标记</w:t>
      </w:r>
    </w:p>
    <w:p>
      <w:pPr>
        <w:tabs>
          <w:tab w:val="left" w:pos="0"/>
        </w:tabs>
        <w:spacing w:line="360" w:lineRule="auto"/>
        <w:rPr>
          <w:rFonts w:ascii="宋体" w:hAnsi="宋体"/>
          <w:color w:val="auto"/>
          <w:sz w:val="24"/>
          <w:highlight w:val="none"/>
        </w:rPr>
      </w:pPr>
      <w:r>
        <w:rPr>
          <w:rFonts w:ascii="宋体" w:hAnsi="宋体" w:cs="宋体"/>
          <w:color w:val="auto"/>
          <w:sz w:val="24"/>
          <w:highlight w:val="none"/>
        </w:rPr>
        <w:t xml:space="preserve">9.1 </w:t>
      </w:r>
      <w:r>
        <w:rPr>
          <w:rFonts w:hint="eastAsia" w:ascii="宋体" w:hAnsi="宋体" w:cs="宋体"/>
          <w:color w:val="auto"/>
          <w:sz w:val="24"/>
          <w:highlight w:val="none"/>
        </w:rPr>
        <w:t>卖方应在每一包装箱相邻的四面用不可擦除的油漆和明显的中文字样做出以下标记：</w:t>
      </w:r>
    </w:p>
    <w:p>
      <w:pPr>
        <w:spacing w:line="360" w:lineRule="auto"/>
        <w:rPr>
          <w:rFonts w:ascii="宋体" w:hAnsi="宋体"/>
          <w:color w:val="auto"/>
          <w:sz w:val="24"/>
          <w:highlight w:val="none"/>
        </w:rPr>
      </w:pPr>
      <w:r>
        <w:rPr>
          <w:rFonts w:hint="eastAsia" w:ascii="宋体" w:hAnsi="宋体" w:cs="宋体"/>
          <w:color w:val="auto"/>
          <w:sz w:val="24"/>
          <w:highlight w:val="none"/>
        </w:rPr>
        <w:t>（1）收货人</w:t>
      </w:r>
    </w:p>
    <w:p>
      <w:pPr>
        <w:spacing w:line="360" w:lineRule="auto"/>
        <w:rPr>
          <w:rFonts w:ascii="宋体" w:hAnsi="宋体"/>
          <w:color w:val="auto"/>
          <w:sz w:val="24"/>
          <w:highlight w:val="none"/>
        </w:rPr>
      </w:pPr>
      <w:r>
        <w:rPr>
          <w:rFonts w:hint="eastAsia" w:ascii="宋体" w:hAnsi="宋体" w:cs="宋体"/>
          <w:color w:val="auto"/>
          <w:sz w:val="24"/>
          <w:highlight w:val="none"/>
        </w:rPr>
        <w:t>（2）合同号</w:t>
      </w:r>
    </w:p>
    <w:p>
      <w:pPr>
        <w:spacing w:line="360" w:lineRule="auto"/>
        <w:rPr>
          <w:rFonts w:ascii="宋体" w:hAnsi="宋体"/>
          <w:color w:val="auto"/>
          <w:sz w:val="24"/>
          <w:highlight w:val="none"/>
        </w:rPr>
      </w:pPr>
      <w:r>
        <w:rPr>
          <w:rFonts w:hint="eastAsia" w:ascii="宋体" w:hAnsi="宋体" w:cs="宋体"/>
          <w:color w:val="auto"/>
          <w:sz w:val="24"/>
          <w:highlight w:val="none"/>
        </w:rPr>
        <w:t>（3）发货标记</w:t>
      </w:r>
    </w:p>
    <w:p>
      <w:pPr>
        <w:spacing w:line="360" w:lineRule="auto"/>
        <w:rPr>
          <w:rFonts w:ascii="宋体" w:hAnsi="宋体"/>
          <w:color w:val="auto"/>
          <w:sz w:val="24"/>
          <w:highlight w:val="none"/>
        </w:rPr>
      </w:pPr>
      <w:r>
        <w:rPr>
          <w:rFonts w:hint="eastAsia" w:ascii="宋体" w:hAnsi="宋体" w:cs="宋体"/>
          <w:color w:val="auto"/>
          <w:sz w:val="24"/>
          <w:highlight w:val="none"/>
        </w:rPr>
        <w:t>（4）收货人编号</w:t>
      </w:r>
    </w:p>
    <w:p>
      <w:pPr>
        <w:spacing w:line="360" w:lineRule="auto"/>
        <w:rPr>
          <w:rFonts w:ascii="宋体" w:hAnsi="宋体"/>
          <w:color w:val="auto"/>
          <w:sz w:val="24"/>
          <w:highlight w:val="none"/>
        </w:rPr>
      </w:pPr>
      <w:r>
        <w:rPr>
          <w:rFonts w:hint="eastAsia" w:ascii="宋体" w:hAnsi="宋体" w:cs="宋体"/>
          <w:color w:val="auto"/>
          <w:sz w:val="24"/>
          <w:highlight w:val="none"/>
        </w:rPr>
        <w:t>（5）目的地</w:t>
      </w:r>
    </w:p>
    <w:p>
      <w:pPr>
        <w:spacing w:line="360" w:lineRule="auto"/>
        <w:rPr>
          <w:rFonts w:ascii="宋体" w:hAnsi="宋体"/>
          <w:color w:val="auto"/>
          <w:sz w:val="24"/>
          <w:highlight w:val="none"/>
        </w:rPr>
      </w:pPr>
      <w:r>
        <w:rPr>
          <w:rFonts w:hint="eastAsia" w:ascii="宋体" w:hAnsi="宋体" w:cs="宋体"/>
          <w:color w:val="auto"/>
          <w:sz w:val="24"/>
          <w:highlight w:val="none"/>
        </w:rPr>
        <w:t>（6）货物名称、品目号和箱号</w:t>
      </w:r>
    </w:p>
    <w:p>
      <w:pPr>
        <w:spacing w:line="360" w:lineRule="auto"/>
        <w:rPr>
          <w:rFonts w:ascii="宋体" w:hAnsi="宋体"/>
          <w:color w:val="auto"/>
          <w:sz w:val="24"/>
          <w:highlight w:val="none"/>
        </w:rPr>
      </w:pPr>
      <w:r>
        <w:rPr>
          <w:rFonts w:hint="eastAsia" w:ascii="宋体" w:hAnsi="宋体" w:cs="宋体"/>
          <w:color w:val="auto"/>
          <w:sz w:val="24"/>
          <w:highlight w:val="none"/>
        </w:rPr>
        <w:t>（7）毛重</w:t>
      </w:r>
      <w:r>
        <w:rPr>
          <w:rFonts w:ascii="宋体" w:hAnsi="宋体" w:cs="宋体"/>
          <w:color w:val="auto"/>
          <w:sz w:val="24"/>
          <w:highlight w:val="none"/>
        </w:rPr>
        <w:t>/</w:t>
      </w:r>
      <w:r>
        <w:rPr>
          <w:rFonts w:hint="eastAsia" w:ascii="宋体" w:hAnsi="宋体" w:cs="宋体"/>
          <w:color w:val="auto"/>
          <w:sz w:val="24"/>
          <w:highlight w:val="none"/>
        </w:rPr>
        <w:t>净重（用公斤表示）</w:t>
      </w:r>
    </w:p>
    <w:p>
      <w:pPr>
        <w:spacing w:line="360" w:lineRule="auto"/>
        <w:rPr>
          <w:rFonts w:ascii="宋体" w:hAnsi="宋体"/>
          <w:color w:val="auto"/>
          <w:sz w:val="24"/>
          <w:highlight w:val="none"/>
        </w:rPr>
      </w:pPr>
      <w:r>
        <w:rPr>
          <w:rFonts w:hint="eastAsia" w:ascii="宋体" w:hAnsi="宋体" w:cs="宋体"/>
          <w:color w:val="auto"/>
          <w:sz w:val="24"/>
          <w:highlight w:val="none"/>
        </w:rPr>
        <w:t>（8）尺寸（以长×宽×高用厘米表示）</w:t>
      </w:r>
    </w:p>
    <w:p>
      <w:pPr>
        <w:tabs>
          <w:tab w:val="left" w:pos="0"/>
        </w:tabs>
        <w:spacing w:line="360" w:lineRule="auto"/>
        <w:rPr>
          <w:rFonts w:ascii="宋体" w:hAnsi="宋体"/>
          <w:color w:val="auto"/>
          <w:sz w:val="24"/>
          <w:highlight w:val="none"/>
        </w:rPr>
      </w:pPr>
      <w:r>
        <w:rPr>
          <w:rFonts w:ascii="宋体" w:hAnsi="宋体" w:cs="宋体"/>
          <w:color w:val="auto"/>
          <w:sz w:val="24"/>
          <w:highlight w:val="none"/>
        </w:rPr>
        <w:t xml:space="preserve">9.2 </w:t>
      </w:r>
      <w:r>
        <w:rPr>
          <w:rFonts w:hint="eastAsia" w:ascii="宋体" w:hAnsi="宋体" w:cs="宋体"/>
          <w:color w:val="auto"/>
          <w:sz w:val="24"/>
          <w:highlight w:val="none"/>
        </w:rPr>
        <w:t>如果单件包装箱的重量在</w:t>
      </w:r>
      <w:r>
        <w:rPr>
          <w:rFonts w:ascii="宋体" w:hAnsi="宋体" w:cs="宋体"/>
          <w:color w:val="auto"/>
          <w:sz w:val="24"/>
          <w:highlight w:val="none"/>
        </w:rPr>
        <w:t>2</w:t>
      </w:r>
      <w:r>
        <w:rPr>
          <w:rFonts w:hint="eastAsia" w:ascii="宋体" w:hAnsi="宋体" w:cs="宋体"/>
          <w:color w:val="auto"/>
          <w:sz w:val="24"/>
          <w:highlight w:val="none"/>
        </w:rPr>
        <w:t>吨或</w:t>
      </w:r>
      <w:r>
        <w:rPr>
          <w:rFonts w:ascii="宋体" w:hAnsi="宋体" w:cs="宋体"/>
          <w:color w:val="auto"/>
          <w:sz w:val="24"/>
          <w:highlight w:val="none"/>
        </w:rPr>
        <w:t>2</w:t>
      </w:r>
      <w:r>
        <w:rPr>
          <w:rFonts w:hint="eastAsia" w:ascii="宋体" w:hAnsi="宋体" w:cs="宋体"/>
          <w:color w:val="auto"/>
          <w:sz w:val="24"/>
          <w:highlight w:val="none"/>
        </w:rPr>
        <w:t>吨以上，卖方应在包装箱两侧用中文和适当的运输标记标注“重心”和“起吊点”以便装卸和搬运。根据货物的特点和运输的不同要求，卖方应在包装箱上清楚地标注“小心轻放”、“此端朝上，请勿倒置”、“保持干燥”等字样和其他适当标记。</w:t>
      </w:r>
    </w:p>
    <w:p>
      <w:pPr>
        <w:spacing w:line="360" w:lineRule="auto"/>
        <w:rPr>
          <w:rFonts w:ascii="宋体" w:hAnsi="宋体"/>
          <w:b/>
          <w:bCs/>
          <w:color w:val="auto"/>
          <w:sz w:val="28"/>
          <w:highlight w:val="none"/>
        </w:rPr>
      </w:pPr>
      <w:r>
        <w:rPr>
          <w:rFonts w:ascii="宋体" w:hAnsi="宋体" w:cs="宋体"/>
          <w:b/>
          <w:bCs/>
          <w:color w:val="auto"/>
          <w:sz w:val="28"/>
          <w:highlight w:val="none"/>
        </w:rPr>
        <w:t>10.</w:t>
      </w:r>
      <w:r>
        <w:rPr>
          <w:rFonts w:hint="eastAsia" w:ascii="宋体" w:hAnsi="宋体" w:cs="宋体"/>
          <w:b/>
          <w:bCs/>
          <w:color w:val="auto"/>
          <w:sz w:val="28"/>
          <w:highlight w:val="none"/>
        </w:rPr>
        <w:t>运输和保险</w:t>
      </w:r>
    </w:p>
    <w:p>
      <w:pPr>
        <w:tabs>
          <w:tab w:val="left" w:pos="0"/>
        </w:tabs>
        <w:spacing w:line="360" w:lineRule="auto"/>
        <w:rPr>
          <w:rFonts w:ascii="宋体" w:hAnsi="宋体"/>
          <w:color w:val="auto"/>
          <w:sz w:val="24"/>
          <w:highlight w:val="none"/>
        </w:rPr>
      </w:pPr>
      <w:r>
        <w:rPr>
          <w:rFonts w:ascii="宋体" w:hAnsi="宋体" w:cs="宋体"/>
          <w:color w:val="auto"/>
          <w:sz w:val="24"/>
          <w:highlight w:val="none"/>
        </w:rPr>
        <w:t xml:space="preserve">10.1 </w:t>
      </w:r>
      <w:r>
        <w:rPr>
          <w:rFonts w:hint="eastAsia" w:ascii="宋体" w:hAnsi="宋体" w:cs="宋体"/>
          <w:color w:val="auto"/>
          <w:sz w:val="24"/>
          <w:highlight w:val="none"/>
        </w:rPr>
        <w:t>卖方负责办理将货物运抵招标文件规定的交货地点的一切运输事项，相关费用应包括在合同总价中。</w:t>
      </w:r>
    </w:p>
    <w:p>
      <w:pPr>
        <w:tabs>
          <w:tab w:val="left" w:pos="0"/>
        </w:tabs>
        <w:spacing w:line="360" w:lineRule="auto"/>
        <w:rPr>
          <w:rFonts w:ascii="宋体" w:hAnsi="宋体"/>
          <w:color w:val="auto"/>
          <w:sz w:val="24"/>
          <w:highlight w:val="none"/>
        </w:rPr>
      </w:pPr>
      <w:r>
        <w:rPr>
          <w:rFonts w:ascii="宋体" w:hAnsi="宋体" w:cs="宋体"/>
          <w:color w:val="auto"/>
          <w:sz w:val="24"/>
          <w:highlight w:val="none"/>
        </w:rPr>
        <w:t xml:space="preserve">10.2 </w:t>
      </w:r>
      <w:r>
        <w:rPr>
          <w:rFonts w:hint="eastAsia" w:ascii="宋体" w:hAnsi="宋体" w:cs="宋体"/>
          <w:color w:val="auto"/>
          <w:sz w:val="24"/>
          <w:highlight w:val="none"/>
        </w:rPr>
        <w:t>卖方应向保险公司以买方为受益人投保发运合同设备价格</w:t>
      </w:r>
      <w:r>
        <w:rPr>
          <w:rFonts w:ascii="宋体" w:hAnsi="宋体" w:cs="宋体"/>
          <w:color w:val="auto"/>
          <w:sz w:val="24"/>
          <w:highlight w:val="none"/>
        </w:rPr>
        <w:t>110%</w:t>
      </w:r>
      <w:r>
        <w:rPr>
          <w:rFonts w:hint="eastAsia" w:ascii="宋体" w:hAnsi="宋体" w:cs="宋体"/>
          <w:color w:val="auto"/>
          <w:sz w:val="24"/>
          <w:highlight w:val="none"/>
        </w:rPr>
        <w:t>的运输一切险。</w:t>
      </w:r>
    </w:p>
    <w:p>
      <w:pPr>
        <w:tabs>
          <w:tab w:val="left" w:pos="0"/>
        </w:tabs>
        <w:spacing w:line="360" w:lineRule="auto"/>
        <w:rPr>
          <w:rFonts w:ascii="宋体" w:hAnsi="宋体"/>
          <w:color w:val="auto"/>
          <w:sz w:val="24"/>
          <w:highlight w:val="none"/>
        </w:rPr>
      </w:pPr>
      <w:r>
        <w:rPr>
          <w:rFonts w:ascii="宋体" w:hAnsi="宋体" w:cs="宋体"/>
          <w:color w:val="auto"/>
          <w:sz w:val="24"/>
          <w:highlight w:val="none"/>
        </w:rPr>
        <w:t xml:space="preserve">10.3 </w:t>
      </w:r>
      <w:r>
        <w:rPr>
          <w:rFonts w:hint="eastAsia" w:ascii="宋体" w:hAnsi="宋体" w:cs="宋体"/>
          <w:color w:val="auto"/>
          <w:sz w:val="24"/>
          <w:highlight w:val="none"/>
        </w:rPr>
        <w:t>其他事项在专用条款中列出。</w:t>
      </w:r>
    </w:p>
    <w:p>
      <w:pPr>
        <w:spacing w:line="360" w:lineRule="auto"/>
        <w:rPr>
          <w:rFonts w:ascii="宋体" w:hAnsi="宋体"/>
          <w:b/>
          <w:bCs/>
          <w:color w:val="auto"/>
          <w:sz w:val="28"/>
          <w:highlight w:val="none"/>
        </w:rPr>
      </w:pPr>
      <w:r>
        <w:rPr>
          <w:rFonts w:ascii="宋体" w:hAnsi="宋体" w:cs="宋体"/>
          <w:b/>
          <w:bCs/>
          <w:color w:val="auto"/>
          <w:sz w:val="28"/>
          <w:highlight w:val="none"/>
        </w:rPr>
        <w:t>11.</w:t>
      </w:r>
      <w:r>
        <w:rPr>
          <w:rFonts w:hint="eastAsia" w:ascii="宋体" w:hAnsi="宋体" w:cs="宋体"/>
          <w:b/>
          <w:bCs/>
          <w:color w:val="auto"/>
          <w:sz w:val="28"/>
          <w:highlight w:val="none"/>
        </w:rPr>
        <w:t>伴随服务</w:t>
      </w:r>
    </w:p>
    <w:p>
      <w:pPr>
        <w:tabs>
          <w:tab w:val="left" w:pos="0"/>
        </w:tabs>
        <w:spacing w:line="360" w:lineRule="auto"/>
        <w:rPr>
          <w:rFonts w:ascii="宋体" w:hAnsi="宋体"/>
          <w:color w:val="auto"/>
          <w:sz w:val="24"/>
          <w:highlight w:val="none"/>
        </w:rPr>
      </w:pPr>
      <w:r>
        <w:rPr>
          <w:rFonts w:ascii="宋体" w:hAnsi="宋体" w:cs="宋体"/>
          <w:color w:val="auto"/>
          <w:sz w:val="24"/>
          <w:highlight w:val="none"/>
        </w:rPr>
        <w:t xml:space="preserve">11.1 </w:t>
      </w:r>
      <w:r>
        <w:rPr>
          <w:rFonts w:hint="eastAsia" w:ascii="宋体" w:hAnsi="宋体" w:cs="宋体"/>
          <w:color w:val="auto"/>
          <w:sz w:val="24"/>
          <w:highlight w:val="none"/>
        </w:rPr>
        <w:t>卖方可能被要求提供下列服务中的任一或所有服务，包括“合同专用条款”与第六章“货物技术规格、参数与要求”规定的附加服务（如果有的话）：</w:t>
      </w:r>
    </w:p>
    <w:p>
      <w:pPr>
        <w:tabs>
          <w:tab w:val="left" w:pos="0"/>
        </w:tabs>
        <w:spacing w:line="360" w:lineRule="auto"/>
        <w:rPr>
          <w:rFonts w:ascii="宋体" w:hAnsi="宋体"/>
          <w:color w:val="auto"/>
          <w:sz w:val="24"/>
          <w:highlight w:val="none"/>
        </w:rPr>
      </w:pPr>
      <w:r>
        <w:rPr>
          <w:rFonts w:hint="eastAsia" w:ascii="宋体" w:hAnsi="宋体" w:cs="宋体"/>
          <w:color w:val="auto"/>
          <w:sz w:val="24"/>
          <w:highlight w:val="none"/>
        </w:rPr>
        <w:t>（</w:t>
      </w:r>
      <w:r>
        <w:rPr>
          <w:rFonts w:ascii="宋体" w:hAnsi="宋体" w:cs="宋体"/>
          <w:color w:val="auto"/>
          <w:sz w:val="24"/>
          <w:highlight w:val="none"/>
        </w:rPr>
        <w:t xml:space="preserve">1) </w:t>
      </w:r>
      <w:r>
        <w:rPr>
          <w:rFonts w:hint="eastAsia" w:ascii="宋体" w:hAnsi="宋体" w:cs="宋体"/>
          <w:color w:val="auto"/>
          <w:sz w:val="24"/>
          <w:highlight w:val="none"/>
        </w:rPr>
        <w:t>实施或监督所供货物的现场组装和</w:t>
      </w:r>
      <w:r>
        <w:rPr>
          <w:rFonts w:ascii="宋体" w:hAnsi="宋体" w:cs="宋体"/>
          <w:color w:val="auto"/>
          <w:sz w:val="24"/>
          <w:highlight w:val="none"/>
        </w:rPr>
        <w:t>/</w:t>
      </w:r>
      <w:r>
        <w:rPr>
          <w:rFonts w:hint="eastAsia" w:ascii="宋体" w:hAnsi="宋体" w:cs="宋体"/>
          <w:color w:val="auto"/>
          <w:sz w:val="24"/>
          <w:highlight w:val="none"/>
        </w:rPr>
        <w:t>或试运行；</w:t>
      </w:r>
    </w:p>
    <w:p>
      <w:pPr>
        <w:spacing w:line="360" w:lineRule="auto"/>
        <w:rPr>
          <w:rFonts w:ascii="宋体" w:hAnsi="宋体"/>
          <w:color w:val="auto"/>
          <w:sz w:val="24"/>
          <w:highlight w:val="none"/>
        </w:rPr>
      </w:pPr>
      <w:r>
        <w:rPr>
          <w:rFonts w:hint="eastAsia" w:ascii="宋体" w:hAnsi="宋体" w:cs="宋体"/>
          <w:color w:val="auto"/>
          <w:sz w:val="24"/>
          <w:highlight w:val="none"/>
        </w:rPr>
        <w:t>（</w:t>
      </w:r>
      <w:r>
        <w:rPr>
          <w:rFonts w:ascii="宋体" w:hAnsi="宋体" w:cs="宋体"/>
          <w:color w:val="auto"/>
          <w:sz w:val="24"/>
          <w:highlight w:val="none"/>
        </w:rPr>
        <w:t xml:space="preserve">2) </w:t>
      </w:r>
      <w:r>
        <w:rPr>
          <w:rFonts w:hint="eastAsia" w:ascii="宋体" w:hAnsi="宋体" w:cs="宋体"/>
          <w:color w:val="auto"/>
          <w:sz w:val="24"/>
          <w:highlight w:val="none"/>
        </w:rPr>
        <w:t>提供货物组装和</w:t>
      </w:r>
      <w:r>
        <w:rPr>
          <w:rFonts w:ascii="宋体" w:hAnsi="宋体" w:cs="宋体"/>
          <w:color w:val="auto"/>
          <w:sz w:val="24"/>
          <w:highlight w:val="none"/>
        </w:rPr>
        <w:t>/</w:t>
      </w:r>
      <w:r>
        <w:rPr>
          <w:rFonts w:hint="eastAsia" w:ascii="宋体" w:hAnsi="宋体" w:cs="宋体"/>
          <w:color w:val="auto"/>
          <w:sz w:val="24"/>
          <w:highlight w:val="none"/>
        </w:rPr>
        <w:t>或维修所需的工具；</w:t>
      </w:r>
    </w:p>
    <w:p>
      <w:pPr>
        <w:spacing w:line="360" w:lineRule="auto"/>
        <w:rPr>
          <w:rFonts w:ascii="宋体" w:hAnsi="宋体"/>
          <w:color w:val="auto"/>
          <w:sz w:val="24"/>
          <w:highlight w:val="none"/>
        </w:rPr>
      </w:pPr>
      <w:r>
        <w:rPr>
          <w:rFonts w:hint="eastAsia" w:ascii="宋体" w:hAnsi="宋体" w:cs="宋体"/>
          <w:color w:val="auto"/>
          <w:sz w:val="24"/>
          <w:highlight w:val="none"/>
        </w:rPr>
        <w:t>（</w:t>
      </w:r>
      <w:r>
        <w:rPr>
          <w:rFonts w:ascii="宋体" w:hAnsi="宋体" w:cs="宋体"/>
          <w:color w:val="auto"/>
          <w:sz w:val="24"/>
          <w:highlight w:val="none"/>
        </w:rPr>
        <w:t xml:space="preserve">3) </w:t>
      </w:r>
      <w:r>
        <w:rPr>
          <w:rFonts w:hint="eastAsia" w:ascii="宋体" w:hAnsi="宋体" w:cs="宋体"/>
          <w:color w:val="auto"/>
          <w:sz w:val="24"/>
          <w:highlight w:val="none"/>
        </w:rPr>
        <w:t>为所供货物的每一适当的单台设备提供详细的操作和维护手册；</w:t>
      </w:r>
    </w:p>
    <w:p>
      <w:pPr>
        <w:spacing w:line="360" w:lineRule="auto"/>
        <w:rPr>
          <w:rFonts w:ascii="宋体" w:hAnsi="宋体"/>
          <w:color w:val="auto"/>
          <w:sz w:val="24"/>
          <w:highlight w:val="none"/>
        </w:rPr>
      </w:pPr>
      <w:r>
        <w:rPr>
          <w:rFonts w:hint="eastAsia" w:ascii="宋体" w:hAnsi="宋体" w:cs="宋体"/>
          <w:color w:val="auto"/>
          <w:sz w:val="24"/>
          <w:highlight w:val="none"/>
        </w:rPr>
        <w:t>（</w:t>
      </w:r>
      <w:r>
        <w:rPr>
          <w:rFonts w:ascii="宋体" w:hAnsi="宋体" w:cs="宋体"/>
          <w:color w:val="auto"/>
          <w:sz w:val="24"/>
          <w:highlight w:val="none"/>
        </w:rPr>
        <w:t xml:space="preserve">4) </w:t>
      </w:r>
      <w:r>
        <w:rPr>
          <w:rFonts w:hint="eastAsia" w:ascii="宋体" w:hAnsi="宋体" w:cs="宋体"/>
          <w:color w:val="auto"/>
          <w:sz w:val="24"/>
          <w:highlight w:val="none"/>
        </w:rPr>
        <w:t>在双方商定的一定期限内对所供货物实施运行或监督或维护或修理，但前提条件是该服务并不能免除卖方在合同保证期内所承担的义务；</w:t>
      </w:r>
    </w:p>
    <w:p>
      <w:pPr>
        <w:spacing w:line="360" w:lineRule="auto"/>
        <w:rPr>
          <w:rFonts w:ascii="宋体" w:hAnsi="宋体"/>
          <w:color w:val="auto"/>
          <w:sz w:val="24"/>
          <w:highlight w:val="none"/>
        </w:rPr>
      </w:pPr>
      <w:r>
        <w:rPr>
          <w:rFonts w:hint="eastAsia" w:ascii="宋体" w:hAnsi="宋体" w:cs="宋体"/>
          <w:color w:val="auto"/>
          <w:sz w:val="24"/>
          <w:highlight w:val="none"/>
        </w:rPr>
        <w:t>（</w:t>
      </w:r>
      <w:r>
        <w:rPr>
          <w:rFonts w:ascii="宋体" w:hAnsi="宋体" w:cs="宋体"/>
          <w:color w:val="auto"/>
          <w:sz w:val="24"/>
          <w:highlight w:val="none"/>
        </w:rPr>
        <w:t xml:space="preserve">5) </w:t>
      </w:r>
      <w:r>
        <w:rPr>
          <w:rFonts w:hint="eastAsia" w:ascii="宋体" w:hAnsi="宋体" w:cs="宋体"/>
          <w:color w:val="auto"/>
          <w:sz w:val="24"/>
          <w:highlight w:val="none"/>
        </w:rPr>
        <w:t>在项目现场就所供货物组装、试运行、运行、维护和</w:t>
      </w:r>
      <w:r>
        <w:rPr>
          <w:rFonts w:ascii="宋体" w:hAnsi="宋体" w:cs="宋体"/>
          <w:color w:val="auto"/>
          <w:sz w:val="24"/>
          <w:highlight w:val="none"/>
        </w:rPr>
        <w:t>/</w:t>
      </w:r>
      <w:r>
        <w:rPr>
          <w:rFonts w:hint="eastAsia" w:ascii="宋体" w:hAnsi="宋体" w:cs="宋体"/>
          <w:color w:val="auto"/>
          <w:sz w:val="24"/>
          <w:highlight w:val="none"/>
        </w:rPr>
        <w:t>或修理的买方人员进行培训。</w:t>
      </w:r>
    </w:p>
    <w:p>
      <w:pPr>
        <w:tabs>
          <w:tab w:val="left" w:pos="0"/>
        </w:tabs>
        <w:spacing w:line="360" w:lineRule="auto"/>
        <w:rPr>
          <w:rFonts w:ascii="宋体" w:hAnsi="宋体"/>
          <w:color w:val="auto"/>
          <w:sz w:val="24"/>
          <w:highlight w:val="none"/>
        </w:rPr>
      </w:pPr>
      <w:r>
        <w:rPr>
          <w:rFonts w:ascii="宋体" w:hAnsi="宋体" w:cs="宋体"/>
          <w:color w:val="auto"/>
          <w:sz w:val="24"/>
          <w:highlight w:val="none"/>
        </w:rPr>
        <w:t xml:space="preserve">11.2 </w:t>
      </w:r>
      <w:r>
        <w:rPr>
          <w:rFonts w:hint="eastAsia" w:ascii="宋体" w:hAnsi="宋体" w:cs="宋体"/>
          <w:color w:val="auto"/>
          <w:sz w:val="24"/>
          <w:highlight w:val="none"/>
        </w:rPr>
        <w:t>如果卖方或制造厂提供的伴随服务的费用未含在货物的合同价中，双方应事先就其达成协议，但其费用单价不应超过卖方向其他人提供类似服务所收取的现行单价。</w:t>
      </w:r>
    </w:p>
    <w:p>
      <w:pPr>
        <w:tabs>
          <w:tab w:val="left" w:pos="0"/>
        </w:tabs>
        <w:spacing w:line="360" w:lineRule="auto"/>
        <w:rPr>
          <w:rFonts w:ascii="宋体" w:hAnsi="宋体"/>
          <w:color w:val="auto"/>
          <w:sz w:val="24"/>
          <w:highlight w:val="none"/>
        </w:rPr>
      </w:pPr>
      <w:r>
        <w:rPr>
          <w:rFonts w:ascii="宋体" w:hAnsi="宋体" w:cs="宋体"/>
          <w:color w:val="auto"/>
          <w:sz w:val="24"/>
          <w:highlight w:val="none"/>
        </w:rPr>
        <w:t xml:space="preserve">11.3 </w:t>
      </w:r>
      <w:r>
        <w:rPr>
          <w:rFonts w:hint="eastAsia" w:ascii="宋体" w:hAnsi="宋体" w:cs="宋体"/>
          <w:color w:val="auto"/>
          <w:sz w:val="24"/>
          <w:highlight w:val="none"/>
        </w:rPr>
        <w:t>卖方应提供“合同专用条款”及“货物技术规格、参数与要求”中规定的所有服务。为履行要求的伴随服务的报价或双方商定的费用应包括在合同价中。</w:t>
      </w:r>
    </w:p>
    <w:p>
      <w:pPr>
        <w:spacing w:line="360" w:lineRule="auto"/>
        <w:rPr>
          <w:rFonts w:ascii="宋体" w:hAnsi="宋体"/>
          <w:b/>
          <w:bCs/>
          <w:color w:val="auto"/>
          <w:sz w:val="28"/>
          <w:highlight w:val="none"/>
        </w:rPr>
      </w:pPr>
      <w:r>
        <w:rPr>
          <w:rFonts w:ascii="宋体" w:hAnsi="宋体" w:cs="宋体"/>
          <w:b/>
          <w:bCs/>
          <w:color w:val="auto"/>
          <w:sz w:val="28"/>
          <w:highlight w:val="none"/>
        </w:rPr>
        <w:t>12.</w:t>
      </w:r>
      <w:r>
        <w:rPr>
          <w:rFonts w:hint="eastAsia" w:ascii="宋体" w:hAnsi="宋体" w:cs="宋体"/>
          <w:b/>
          <w:bCs/>
          <w:color w:val="auto"/>
          <w:sz w:val="28"/>
          <w:highlight w:val="none"/>
        </w:rPr>
        <w:t>备品备件</w:t>
      </w:r>
    </w:p>
    <w:p>
      <w:pPr>
        <w:tabs>
          <w:tab w:val="left" w:pos="0"/>
        </w:tabs>
        <w:spacing w:line="360" w:lineRule="auto"/>
        <w:rPr>
          <w:rFonts w:ascii="宋体" w:hAnsi="宋体"/>
          <w:color w:val="auto"/>
          <w:sz w:val="24"/>
          <w:highlight w:val="none"/>
        </w:rPr>
      </w:pPr>
      <w:r>
        <w:rPr>
          <w:rFonts w:ascii="宋体" w:hAnsi="宋体" w:cs="宋体"/>
          <w:color w:val="auto"/>
          <w:sz w:val="24"/>
          <w:highlight w:val="none"/>
        </w:rPr>
        <w:t xml:space="preserve">12.1 </w:t>
      </w:r>
      <w:r>
        <w:rPr>
          <w:rFonts w:hint="eastAsia" w:ascii="宋体" w:hAnsi="宋体" w:cs="宋体"/>
          <w:color w:val="auto"/>
          <w:sz w:val="24"/>
          <w:highlight w:val="none"/>
        </w:rPr>
        <w:t>正如合同条款所规定，卖方可能被要求提供下列与备品备件有关的材料、通知和资料：</w:t>
      </w:r>
    </w:p>
    <w:p>
      <w:pPr>
        <w:spacing w:line="360" w:lineRule="auto"/>
        <w:rPr>
          <w:rFonts w:ascii="宋体" w:hAnsi="宋体"/>
          <w:color w:val="auto"/>
          <w:sz w:val="24"/>
          <w:highlight w:val="none"/>
        </w:rPr>
      </w:pPr>
      <w:r>
        <w:rPr>
          <w:rFonts w:hint="eastAsia" w:ascii="宋体" w:hAnsi="宋体" w:cs="宋体"/>
          <w:color w:val="auto"/>
          <w:sz w:val="24"/>
          <w:highlight w:val="none"/>
        </w:rPr>
        <w:t>（</w:t>
      </w:r>
      <w:r>
        <w:rPr>
          <w:rFonts w:ascii="宋体" w:hAnsi="宋体" w:cs="宋体"/>
          <w:color w:val="auto"/>
          <w:sz w:val="24"/>
          <w:highlight w:val="none"/>
        </w:rPr>
        <w:t>1)</w:t>
      </w:r>
      <w:r>
        <w:rPr>
          <w:rFonts w:hint="eastAsia" w:ascii="宋体" w:hAnsi="宋体" w:cs="宋体"/>
          <w:color w:val="auto"/>
          <w:sz w:val="24"/>
          <w:highlight w:val="none"/>
        </w:rPr>
        <w:t>买方从卖方选购备品备件，但前提条件是该选择并不能免除卖方在合同保证期内所承担的义务；</w:t>
      </w:r>
    </w:p>
    <w:p>
      <w:pPr>
        <w:spacing w:line="360" w:lineRule="auto"/>
        <w:rPr>
          <w:rFonts w:ascii="宋体" w:hAnsi="宋体"/>
          <w:color w:val="auto"/>
          <w:sz w:val="24"/>
          <w:highlight w:val="none"/>
        </w:rPr>
      </w:pPr>
      <w:r>
        <w:rPr>
          <w:rFonts w:hint="eastAsia" w:ascii="宋体" w:hAnsi="宋体" w:cs="宋体"/>
          <w:color w:val="auto"/>
          <w:sz w:val="24"/>
          <w:highlight w:val="none"/>
        </w:rPr>
        <w:t>（</w:t>
      </w:r>
      <w:r>
        <w:rPr>
          <w:rFonts w:ascii="宋体" w:hAnsi="宋体" w:cs="宋体"/>
          <w:color w:val="auto"/>
          <w:sz w:val="24"/>
          <w:highlight w:val="none"/>
        </w:rPr>
        <w:t>2)</w:t>
      </w:r>
      <w:r>
        <w:rPr>
          <w:rFonts w:hint="eastAsia" w:ascii="宋体" w:hAnsi="宋体" w:cs="宋体"/>
          <w:color w:val="auto"/>
          <w:sz w:val="24"/>
          <w:highlight w:val="none"/>
        </w:rPr>
        <w:t>在备品备件停止生产的情况下，卖方应事先将要停止生产的计划通知买方使买方有足够的时间采购所需的备品备件；</w:t>
      </w:r>
    </w:p>
    <w:p>
      <w:pPr>
        <w:spacing w:line="360" w:lineRule="auto"/>
        <w:rPr>
          <w:rFonts w:ascii="宋体" w:hAnsi="宋体"/>
          <w:color w:val="auto"/>
          <w:sz w:val="24"/>
          <w:highlight w:val="none"/>
        </w:rPr>
      </w:pPr>
      <w:r>
        <w:rPr>
          <w:rFonts w:hint="eastAsia" w:ascii="宋体" w:hAnsi="宋体" w:cs="宋体"/>
          <w:color w:val="auto"/>
          <w:sz w:val="24"/>
          <w:highlight w:val="none"/>
        </w:rPr>
        <w:t>（</w:t>
      </w:r>
      <w:r>
        <w:rPr>
          <w:rFonts w:ascii="宋体" w:hAnsi="宋体" w:cs="宋体"/>
          <w:color w:val="auto"/>
          <w:sz w:val="24"/>
          <w:highlight w:val="none"/>
        </w:rPr>
        <w:t>3)</w:t>
      </w:r>
      <w:r>
        <w:rPr>
          <w:rFonts w:hint="eastAsia" w:ascii="宋体" w:hAnsi="宋体" w:cs="宋体"/>
          <w:color w:val="auto"/>
          <w:sz w:val="24"/>
          <w:highlight w:val="none"/>
        </w:rPr>
        <w:t>在备品备件停止生产后，如果买方要求，卖方应免费向买方提供备品备件的蓝图、图纸和规格。</w:t>
      </w:r>
    </w:p>
    <w:p>
      <w:pPr>
        <w:tabs>
          <w:tab w:val="left" w:pos="0"/>
        </w:tabs>
        <w:spacing w:line="360" w:lineRule="auto"/>
        <w:rPr>
          <w:rFonts w:ascii="宋体" w:hAnsi="宋体"/>
          <w:color w:val="auto"/>
          <w:sz w:val="24"/>
          <w:highlight w:val="none"/>
        </w:rPr>
      </w:pPr>
      <w:r>
        <w:rPr>
          <w:rFonts w:ascii="宋体" w:hAnsi="宋体" w:cs="宋体"/>
          <w:color w:val="auto"/>
          <w:sz w:val="24"/>
          <w:highlight w:val="none"/>
        </w:rPr>
        <w:t xml:space="preserve">12.2 </w:t>
      </w:r>
      <w:r>
        <w:rPr>
          <w:rFonts w:hint="eastAsia" w:ascii="宋体" w:hAnsi="宋体" w:cs="宋体"/>
          <w:color w:val="auto"/>
          <w:sz w:val="24"/>
          <w:highlight w:val="none"/>
        </w:rPr>
        <w:t>卖方应按照“合同专用条款”及第六章“货物技术规格、参数与要求”中的规定提供所需的备品备件。</w:t>
      </w:r>
    </w:p>
    <w:p>
      <w:pPr>
        <w:spacing w:line="360" w:lineRule="auto"/>
        <w:rPr>
          <w:rFonts w:ascii="宋体" w:hAnsi="宋体"/>
          <w:b/>
          <w:bCs/>
          <w:color w:val="auto"/>
          <w:sz w:val="28"/>
          <w:highlight w:val="none"/>
        </w:rPr>
      </w:pPr>
      <w:r>
        <w:rPr>
          <w:rFonts w:ascii="宋体" w:hAnsi="宋体" w:cs="宋体"/>
          <w:b/>
          <w:bCs/>
          <w:color w:val="auto"/>
          <w:sz w:val="28"/>
          <w:highlight w:val="none"/>
        </w:rPr>
        <w:t>13.</w:t>
      </w:r>
      <w:r>
        <w:rPr>
          <w:rFonts w:hint="eastAsia" w:ascii="宋体" w:hAnsi="宋体" w:cs="宋体"/>
          <w:b/>
          <w:bCs/>
          <w:color w:val="auto"/>
          <w:sz w:val="28"/>
          <w:highlight w:val="none"/>
        </w:rPr>
        <w:t>保证</w:t>
      </w:r>
    </w:p>
    <w:p>
      <w:pPr>
        <w:tabs>
          <w:tab w:val="left" w:pos="0"/>
        </w:tabs>
        <w:spacing w:line="360" w:lineRule="auto"/>
        <w:rPr>
          <w:rFonts w:ascii="宋体" w:hAnsi="宋体"/>
          <w:color w:val="auto"/>
          <w:sz w:val="24"/>
          <w:highlight w:val="none"/>
        </w:rPr>
      </w:pPr>
      <w:r>
        <w:rPr>
          <w:rFonts w:ascii="宋体" w:hAnsi="宋体" w:cs="宋体"/>
          <w:color w:val="auto"/>
          <w:sz w:val="24"/>
          <w:highlight w:val="none"/>
        </w:rPr>
        <w:t xml:space="preserve">13.1 </w:t>
      </w:r>
      <w:r>
        <w:rPr>
          <w:rFonts w:hint="eastAsia" w:ascii="宋体" w:hAnsi="宋体" w:cs="宋体"/>
          <w:color w:val="auto"/>
          <w:sz w:val="24"/>
          <w:highlight w:val="none"/>
        </w:rPr>
        <w:t>卖方应保证合同项下所供货物是全新的、未使用过的，是最新或目前的型号，除非合同另有规定，货物应含有设计上和材料的全部最新改进。卖方进一步保证，合同项下提供的全部货物没有设计、材料或工艺上的缺陷（由于按买方的要求设计或按买方的规格提供的材料所产生的缺陷除外），或者没有因卖方的行为或疏忽而产生的缺陷。</w:t>
      </w:r>
    </w:p>
    <w:p>
      <w:pPr>
        <w:tabs>
          <w:tab w:val="left" w:pos="0"/>
        </w:tabs>
        <w:spacing w:line="360" w:lineRule="auto"/>
        <w:rPr>
          <w:rFonts w:ascii="宋体" w:hAnsi="宋体"/>
          <w:color w:val="auto"/>
          <w:sz w:val="24"/>
          <w:highlight w:val="none"/>
        </w:rPr>
      </w:pPr>
      <w:r>
        <w:rPr>
          <w:rFonts w:ascii="宋体" w:hAnsi="宋体" w:cs="宋体"/>
          <w:color w:val="auto"/>
          <w:sz w:val="24"/>
          <w:highlight w:val="none"/>
        </w:rPr>
        <w:t xml:space="preserve">13.2 </w:t>
      </w:r>
      <w:r>
        <w:rPr>
          <w:rFonts w:hint="eastAsia" w:ascii="宋体" w:hAnsi="宋体" w:cs="宋体"/>
          <w:color w:val="auto"/>
          <w:sz w:val="24"/>
          <w:highlight w:val="none"/>
        </w:rPr>
        <w:t>本保证应在合同货物最终验收后的一定期限内保持有效，或在最后一批合同货物到达最终目的地后的一定期限内保持有效，以先发生的为准。</w:t>
      </w:r>
    </w:p>
    <w:p>
      <w:pPr>
        <w:tabs>
          <w:tab w:val="left" w:pos="0"/>
        </w:tabs>
        <w:spacing w:line="360" w:lineRule="auto"/>
        <w:rPr>
          <w:rFonts w:ascii="宋体" w:hAnsi="宋体"/>
          <w:color w:val="auto"/>
          <w:sz w:val="24"/>
          <w:highlight w:val="none"/>
        </w:rPr>
      </w:pPr>
      <w:r>
        <w:rPr>
          <w:rFonts w:ascii="宋体" w:hAnsi="宋体" w:cs="宋体"/>
          <w:color w:val="auto"/>
          <w:sz w:val="24"/>
          <w:highlight w:val="none"/>
        </w:rPr>
        <w:t xml:space="preserve">13.3 </w:t>
      </w:r>
      <w:r>
        <w:rPr>
          <w:rFonts w:hint="eastAsia" w:ascii="宋体" w:hAnsi="宋体" w:cs="宋体"/>
          <w:color w:val="auto"/>
          <w:sz w:val="24"/>
          <w:highlight w:val="none"/>
        </w:rPr>
        <w:t>买方应尽快以书面形式通知卖方保证期内所发现的缺陷。</w:t>
      </w:r>
    </w:p>
    <w:p>
      <w:pPr>
        <w:tabs>
          <w:tab w:val="left" w:pos="0"/>
        </w:tabs>
        <w:spacing w:line="360" w:lineRule="auto"/>
        <w:rPr>
          <w:rFonts w:ascii="宋体" w:hAnsi="宋体"/>
          <w:color w:val="auto"/>
          <w:sz w:val="24"/>
          <w:highlight w:val="none"/>
        </w:rPr>
      </w:pPr>
      <w:r>
        <w:rPr>
          <w:rFonts w:ascii="宋体" w:hAnsi="宋体" w:cs="宋体"/>
          <w:color w:val="auto"/>
          <w:sz w:val="24"/>
          <w:highlight w:val="none"/>
        </w:rPr>
        <w:t xml:space="preserve">13.4 </w:t>
      </w:r>
      <w:r>
        <w:rPr>
          <w:rFonts w:hint="eastAsia" w:ascii="宋体" w:hAnsi="宋体" w:cs="宋体"/>
          <w:color w:val="auto"/>
          <w:sz w:val="24"/>
          <w:highlight w:val="none"/>
        </w:rPr>
        <w:t>卖方收到通知后应在“合同专用条款”规定的时间内以合理的速度免费维修或更换有缺陷的货物或部件。</w:t>
      </w:r>
    </w:p>
    <w:p>
      <w:pPr>
        <w:tabs>
          <w:tab w:val="left" w:pos="0"/>
        </w:tabs>
        <w:spacing w:line="360" w:lineRule="auto"/>
        <w:rPr>
          <w:rFonts w:ascii="宋体" w:hAnsi="宋体"/>
          <w:color w:val="auto"/>
          <w:sz w:val="24"/>
          <w:highlight w:val="none"/>
        </w:rPr>
      </w:pPr>
      <w:r>
        <w:rPr>
          <w:rFonts w:ascii="宋体" w:hAnsi="宋体" w:cs="宋体"/>
          <w:color w:val="auto"/>
          <w:sz w:val="24"/>
          <w:highlight w:val="none"/>
        </w:rPr>
        <w:t xml:space="preserve">13.5 </w:t>
      </w:r>
      <w:r>
        <w:rPr>
          <w:rFonts w:hint="eastAsia" w:ascii="宋体" w:hAnsi="宋体" w:cs="宋体"/>
          <w:color w:val="auto"/>
          <w:sz w:val="24"/>
          <w:highlight w:val="none"/>
        </w:rPr>
        <w:t>如果卖方收到通知后在合同规定的时间内没有以合理的速度弥补缺陷，买方可采取必要的补救措施，但其风险和费用将由卖方承担，买方根据合同规定对卖方行使的其他权力不受影响。</w:t>
      </w:r>
    </w:p>
    <w:p>
      <w:pPr>
        <w:spacing w:line="360" w:lineRule="auto"/>
        <w:rPr>
          <w:rFonts w:ascii="宋体" w:hAnsi="宋体"/>
          <w:b/>
          <w:bCs/>
          <w:color w:val="auto"/>
          <w:sz w:val="28"/>
          <w:highlight w:val="none"/>
        </w:rPr>
      </w:pPr>
      <w:r>
        <w:rPr>
          <w:rFonts w:ascii="宋体" w:hAnsi="宋体" w:cs="宋体"/>
          <w:b/>
          <w:bCs/>
          <w:color w:val="auto"/>
          <w:sz w:val="28"/>
          <w:highlight w:val="none"/>
        </w:rPr>
        <w:t>14.</w:t>
      </w:r>
      <w:r>
        <w:rPr>
          <w:rFonts w:hint="eastAsia" w:ascii="宋体" w:hAnsi="宋体" w:cs="宋体"/>
          <w:b/>
          <w:bCs/>
          <w:color w:val="auto"/>
          <w:sz w:val="28"/>
          <w:highlight w:val="none"/>
        </w:rPr>
        <w:t>索赔</w:t>
      </w:r>
    </w:p>
    <w:p>
      <w:pPr>
        <w:tabs>
          <w:tab w:val="left" w:pos="0"/>
        </w:tabs>
        <w:spacing w:line="360" w:lineRule="auto"/>
        <w:rPr>
          <w:rFonts w:ascii="宋体" w:hAnsi="宋体"/>
          <w:color w:val="auto"/>
          <w:sz w:val="24"/>
          <w:highlight w:val="none"/>
        </w:rPr>
      </w:pPr>
      <w:r>
        <w:rPr>
          <w:rFonts w:ascii="宋体" w:hAnsi="宋体" w:cs="宋体"/>
          <w:color w:val="auto"/>
          <w:sz w:val="24"/>
          <w:highlight w:val="none"/>
        </w:rPr>
        <w:t xml:space="preserve">14.1 </w:t>
      </w:r>
      <w:r>
        <w:rPr>
          <w:rFonts w:hint="eastAsia" w:ascii="宋体" w:hAnsi="宋体" w:cs="宋体"/>
          <w:color w:val="auto"/>
          <w:sz w:val="24"/>
          <w:highlight w:val="none"/>
        </w:rPr>
        <w:t>如果卖方对偏差负有责任，而买方在合同条款第</w:t>
      </w:r>
      <w:r>
        <w:rPr>
          <w:rFonts w:ascii="宋体" w:hAnsi="宋体" w:cs="宋体"/>
          <w:color w:val="auto"/>
          <w:sz w:val="24"/>
          <w:highlight w:val="none"/>
        </w:rPr>
        <w:t>13</w:t>
      </w:r>
      <w:r>
        <w:rPr>
          <w:rFonts w:hint="eastAsia" w:ascii="宋体" w:hAnsi="宋体" w:cs="宋体"/>
          <w:color w:val="auto"/>
          <w:sz w:val="24"/>
          <w:highlight w:val="none"/>
        </w:rPr>
        <w:t>条或合同的其他条款规定的检验、验收和质量保证期内提出了索赔，卖方应按照买方同意的下列一种或几种方式结合起来解决索赔事宜：</w:t>
      </w:r>
    </w:p>
    <w:p>
      <w:pPr>
        <w:spacing w:line="360" w:lineRule="auto"/>
        <w:rPr>
          <w:rFonts w:ascii="宋体" w:hAnsi="宋体"/>
          <w:color w:val="auto"/>
          <w:sz w:val="24"/>
          <w:highlight w:val="none"/>
        </w:rPr>
      </w:pPr>
      <w:r>
        <w:rPr>
          <w:rFonts w:hint="eastAsia" w:ascii="宋体" w:hAnsi="宋体" w:cs="宋体"/>
          <w:color w:val="auto"/>
          <w:sz w:val="24"/>
          <w:highlight w:val="none"/>
        </w:rPr>
        <w:t>（</w:t>
      </w:r>
      <w:r>
        <w:rPr>
          <w:rFonts w:ascii="宋体" w:hAnsi="宋体" w:cs="宋体"/>
          <w:color w:val="auto"/>
          <w:sz w:val="24"/>
          <w:highlight w:val="none"/>
        </w:rPr>
        <w:t xml:space="preserve">1) </w:t>
      </w:r>
      <w:r>
        <w:rPr>
          <w:rFonts w:hint="eastAsia" w:ascii="宋体" w:hAnsi="宋体" w:cs="宋体"/>
          <w:color w:val="auto"/>
          <w:sz w:val="24"/>
          <w:highlight w:val="none"/>
        </w:rPr>
        <w:t>卖方同意退货并用合同规定的货币将货款退还给买方，并承担由此发生的一切损失和费用，包括利息、银行手续费、运费、保险费、检验费、仓储费、装卸费以及为看管和保护退回货物所需的其它必要费用。</w:t>
      </w:r>
    </w:p>
    <w:p>
      <w:pPr>
        <w:spacing w:line="360" w:lineRule="auto"/>
        <w:rPr>
          <w:rFonts w:ascii="宋体" w:hAnsi="宋体"/>
          <w:color w:val="auto"/>
          <w:sz w:val="24"/>
          <w:highlight w:val="none"/>
        </w:rPr>
      </w:pPr>
      <w:r>
        <w:rPr>
          <w:rFonts w:hint="eastAsia" w:ascii="宋体" w:hAnsi="宋体" w:cs="宋体"/>
          <w:color w:val="auto"/>
          <w:sz w:val="24"/>
          <w:highlight w:val="none"/>
        </w:rPr>
        <w:t>（</w:t>
      </w:r>
      <w:r>
        <w:rPr>
          <w:rFonts w:ascii="宋体" w:hAnsi="宋体" w:cs="宋体"/>
          <w:color w:val="auto"/>
          <w:sz w:val="24"/>
          <w:highlight w:val="none"/>
        </w:rPr>
        <w:t xml:space="preserve">2) </w:t>
      </w:r>
      <w:r>
        <w:rPr>
          <w:rFonts w:hint="eastAsia" w:ascii="宋体" w:hAnsi="宋体" w:cs="宋体"/>
          <w:color w:val="auto"/>
          <w:sz w:val="24"/>
          <w:highlight w:val="none"/>
        </w:rPr>
        <w:t>根据货物的偏差情况、损坏程度、以及买方所遭受损失的金额，经买卖双方商定降低货物的价格。</w:t>
      </w:r>
    </w:p>
    <w:p>
      <w:pPr>
        <w:spacing w:line="360" w:lineRule="auto"/>
        <w:rPr>
          <w:rFonts w:ascii="宋体" w:hAnsi="宋体"/>
          <w:color w:val="auto"/>
          <w:sz w:val="24"/>
          <w:highlight w:val="none"/>
        </w:rPr>
      </w:pPr>
      <w:r>
        <w:rPr>
          <w:rFonts w:hint="eastAsia" w:ascii="宋体" w:hAnsi="宋体" w:cs="宋体"/>
          <w:color w:val="auto"/>
          <w:sz w:val="24"/>
          <w:highlight w:val="none"/>
        </w:rPr>
        <w:t>（</w:t>
      </w:r>
      <w:r>
        <w:rPr>
          <w:rFonts w:ascii="宋体" w:hAnsi="宋体" w:cs="宋体"/>
          <w:color w:val="auto"/>
          <w:sz w:val="24"/>
          <w:highlight w:val="none"/>
        </w:rPr>
        <w:t xml:space="preserve">3) </w:t>
      </w:r>
      <w:r>
        <w:rPr>
          <w:rFonts w:hint="eastAsia" w:ascii="宋体" w:hAnsi="宋体" w:cs="宋体"/>
          <w:color w:val="auto"/>
          <w:sz w:val="24"/>
          <w:highlight w:val="none"/>
        </w:rPr>
        <w:t>用符合合同规定的规格、质量和性能要求的新零件、部件和</w:t>
      </w:r>
      <w:r>
        <w:rPr>
          <w:rFonts w:ascii="宋体" w:hAnsi="宋体" w:cs="宋体"/>
          <w:color w:val="auto"/>
          <w:sz w:val="24"/>
          <w:highlight w:val="none"/>
        </w:rPr>
        <w:t>/</w:t>
      </w:r>
      <w:r>
        <w:rPr>
          <w:rFonts w:hint="eastAsia" w:ascii="宋体" w:hAnsi="宋体" w:cs="宋体"/>
          <w:color w:val="auto"/>
          <w:sz w:val="24"/>
          <w:highlight w:val="none"/>
        </w:rPr>
        <w:t>或设备来更换有缺陷的部分和</w:t>
      </w:r>
      <w:r>
        <w:rPr>
          <w:rFonts w:ascii="宋体" w:hAnsi="宋体" w:cs="宋体"/>
          <w:color w:val="auto"/>
          <w:sz w:val="24"/>
          <w:highlight w:val="none"/>
        </w:rPr>
        <w:t>/</w:t>
      </w:r>
      <w:r>
        <w:rPr>
          <w:rFonts w:hint="eastAsia" w:ascii="宋体" w:hAnsi="宋体" w:cs="宋体"/>
          <w:color w:val="auto"/>
          <w:sz w:val="24"/>
          <w:highlight w:val="none"/>
        </w:rPr>
        <w:t>或修补缺陷部分，卖方应承担一切费用和风险并负担买方蒙受的全部直接损失费用。同时，卖方应按合同条款第</w:t>
      </w:r>
      <w:r>
        <w:rPr>
          <w:rFonts w:ascii="宋体" w:hAnsi="宋体" w:cs="宋体"/>
          <w:color w:val="auto"/>
          <w:sz w:val="24"/>
          <w:highlight w:val="none"/>
        </w:rPr>
        <w:t>13</w:t>
      </w:r>
      <w:r>
        <w:rPr>
          <w:rFonts w:hint="eastAsia" w:ascii="宋体" w:hAnsi="宋体" w:cs="宋体"/>
          <w:color w:val="auto"/>
          <w:sz w:val="24"/>
          <w:highlight w:val="none"/>
        </w:rPr>
        <w:t>条规定，相应延长所更换货物的质量保证期。</w:t>
      </w:r>
    </w:p>
    <w:p>
      <w:pPr>
        <w:tabs>
          <w:tab w:val="left" w:pos="0"/>
        </w:tabs>
        <w:spacing w:line="360" w:lineRule="auto"/>
        <w:rPr>
          <w:rFonts w:ascii="宋体" w:hAnsi="宋体"/>
          <w:color w:val="auto"/>
          <w:sz w:val="24"/>
          <w:highlight w:val="none"/>
        </w:rPr>
      </w:pPr>
      <w:r>
        <w:rPr>
          <w:rFonts w:hint="eastAsia" w:ascii="宋体" w:hAnsi="宋体" w:cs="宋体"/>
          <w:color w:val="auto"/>
          <w:sz w:val="24"/>
          <w:highlight w:val="none"/>
        </w:rPr>
        <w:t>（</w:t>
      </w:r>
      <w:r>
        <w:rPr>
          <w:rFonts w:ascii="宋体" w:hAnsi="宋体" w:cs="宋体"/>
          <w:color w:val="auto"/>
          <w:sz w:val="24"/>
          <w:highlight w:val="none"/>
        </w:rPr>
        <w:t xml:space="preserve">4) </w:t>
      </w:r>
      <w:r>
        <w:rPr>
          <w:rFonts w:hint="eastAsia" w:ascii="宋体" w:hAnsi="宋体" w:cs="宋体"/>
          <w:color w:val="auto"/>
          <w:sz w:val="24"/>
          <w:highlight w:val="none"/>
        </w:rPr>
        <w:t>如果在买方发出索赔通知后三十（</w:t>
      </w:r>
      <w:r>
        <w:rPr>
          <w:rFonts w:ascii="宋体" w:hAnsi="宋体" w:cs="宋体"/>
          <w:color w:val="auto"/>
          <w:sz w:val="24"/>
          <w:highlight w:val="none"/>
        </w:rPr>
        <w:t>30</w:t>
      </w:r>
      <w:r>
        <w:rPr>
          <w:rFonts w:hint="eastAsia" w:ascii="宋体" w:hAnsi="宋体" w:cs="宋体"/>
          <w:color w:val="auto"/>
          <w:sz w:val="24"/>
          <w:highlight w:val="none"/>
        </w:rPr>
        <w:t>）天内，卖方未作书面答复，上述索赔应视为已被卖方接受。如卖方未能在买方发出索赔通知后三十（</w:t>
      </w:r>
      <w:r>
        <w:rPr>
          <w:rFonts w:ascii="宋体" w:hAnsi="宋体" w:cs="宋体"/>
          <w:color w:val="auto"/>
          <w:sz w:val="24"/>
          <w:highlight w:val="none"/>
        </w:rPr>
        <w:t>30</w:t>
      </w:r>
      <w:r>
        <w:rPr>
          <w:rFonts w:hint="eastAsia" w:ascii="宋体" w:hAnsi="宋体" w:cs="宋体"/>
          <w:color w:val="auto"/>
          <w:sz w:val="24"/>
          <w:highlight w:val="none"/>
        </w:rPr>
        <w:t>）天内或买方同意的延长期限内，按照买方同意的上述规定的任何一种方法解决索赔事宜，买方将从议付货款或从卖方开具的履约保证金中扣回索赔金额。</w:t>
      </w:r>
    </w:p>
    <w:p>
      <w:pPr>
        <w:spacing w:line="360" w:lineRule="auto"/>
        <w:rPr>
          <w:rFonts w:ascii="宋体" w:hAnsi="宋体"/>
          <w:b/>
          <w:bCs/>
          <w:color w:val="auto"/>
          <w:sz w:val="28"/>
          <w:highlight w:val="none"/>
        </w:rPr>
      </w:pPr>
      <w:r>
        <w:rPr>
          <w:rFonts w:ascii="宋体" w:hAnsi="宋体" w:cs="宋体"/>
          <w:b/>
          <w:bCs/>
          <w:color w:val="auto"/>
          <w:sz w:val="28"/>
          <w:highlight w:val="none"/>
        </w:rPr>
        <w:t>15.</w:t>
      </w:r>
      <w:r>
        <w:rPr>
          <w:rFonts w:hint="eastAsia" w:ascii="宋体" w:hAnsi="宋体" w:cs="宋体"/>
          <w:b/>
          <w:bCs/>
          <w:color w:val="auto"/>
          <w:sz w:val="28"/>
          <w:highlight w:val="none"/>
        </w:rPr>
        <w:t>付款</w:t>
      </w:r>
    </w:p>
    <w:p>
      <w:pPr>
        <w:tabs>
          <w:tab w:val="left" w:pos="0"/>
        </w:tabs>
        <w:spacing w:line="360" w:lineRule="auto"/>
        <w:rPr>
          <w:rFonts w:ascii="宋体" w:hAnsi="宋体"/>
          <w:color w:val="auto"/>
          <w:sz w:val="24"/>
          <w:highlight w:val="none"/>
        </w:rPr>
      </w:pPr>
      <w:r>
        <w:rPr>
          <w:rFonts w:ascii="宋体" w:hAnsi="宋体" w:cs="宋体"/>
          <w:color w:val="auto"/>
          <w:sz w:val="24"/>
          <w:highlight w:val="none"/>
        </w:rPr>
        <w:t xml:space="preserve">15.1 </w:t>
      </w:r>
      <w:r>
        <w:rPr>
          <w:rFonts w:hint="eastAsia" w:ascii="宋体" w:hAnsi="宋体" w:cs="宋体"/>
          <w:color w:val="auto"/>
          <w:sz w:val="24"/>
          <w:highlight w:val="none"/>
        </w:rPr>
        <w:t>本合同项下的付款方法和条件在“合同专用条款”中有规定。</w:t>
      </w:r>
    </w:p>
    <w:p>
      <w:pPr>
        <w:spacing w:line="360" w:lineRule="auto"/>
        <w:rPr>
          <w:rFonts w:ascii="宋体" w:hAnsi="宋体"/>
          <w:b/>
          <w:bCs/>
          <w:color w:val="auto"/>
          <w:sz w:val="28"/>
          <w:highlight w:val="none"/>
        </w:rPr>
      </w:pPr>
      <w:r>
        <w:rPr>
          <w:rFonts w:ascii="宋体" w:hAnsi="宋体" w:cs="宋体"/>
          <w:b/>
          <w:bCs/>
          <w:color w:val="auto"/>
          <w:sz w:val="28"/>
          <w:highlight w:val="none"/>
        </w:rPr>
        <w:t>16.</w:t>
      </w:r>
      <w:r>
        <w:rPr>
          <w:rFonts w:hint="eastAsia" w:ascii="宋体" w:hAnsi="宋体" w:cs="宋体"/>
          <w:b/>
          <w:bCs/>
          <w:color w:val="auto"/>
          <w:sz w:val="28"/>
          <w:highlight w:val="none"/>
        </w:rPr>
        <w:t>价格</w:t>
      </w:r>
    </w:p>
    <w:p>
      <w:pPr>
        <w:tabs>
          <w:tab w:val="left" w:pos="0"/>
        </w:tabs>
        <w:spacing w:line="360" w:lineRule="auto"/>
        <w:rPr>
          <w:rFonts w:ascii="宋体" w:hAnsi="宋体"/>
          <w:color w:val="auto"/>
          <w:sz w:val="24"/>
          <w:highlight w:val="none"/>
        </w:rPr>
      </w:pPr>
      <w:r>
        <w:rPr>
          <w:rFonts w:ascii="宋体" w:hAnsi="宋体" w:cs="宋体"/>
          <w:color w:val="auto"/>
          <w:sz w:val="24"/>
          <w:highlight w:val="none"/>
        </w:rPr>
        <w:t xml:space="preserve">16.1 </w:t>
      </w:r>
      <w:r>
        <w:rPr>
          <w:rFonts w:hint="eastAsia" w:ascii="宋体" w:hAnsi="宋体" w:cs="宋体"/>
          <w:color w:val="auto"/>
          <w:sz w:val="24"/>
          <w:highlight w:val="none"/>
        </w:rPr>
        <w:t>卖方在本合同项下提交货物和履行服务的价格在合同中给出。</w:t>
      </w:r>
    </w:p>
    <w:p>
      <w:pPr>
        <w:spacing w:line="360" w:lineRule="auto"/>
        <w:rPr>
          <w:rFonts w:ascii="宋体" w:hAnsi="宋体"/>
          <w:b/>
          <w:bCs/>
          <w:color w:val="auto"/>
          <w:sz w:val="28"/>
          <w:highlight w:val="none"/>
        </w:rPr>
      </w:pPr>
      <w:r>
        <w:rPr>
          <w:rFonts w:ascii="宋体" w:hAnsi="宋体" w:cs="宋体"/>
          <w:b/>
          <w:bCs/>
          <w:color w:val="auto"/>
          <w:sz w:val="28"/>
          <w:highlight w:val="none"/>
        </w:rPr>
        <w:t>17.</w:t>
      </w:r>
      <w:r>
        <w:rPr>
          <w:rFonts w:hint="eastAsia" w:ascii="宋体" w:hAnsi="宋体" w:cs="宋体"/>
          <w:b/>
          <w:bCs/>
          <w:color w:val="auto"/>
          <w:sz w:val="28"/>
          <w:highlight w:val="none"/>
        </w:rPr>
        <w:t>变更指令</w:t>
      </w:r>
    </w:p>
    <w:p>
      <w:pPr>
        <w:spacing w:line="360" w:lineRule="auto"/>
        <w:rPr>
          <w:rFonts w:ascii="宋体" w:hAnsi="宋体"/>
          <w:color w:val="auto"/>
          <w:sz w:val="24"/>
          <w:highlight w:val="none"/>
        </w:rPr>
      </w:pPr>
      <w:r>
        <w:rPr>
          <w:rFonts w:ascii="宋体" w:hAnsi="宋体" w:cs="宋体"/>
          <w:color w:val="auto"/>
          <w:sz w:val="24"/>
          <w:highlight w:val="none"/>
        </w:rPr>
        <w:t xml:space="preserve">17.1 </w:t>
      </w:r>
      <w:r>
        <w:rPr>
          <w:rFonts w:hint="eastAsia" w:ascii="宋体" w:hAnsi="宋体" w:cs="宋体"/>
          <w:color w:val="auto"/>
          <w:sz w:val="24"/>
          <w:highlight w:val="none"/>
        </w:rPr>
        <w:t>买方可以在任何时候书面向卖方发出指令，在本合同的一般范围内变更下述一项或几项：</w:t>
      </w:r>
    </w:p>
    <w:p>
      <w:pPr>
        <w:spacing w:line="360" w:lineRule="auto"/>
        <w:rPr>
          <w:rFonts w:ascii="宋体" w:hAnsi="宋体"/>
          <w:color w:val="auto"/>
          <w:sz w:val="24"/>
          <w:highlight w:val="none"/>
        </w:rPr>
      </w:pPr>
      <w:r>
        <w:rPr>
          <w:rFonts w:hint="eastAsia" w:ascii="宋体" w:hAnsi="宋体" w:cs="宋体"/>
          <w:color w:val="auto"/>
          <w:sz w:val="24"/>
          <w:highlight w:val="none"/>
        </w:rPr>
        <w:t>（</w:t>
      </w:r>
      <w:r>
        <w:rPr>
          <w:rFonts w:ascii="宋体" w:hAnsi="宋体" w:cs="宋体"/>
          <w:color w:val="auto"/>
          <w:sz w:val="24"/>
          <w:highlight w:val="none"/>
        </w:rPr>
        <w:t>1)</w:t>
      </w:r>
      <w:r>
        <w:rPr>
          <w:rFonts w:hint="eastAsia" w:ascii="宋体" w:hAnsi="宋体" w:cs="宋体"/>
          <w:color w:val="auto"/>
          <w:sz w:val="24"/>
          <w:highlight w:val="none"/>
        </w:rPr>
        <w:t>本合同项下提供的货物是专为买方制造时，变更图纸、设计或规格；</w:t>
      </w:r>
    </w:p>
    <w:p>
      <w:pPr>
        <w:spacing w:line="360" w:lineRule="auto"/>
        <w:rPr>
          <w:rFonts w:ascii="宋体" w:hAnsi="宋体"/>
          <w:color w:val="auto"/>
          <w:sz w:val="24"/>
          <w:highlight w:val="none"/>
        </w:rPr>
      </w:pPr>
      <w:r>
        <w:rPr>
          <w:rFonts w:hint="eastAsia" w:ascii="宋体" w:hAnsi="宋体" w:cs="宋体"/>
          <w:color w:val="auto"/>
          <w:sz w:val="24"/>
          <w:highlight w:val="none"/>
        </w:rPr>
        <w:t>（</w:t>
      </w:r>
      <w:r>
        <w:rPr>
          <w:rFonts w:ascii="宋体" w:hAnsi="宋体" w:cs="宋体"/>
          <w:color w:val="auto"/>
          <w:sz w:val="24"/>
          <w:highlight w:val="none"/>
        </w:rPr>
        <w:t>2)</w:t>
      </w:r>
      <w:r>
        <w:rPr>
          <w:rFonts w:hint="eastAsia" w:ascii="宋体" w:hAnsi="宋体" w:cs="宋体"/>
          <w:color w:val="auto"/>
          <w:sz w:val="24"/>
          <w:highlight w:val="none"/>
        </w:rPr>
        <w:t>运输或包装的方法；</w:t>
      </w:r>
    </w:p>
    <w:p>
      <w:pPr>
        <w:spacing w:line="360" w:lineRule="auto"/>
        <w:rPr>
          <w:rFonts w:ascii="宋体" w:hAnsi="宋体"/>
          <w:color w:val="auto"/>
          <w:sz w:val="24"/>
          <w:highlight w:val="none"/>
        </w:rPr>
      </w:pPr>
      <w:r>
        <w:rPr>
          <w:rFonts w:hint="eastAsia" w:ascii="宋体" w:hAnsi="宋体" w:cs="宋体"/>
          <w:color w:val="auto"/>
          <w:sz w:val="24"/>
          <w:highlight w:val="none"/>
        </w:rPr>
        <w:t>（</w:t>
      </w:r>
      <w:r>
        <w:rPr>
          <w:rFonts w:ascii="宋体" w:hAnsi="宋体" w:cs="宋体"/>
          <w:color w:val="auto"/>
          <w:sz w:val="24"/>
          <w:highlight w:val="none"/>
        </w:rPr>
        <w:t>3)</w:t>
      </w:r>
      <w:r>
        <w:rPr>
          <w:rFonts w:hint="eastAsia" w:ascii="宋体" w:hAnsi="宋体" w:cs="宋体"/>
          <w:color w:val="auto"/>
          <w:sz w:val="24"/>
          <w:highlight w:val="none"/>
        </w:rPr>
        <w:t>交货地点；</w:t>
      </w:r>
    </w:p>
    <w:p>
      <w:pPr>
        <w:spacing w:line="360" w:lineRule="auto"/>
        <w:rPr>
          <w:rFonts w:ascii="宋体" w:hAnsi="宋体"/>
          <w:color w:val="auto"/>
          <w:sz w:val="24"/>
          <w:highlight w:val="none"/>
        </w:rPr>
      </w:pPr>
      <w:r>
        <w:rPr>
          <w:rFonts w:hint="eastAsia" w:ascii="宋体" w:hAnsi="宋体" w:cs="宋体"/>
          <w:color w:val="auto"/>
          <w:sz w:val="24"/>
          <w:highlight w:val="none"/>
        </w:rPr>
        <w:t>（</w:t>
      </w:r>
      <w:r>
        <w:rPr>
          <w:rFonts w:ascii="宋体" w:hAnsi="宋体" w:cs="宋体"/>
          <w:color w:val="auto"/>
          <w:sz w:val="24"/>
          <w:highlight w:val="none"/>
        </w:rPr>
        <w:t>4)</w:t>
      </w:r>
      <w:r>
        <w:rPr>
          <w:rFonts w:hint="eastAsia" w:ascii="宋体" w:hAnsi="宋体" w:cs="宋体"/>
          <w:color w:val="auto"/>
          <w:sz w:val="24"/>
          <w:highlight w:val="none"/>
        </w:rPr>
        <w:t>卖方提供的服务。</w:t>
      </w:r>
    </w:p>
    <w:p>
      <w:pPr>
        <w:tabs>
          <w:tab w:val="left" w:pos="0"/>
        </w:tabs>
        <w:spacing w:line="360" w:lineRule="auto"/>
        <w:rPr>
          <w:rFonts w:ascii="宋体" w:hAnsi="宋体"/>
          <w:color w:val="auto"/>
          <w:sz w:val="24"/>
          <w:highlight w:val="none"/>
        </w:rPr>
      </w:pPr>
      <w:r>
        <w:rPr>
          <w:rFonts w:ascii="宋体" w:hAnsi="宋体" w:cs="宋体"/>
          <w:color w:val="auto"/>
          <w:sz w:val="24"/>
          <w:highlight w:val="none"/>
        </w:rPr>
        <w:t xml:space="preserve">17.2 </w:t>
      </w:r>
      <w:r>
        <w:rPr>
          <w:rFonts w:hint="eastAsia" w:ascii="宋体" w:hAnsi="宋体" w:cs="宋体"/>
          <w:color w:val="auto"/>
          <w:sz w:val="24"/>
          <w:highlight w:val="none"/>
        </w:rPr>
        <w:t>如果上述变更使卖方履行合同义务的费用或时间增加或减少，将对合同价或交货时间或两者进行公平的调整，同时相应修改合同。卖方根据本条进行调整的要求必须在收到买方的变更指令后三十（</w:t>
      </w:r>
      <w:r>
        <w:rPr>
          <w:rFonts w:ascii="宋体" w:hAnsi="宋体" w:cs="宋体"/>
          <w:color w:val="auto"/>
          <w:sz w:val="24"/>
          <w:highlight w:val="none"/>
        </w:rPr>
        <w:t>30</w:t>
      </w:r>
      <w:r>
        <w:rPr>
          <w:rFonts w:hint="eastAsia" w:ascii="宋体" w:hAnsi="宋体" w:cs="宋体"/>
          <w:color w:val="auto"/>
          <w:sz w:val="24"/>
          <w:highlight w:val="none"/>
        </w:rPr>
        <w:t>）天内提出。</w:t>
      </w:r>
    </w:p>
    <w:p>
      <w:pPr>
        <w:spacing w:line="360" w:lineRule="auto"/>
        <w:rPr>
          <w:rFonts w:ascii="宋体" w:hAnsi="宋体"/>
          <w:b/>
          <w:bCs/>
          <w:color w:val="auto"/>
          <w:sz w:val="28"/>
          <w:highlight w:val="none"/>
        </w:rPr>
      </w:pPr>
      <w:r>
        <w:rPr>
          <w:rFonts w:ascii="宋体" w:hAnsi="宋体" w:cs="宋体"/>
          <w:b/>
          <w:bCs/>
          <w:color w:val="auto"/>
          <w:sz w:val="28"/>
          <w:highlight w:val="none"/>
        </w:rPr>
        <w:t>18.</w:t>
      </w:r>
      <w:r>
        <w:rPr>
          <w:rFonts w:hint="eastAsia" w:ascii="宋体" w:hAnsi="宋体" w:cs="宋体"/>
          <w:b/>
          <w:bCs/>
          <w:color w:val="auto"/>
          <w:sz w:val="28"/>
          <w:highlight w:val="none"/>
        </w:rPr>
        <w:t>合同修改</w:t>
      </w:r>
    </w:p>
    <w:p>
      <w:pPr>
        <w:tabs>
          <w:tab w:val="left" w:pos="0"/>
        </w:tabs>
        <w:spacing w:line="360" w:lineRule="auto"/>
        <w:rPr>
          <w:rFonts w:ascii="宋体" w:hAnsi="宋体"/>
          <w:color w:val="auto"/>
          <w:sz w:val="24"/>
          <w:highlight w:val="none"/>
        </w:rPr>
      </w:pPr>
      <w:r>
        <w:rPr>
          <w:rFonts w:ascii="宋体" w:hAnsi="宋体" w:cs="宋体"/>
          <w:color w:val="auto"/>
          <w:sz w:val="24"/>
          <w:highlight w:val="none"/>
        </w:rPr>
        <w:t xml:space="preserve">18.1 </w:t>
      </w:r>
      <w:r>
        <w:rPr>
          <w:rFonts w:hint="eastAsia" w:ascii="宋体" w:hAnsi="宋体" w:cs="宋体"/>
          <w:color w:val="auto"/>
          <w:sz w:val="24"/>
          <w:highlight w:val="none"/>
        </w:rPr>
        <w:t>除了合同条款第</w:t>
      </w:r>
      <w:r>
        <w:rPr>
          <w:rFonts w:ascii="宋体" w:hAnsi="宋体" w:cs="宋体"/>
          <w:color w:val="auto"/>
          <w:sz w:val="24"/>
          <w:highlight w:val="none"/>
        </w:rPr>
        <w:t>17</w:t>
      </w:r>
      <w:r>
        <w:rPr>
          <w:rFonts w:hint="eastAsia" w:ascii="宋体" w:hAnsi="宋体" w:cs="宋体"/>
          <w:color w:val="auto"/>
          <w:sz w:val="24"/>
          <w:highlight w:val="none"/>
        </w:rPr>
        <w:t>条的情况，不应对合同条款进行任何变更或修改，除非双方同意并签订书面的合同修改书。</w:t>
      </w:r>
    </w:p>
    <w:p>
      <w:pPr>
        <w:spacing w:line="360" w:lineRule="auto"/>
        <w:rPr>
          <w:rFonts w:ascii="宋体" w:hAnsi="宋体"/>
          <w:b/>
          <w:bCs/>
          <w:color w:val="auto"/>
          <w:sz w:val="28"/>
          <w:highlight w:val="none"/>
        </w:rPr>
      </w:pPr>
      <w:r>
        <w:rPr>
          <w:rFonts w:ascii="宋体" w:hAnsi="宋体" w:cs="宋体"/>
          <w:b/>
          <w:bCs/>
          <w:color w:val="auto"/>
          <w:sz w:val="28"/>
          <w:highlight w:val="none"/>
        </w:rPr>
        <w:t>19.</w:t>
      </w:r>
      <w:r>
        <w:rPr>
          <w:rFonts w:hint="eastAsia" w:ascii="宋体" w:hAnsi="宋体" w:cs="宋体"/>
          <w:b/>
          <w:bCs/>
          <w:color w:val="auto"/>
          <w:sz w:val="28"/>
          <w:highlight w:val="none"/>
        </w:rPr>
        <w:t>转让</w:t>
      </w:r>
    </w:p>
    <w:p>
      <w:pPr>
        <w:tabs>
          <w:tab w:val="left" w:pos="0"/>
        </w:tabs>
        <w:spacing w:line="360" w:lineRule="auto"/>
        <w:rPr>
          <w:rFonts w:ascii="宋体" w:hAnsi="宋体"/>
          <w:color w:val="auto"/>
          <w:sz w:val="24"/>
          <w:highlight w:val="none"/>
        </w:rPr>
      </w:pPr>
      <w:r>
        <w:rPr>
          <w:rFonts w:ascii="宋体" w:hAnsi="宋体" w:cs="宋体"/>
          <w:color w:val="auto"/>
          <w:sz w:val="24"/>
          <w:highlight w:val="none"/>
        </w:rPr>
        <w:t xml:space="preserve">19.1 </w:t>
      </w:r>
      <w:r>
        <w:rPr>
          <w:rFonts w:hint="eastAsia" w:ascii="宋体" w:hAnsi="宋体" w:cs="宋体"/>
          <w:color w:val="auto"/>
          <w:sz w:val="24"/>
          <w:highlight w:val="none"/>
        </w:rPr>
        <w:t>未经买方事先书面同意，卖方不得部分转让或全部转让其应履行的合同义务。</w:t>
      </w:r>
    </w:p>
    <w:p>
      <w:pPr>
        <w:spacing w:line="360" w:lineRule="auto"/>
        <w:rPr>
          <w:rFonts w:ascii="宋体" w:hAnsi="宋体"/>
          <w:b/>
          <w:bCs/>
          <w:color w:val="auto"/>
          <w:sz w:val="28"/>
          <w:highlight w:val="none"/>
        </w:rPr>
      </w:pPr>
      <w:r>
        <w:rPr>
          <w:rFonts w:ascii="宋体" w:hAnsi="宋体" w:cs="宋体"/>
          <w:b/>
          <w:bCs/>
          <w:color w:val="auto"/>
          <w:sz w:val="28"/>
          <w:highlight w:val="none"/>
        </w:rPr>
        <w:t>20.</w:t>
      </w:r>
      <w:r>
        <w:rPr>
          <w:rFonts w:hint="eastAsia" w:ascii="宋体" w:hAnsi="宋体" w:cs="宋体"/>
          <w:b/>
          <w:bCs/>
          <w:color w:val="auto"/>
          <w:sz w:val="28"/>
          <w:highlight w:val="none"/>
        </w:rPr>
        <w:t>分包</w:t>
      </w:r>
    </w:p>
    <w:p>
      <w:pPr>
        <w:tabs>
          <w:tab w:val="left" w:pos="0"/>
        </w:tabs>
        <w:spacing w:line="360" w:lineRule="auto"/>
        <w:rPr>
          <w:rFonts w:ascii="宋体" w:hAnsi="宋体"/>
          <w:color w:val="auto"/>
          <w:sz w:val="24"/>
          <w:highlight w:val="none"/>
        </w:rPr>
      </w:pPr>
      <w:r>
        <w:rPr>
          <w:rFonts w:ascii="宋体" w:hAnsi="宋体" w:cs="宋体"/>
          <w:color w:val="auto"/>
          <w:sz w:val="24"/>
          <w:highlight w:val="none"/>
        </w:rPr>
        <w:t xml:space="preserve">20.1 </w:t>
      </w:r>
      <w:r>
        <w:rPr>
          <w:rFonts w:hint="eastAsia" w:ascii="宋体" w:hAnsi="宋体" w:cs="宋体"/>
          <w:color w:val="auto"/>
          <w:sz w:val="24"/>
          <w:highlight w:val="none"/>
        </w:rPr>
        <w:t>对投标文件中没有明确分包的合同，卖方应书面通知买方其在本合同中将分包的全部分包合同，并需经买方同意，但此分包通知并不能解除卖方履行本合同的责任和义务。</w:t>
      </w:r>
    </w:p>
    <w:p>
      <w:pPr>
        <w:spacing w:line="360" w:lineRule="auto"/>
        <w:rPr>
          <w:rFonts w:ascii="宋体" w:hAnsi="宋体"/>
          <w:b/>
          <w:bCs/>
          <w:color w:val="auto"/>
          <w:sz w:val="28"/>
          <w:highlight w:val="none"/>
        </w:rPr>
      </w:pPr>
      <w:r>
        <w:rPr>
          <w:rFonts w:ascii="宋体" w:hAnsi="宋体" w:cs="宋体"/>
          <w:b/>
          <w:bCs/>
          <w:color w:val="auto"/>
          <w:sz w:val="28"/>
          <w:highlight w:val="none"/>
        </w:rPr>
        <w:t>21.</w:t>
      </w:r>
      <w:r>
        <w:rPr>
          <w:rFonts w:hint="eastAsia" w:ascii="宋体" w:hAnsi="宋体" w:cs="宋体"/>
          <w:b/>
          <w:bCs/>
          <w:color w:val="auto"/>
          <w:sz w:val="28"/>
          <w:highlight w:val="none"/>
        </w:rPr>
        <w:t>卖方履约延误</w:t>
      </w:r>
    </w:p>
    <w:p>
      <w:pPr>
        <w:tabs>
          <w:tab w:val="left" w:pos="0"/>
        </w:tabs>
        <w:spacing w:line="360" w:lineRule="auto"/>
        <w:rPr>
          <w:rFonts w:ascii="宋体" w:hAnsi="宋体"/>
          <w:color w:val="auto"/>
          <w:sz w:val="24"/>
          <w:highlight w:val="none"/>
        </w:rPr>
      </w:pPr>
      <w:r>
        <w:rPr>
          <w:rFonts w:ascii="宋体" w:hAnsi="宋体" w:cs="宋体"/>
          <w:color w:val="auto"/>
          <w:sz w:val="24"/>
          <w:highlight w:val="none"/>
        </w:rPr>
        <w:t xml:space="preserve">21.1 </w:t>
      </w:r>
      <w:r>
        <w:rPr>
          <w:rFonts w:hint="eastAsia" w:ascii="宋体" w:hAnsi="宋体" w:cs="宋体"/>
          <w:color w:val="auto"/>
          <w:sz w:val="24"/>
          <w:highlight w:val="none"/>
        </w:rPr>
        <w:t>卖方应按照招标文件中规定的交货时间交货和提供服务。</w:t>
      </w:r>
    </w:p>
    <w:p>
      <w:pPr>
        <w:tabs>
          <w:tab w:val="left" w:pos="0"/>
        </w:tabs>
        <w:spacing w:line="360" w:lineRule="auto"/>
        <w:rPr>
          <w:rFonts w:ascii="宋体" w:hAnsi="宋体"/>
          <w:color w:val="auto"/>
          <w:sz w:val="24"/>
          <w:highlight w:val="none"/>
        </w:rPr>
      </w:pPr>
      <w:r>
        <w:rPr>
          <w:rFonts w:ascii="宋体" w:hAnsi="宋体" w:cs="宋体"/>
          <w:color w:val="auto"/>
          <w:sz w:val="24"/>
          <w:highlight w:val="none"/>
        </w:rPr>
        <w:t xml:space="preserve">21.2 </w:t>
      </w:r>
      <w:r>
        <w:rPr>
          <w:rFonts w:hint="eastAsia" w:ascii="宋体" w:hAnsi="宋体" w:cs="宋体"/>
          <w:color w:val="auto"/>
          <w:sz w:val="24"/>
          <w:highlight w:val="none"/>
        </w:rPr>
        <w:t>在履行合同过程中，如果卖方及其分包人遇到妨碍按时交货和提供服务的情况时，应及时以书面形式将拖延的事实、可能拖延的时间和原因通知买方。买方在收到卖方通知后，应尽快对情况进行评价，并确定是否同意延长交货时间以及是否收取误期赔偿费。延期应通过修改合同的方式由双方认可。</w:t>
      </w:r>
    </w:p>
    <w:p>
      <w:pPr>
        <w:tabs>
          <w:tab w:val="left" w:pos="0"/>
        </w:tabs>
        <w:spacing w:line="360" w:lineRule="auto"/>
        <w:rPr>
          <w:rFonts w:ascii="宋体" w:hAnsi="宋体"/>
          <w:color w:val="auto"/>
          <w:sz w:val="24"/>
          <w:highlight w:val="none"/>
        </w:rPr>
      </w:pPr>
      <w:r>
        <w:rPr>
          <w:rFonts w:ascii="宋体" w:hAnsi="宋体" w:cs="宋体"/>
          <w:color w:val="auto"/>
          <w:sz w:val="24"/>
          <w:highlight w:val="none"/>
        </w:rPr>
        <w:t xml:space="preserve">21.3 </w:t>
      </w:r>
      <w:r>
        <w:rPr>
          <w:rFonts w:hint="eastAsia" w:ascii="宋体" w:hAnsi="宋体" w:cs="宋体"/>
          <w:color w:val="auto"/>
          <w:sz w:val="24"/>
          <w:highlight w:val="none"/>
        </w:rPr>
        <w:t>除了合同条款第</w:t>
      </w:r>
      <w:r>
        <w:rPr>
          <w:rFonts w:ascii="宋体" w:hAnsi="宋体" w:cs="宋体"/>
          <w:color w:val="auto"/>
          <w:sz w:val="24"/>
          <w:highlight w:val="none"/>
        </w:rPr>
        <w:t>24</w:t>
      </w:r>
      <w:r>
        <w:rPr>
          <w:rFonts w:hint="eastAsia" w:ascii="宋体" w:hAnsi="宋体" w:cs="宋体"/>
          <w:color w:val="auto"/>
          <w:sz w:val="24"/>
          <w:highlight w:val="none"/>
        </w:rPr>
        <w:t>条的情况外，除非拖延是根据合同条款第</w:t>
      </w:r>
      <w:r>
        <w:rPr>
          <w:rFonts w:ascii="宋体" w:hAnsi="宋体" w:cs="宋体"/>
          <w:color w:val="auto"/>
          <w:sz w:val="24"/>
          <w:highlight w:val="none"/>
        </w:rPr>
        <w:t>21.2</w:t>
      </w:r>
      <w:r>
        <w:rPr>
          <w:rFonts w:hint="eastAsia" w:ascii="宋体" w:hAnsi="宋体" w:cs="宋体"/>
          <w:color w:val="auto"/>
          <w:sz w:val="24"/>
          <w:highlight w:val="none"/>
        </w:rPr>
        <w:t>条的规定取得同意而不收取误期赔偿费之外，卖方延误交货，将按合同条款第</w:t>
      </w:r>
      <w:r>
        <w:rPr>
          <w:rFonts w:ascii="宋体" w:hAnsi="宋体" w:cs="宋体"/>
          <w:color w:val="auto"/>
          <w:sz w:val="24"/>
          <w:highlight w:val="none"/>
        </w:rPr>
        <w:t>22</w:t>
      </w:r>
      <w:r>
        <w:rPr>
          <w:rFonts w:hint="eastAsia" w:ascii="宋体" w:hAnsi="宋体" w:cs="宋体"/>
          <w:color w:val="auto"/>
          <w:sz w:val="24"/>
          <w:highlight w:val="none"/>
        </w:rPr>
        <w:t>条的规定被收取误期赔偿费。</w:t>
      </w:r>
    </w:p>
    <w:p>
      <w:pPr>
        <w:spacing w:line="360" w:lineRule="auto"/>
        <w:rPr>
          <w:rFonts w:ascii="宋体" w:hAnsi="宋体"/>
          <w:b/>
          <w:bCs/>
          <w:color w:val="auto"/>
          <w:sz w:val="28"/>
          <w:highlight w:val="none"/>
        </w:rPr>
      </w:pPr>
      <w:r>
        <w:rPr>
          <w:rFonts w:ascii="宋体" w:hAnsi="宋体" w:cs="宋体"/>
          <w:b/>
          <w:bCs/>
          <w:color w:val="auto"/>
          <w:sz w:val="28"/>
          <w:highlight w:val="none"/>
        </w:rPr>
        <w:t>22.</w:t>
      </w:r>
      <w:r>
        <w:rPr>
          <w:rFonts w:hint="eastAsia" w:ascii="宋体" w:hAnsi="宋体" w:cs="宋体"/>
          <w:b/>
          <w:bCs/>
          <w:color w:val="auto"/>
          <w:sz w:val="28"/>
          <w:highlight w:val="none"/>
        </w:rPr>
        <w:t>误期赔偿费</w:t>
      </w:r>
    </w:p>
    <w:p>
      <w:pPr>
        <w:tabs>
          <w:tab w:val="left" w:pos="0"/>
        </w:tabs>
        <w:spacing w:line="360" w:lineRule="auto"/>
        <w:rPr>
          <w:rFonts w:ascii="宋体" w:hAnsi="宋体"/>
          <w:color w:val="auto"/>
          <w:sz w:val="24"/>
          <w:highlight w:val="none"/>
        </w:rPr>
      </w:pPr>
      <w:r>
        <w:rPr>
          <w:rFonts w:ascii="宋体" w:hAnsi="宋体" w:cs="宋体"/>
          <w:color w:val="auto"/>
          <w:sz w:val="24"/>
          <w:highlight w:val="none"/>
        </w:rPr>
        <w:t xml:space="preserve">22.1 </w:t>
      </w:r>
      <w:r>
        <w:rPr>
          <w:rFonts w:hint="eastAsia" w:ascii="宋体" w:hAnsi="宋体" w:cs="宋体"/>
          <w:color w:val="auto"/>
          <w:sz w:val="24"/>
          <w:highlight w:val="none"/>
        </w:rPr>
        <w:t>除合同条款第</w:t>
      </w:r>
      <w:r>
        <w:rPr>
          <w:rFonts w:ascii="宋体" w:hAnsi="宋体" w:cs="宋体"/>
          <w:color w:val="auto"/>
          <w:sz w:val="24"/>
          <w:highlight w:val="none"/>
        </w:rPr>
        <w:t>24</w:t>
      </w:r>
      <w:r>
        <w:rPr>
          <w:rFonts w:hint="eastAsia" w:ascii="宋体" w:hAnsi="宋体" w:cs="宋体"/>
          <w:color w:val="auto"/>
          <w:sz w:val="24"/>
          <w:highlight w:val="none"/>
        </w:rPr>
        <w:t>条规定的情况外，如果卖方没有按照合同规定的时间交货和提供服务，买方应在不影响合同项下的其他补救措施的情况下，从合同价中扣除误期赔偿费。每延误一周的赔偿费按迟交货物交货价或未提供服务的服务费用的百分之零点五（</w:t>
      </w:r>
      <w:r>
        <w:rPr>
          <w:rFonts w:ascii="宋体" w:hAnsi="宋体" w:cs="宋体"/>
          <w:color w:val="auto"/>
          <w:sz w:val="24"/>
          <w:highlight w:val="none"/>
        </w:rPr>
        <w:t>0.5%</w:t>
      </w:r>
      <w:r>
        <w:rPr>
          <w:rFonts w:hint="eastAsia" w:ascii="宋体" w:hAnsi="宋体" w:cs="宋体"/>
          <w:color w:val="auto"/>
          <w:sz w:val="24"/>
          <w:highlight w:val="none"/>
        </w:rPr>
        <w:t>）计收，直至交货或提供服务为止。误期赔偿费的最高限额为合同价格的百分之五（</w:t>
      </w:r>
      <w:r>
        <w:rPr>
          <w:rFonts w:ascii="宋体" w:hAnsi="宋体" w:cs="宋体"/>
          <w:color w:val="auto"/>
          <w:sz w:val="24"/>
          <w:highlight w:val="none"/>
        </w:rPr>
        <w:t>5%</w:t>
      </w:r>
      <w:r>
        <w:rPr>
          <w:rFonts w:hint="eastAsia" w:ascii="宋体" w:hAnsi="宋体" w:cs="宋体"/>
          <w:color w:val="auto"/>
          <w:sz w:val="24"/>
          <w:highlight w:val="none"/>
        </w:rPr>
        <w:t>）。一旦达到误期赔偿费的最高限额，买方可考虑根据合同条款第</w:t>
      </w:r>
      <w:r>
        <w:rPr>
          <w:rFonts w:ascii="宋体" w:hAnsi="宋体" w:cs="宋体"/>
          <w:color w:val="auto"/>
          <w:sz w:val="24"/>
          <w:highlight w:val="none"/>
        </w:rPr>
        <w:t>23</w:t>
      </w:r>
      <w:r>
        <w:rPr>
          <w:rFonts w:hint="eastAsia" w:ascii="宋体" w:hAnsi="宋体" w:cs="宋体"/>
          <w:color w:val="auto"/>
          <w:sz w:val="24"/>
          <w:highlight w:val="none"/>
        </w:rPr>
        <w:t>条的规定终止合同。</w:t>
      </w:r>
    </w:p>
    <w:p>
      <w:pPr>
        <w:spacing w:line="360" w:lineRule="auto"/>
        <w:rPr>
          <w:rFonts w:ascii="宋体" w:hAnsi="宋体"/>
          <w:b/>
          <w:bCs/>
          <w:color w:val="auto"/>
          <w:sz w:val="28"/>
          <w:highlight w:val="none"/>
        </w:rPr>
      </w:pPr>
      <w:r>
        <w:rPr>
          <w:rFonts w:ascii="宋体" w:hAnsi="宋体" w:cs="宋体"/>
          <w:b/>
          <w:bCs/>
          <w:color w:val="auto"/>
          <w:sz w:val="28"/>
          <w:highlight w:val="none"/>
        </w:rPr>
        <w:t>23.</w:t>
      </w:r>
      <w:r>
        <w:rPr>
          <w:rFonts w:hint="eastAsia" w:ascii="宋体" w:hAnsi="宋体" w:cs="宋体"/>
          <w:b/>
          <w:bCs/>
          <w:color w:val="auto"/>
          <w:sz w:val="28"/>
          <w:highlight w:val="none"/>
        </w:rPr>
        <w:t>违约终止合同</w:t>
      </w:r>
    </w:p>
    <w:p>
      <w:pPr>
        <w:tabs>
          <w:tab w:val="left" w:pos="0"/>
        </w:tabs>
        <w:spacing w:line="360" w:lineRule="auto"/>
        <w:rPr>
          <w:rFonts w:ascii="宋体" w:hAnsi="宋体"/>
          <w:color w:val="auto"/>
          <w:sz w:val="24"/>
          <w:highlight w:val="none"/>
        </w:rPr>
      </w:pPr>
      <w:r>
        <w:rPr>
          <w:rFonts w:ascii="宋体" w:hAnsi="宋体" w:cs="宋体"/>
          <w:color w:val="auto"/>
          <w:sz w:val="24"/>
          <w:highlight w:val="none"/>
        </w:rPr>
        <w:t xml:space="preserve">23.1 </w:t>
      </w:r>
      <w:r>
        <w:rPr>
          <w:rFonts w:hint="eastAsia" w:ascii="宋体" w:hAnsi="宋体" w:cs="宋体"/>
          <w:color w:val="auto"/>
          <w:sz w:val="24"/>
          <w:highlight w:val="none"/>
        </w:rPr>
        <w:t>在买方对卖方违约而采取的任何补救措施不受影响的情况下，买方可向卖方发出书面违约通知书，提出终止部分或全部合同：</w:t>
      </w:r>
    </w:p>
    <w:p>
      <w:pPr>
        <w:spacing w:line="360" w:lineRule="auto"/>
        <w:rPr>
          <w:rFonts w:ascii="宋体" w:hAnsi="宋体"/>
          <w:color w:val="auto"/>
          <w:sz w:val="24"/>
          <w:highlight w:val="none"/>
        </w:rPr>
      </w:pPr>
      <w:r>
        <w:rPr>
          <w:rFonts w:hint="eastAsia" w:ascii="宋体" w:hAnsi="宋体" w:cs="宋体"/>
          <w:color w:val="auto"/>
          <w:sz w:val="24"/>
          <w:highlight w:val="none"/>
        </w:rPr>
        <w:t>（</w:t>
      </w:r>
      <w:r>
        <w:rPr>
          <w:rFonts w:ascii="宋体" w:hAnsi="宋体" w:cs="宋体"/>
          <w:color w:val="auto"/>
          <w:sz w:val="24"/>
          <w:highlight w:val="none"/>
        </w:rPr>
        <w:t>1)</w:t>
      </w:r>
      <w:r>
        <w:rPr>
          <w:rFonts w:hint="eastAsia" w:ascii="宋体" w:hAnsi="宋体" w:cs="宋体"/>
          <w:color w:val="auto"/>
          <w:sz w:val="24"/>
          <w:highlight w:val="none"/>
        </w:rPr>
        <w:t>如果卖方未能在合同规定的期限内或买方根据合同条款第</w:t>
      </w:r>
      <w:r>
        <w:rPr>
          <w:rFonts w:ascii="宋体" w:hAnsi="宋体" w:cs="宋体"/>
          <w:color w:val="auto"/>
          <w:sz w:val="24"/>
          <w:highlight w:val="none"/>
        </w:rPr>
        <w:t>21</w:t>
      </w:r>
      <w:r>
        <w:rPr>
          <w:rFonts w:hint="eastAsia" w:ascii="宋体" w:hAnsi="宋体" w:cs="宋体"/>
          <w:color w:val="auto"/>
          <w:sz w:val="24"/>
          <w:highlight w:val="none"/>
        </w:rPr>
        <w:t>条的规定同意延长的期限内提供部分或全部货物；</w:t>
      </w:r>
    </w:p>
    <w:p>
      <w:pPr>
        <w:spacing w:line="360" w:lineRule="auto"/>
        <w:rPr>
          <w:rFonts w:ascii="宋体" w:hAnsi="宋体"/>
          <w:color w:val="auto"/>
          <w:sz w:val="24"/>
          <w:highlight w:val="none"/>
        </w:rPr>
      </w:pPr>
      <w:r>
        <w:rPr>
          <w:rFonts w:hint="eastAsia" w:ascii="宋体" w:hAnsi="宋体" w:cs="宋体"/>
          <w:color w:val="auto"/>
          <w:sz w:val="24"/>
          <w:highlight w:val="none"/>
        </w:rPr>
        <w:t>（</w:t>
      </w:r>
      <w:r>
        <w:rPr>
          <w:rFonts w:ascii="宋体" w:hAnsi="宋体" w:cs="宋体"/>
          <w:color w:val="auto"/>
          <w:sz w:val="24"/>
          <w:highlight w:val="none"/>
        </w:rPr>
        <w:t>2)</w:t>
      </w:r>
      <w:r>
        <w:rPr>
          <w:rFonts w:hint="eastAsia" w:ascii="宋体" w:hAnsi="宋体" w:cs="宋体"/>
          <w:color w:val="auto"/>
          <w:sz w:val="24"/>
          <w:highlight w:val="none"/>
        </w:rPr>
        <w:t>如果卖方未能履行合同规定的其它任何义务。</w:t>
      </w:r>
    </w:p>
    <w:p>
      <w:pPr>
        <w:spacing w:line="360" w:lineRule="auto"/>
        <w:rPr>
          <w:rFonts w:ascii="宋体" w:hAnsi="宋体"/>
          <w:color w:val="auto"/>
          <w:sz w:val="24"/>
          <w:highlight w:val="none"/>
        </w:rPr>
      </w:pPr>
      <w:r>
        <w:rPr>
          <w:rFonts w:hint="eastAsia" w:ascii="宋体" w:hAnsi="宋体" w:cs="宋体"/>
          <w:color w:val="auto"/>
          <w:sz w:val="24"/>
          <w:highlight w:val="none"/>
        </w:rPr>
        <w:t>（</w:t>
      </w:r>
      <w:r>
        <w:rPr>
          <w:rFonts w:ascii="宋体" w:hAnsi="宋体" w:cs="宋体"/>
          <w:color w:val="auto"/>
          <w:sz w:val="24"/>
          <w:highlight w:val="none"/>
        </w:rPr>
        <w:t>3)</w:t>
      </w:r>
      <w:r>
        <w:rPr>
          <w:rFonts w:hint="eastAsia" w:ascii="宋体" w:hAnsi="宋体" w:cs="宋体"/>
          <w:color w:val="auto"/>
          <w:sz w:val="24"/>
          <w:highlight w:val="none"/>
        </w:rPr>
        <w:t>如果买方认为卖方在本合同的竞争和实施过程中有腐败和欺诈行为。为此目的，定义下述条件：</w:t>
      </w:r>
    </w:p>
    <w:p>
      <w:pPr>
        <w:spacing w:line="360" w:lineRule="auto"/>
        <w:rPr>
          <w:rFonts w:ascii="宋体" w:hAnsi="宋体"/>
          <w:color w:val="auto"/>
          <w:sz w:val="24"/>
          <w:highlight w:val="none"/>
        </w:rPr>
      </w:pPr>
      <w:r>
        <w:rPr>
          <w:rFonts w:hint="eastAsia" w:ascii="宋体" w:hAnsi="宋体" w:cs="宋体"/>
          <w:color w:val="auto"/>
          <w:sz w:val="24"/>
          <w:highlight w:val="none"/>
        </w:rPr>
        <w:t>（</w:t>
      </w:r>
      <w:r>
        <w:rPr>
          <w:rFonts w:ascii="宋体" w:hAnsi="宋体" w:cs="宋体"/>
          <w:color w:val="auto"/>
          <w:sz w:val="24"/>
          <w:highlight w:val="none"/>
        </w:rPr>
        <w:t>a)</w:t>
      </w:r>
      <w:r>
        <w:rPr>
          <w:rFonts w:hint="eastAsia" w:ascii="宋体" w:hAnsi="宋体" w:cs="宋体"/>
          <w:color w:val="auto"/>
          <w:sz w:val="24"/>
          <w:highlight w:val="none"/>
        </w:rPr>
        <w:t>“腐败行为”是指提供、给予、接受或索取任何有价值的物品来影响买方在采购过程或合同实施过程中的行为。</w:t>
      </w:r>
    </w:p>
    <w:p>
      <w:pPr>
        <w:spacing w:line="360" w:lineRule="auto"/>
        <w:rPr>
          <w:rFonts w:ascii="宋体" w:hAnsi="宋体"/>
          <w:color w:val="auto"/>
          <w:sz w:val="24"/>
          <w:highlight w:val="none"/>
        </w:rPr>
      </w:pPr>
      <w:r>
        <w:rPr>
          <w:rFonts w:hint="eastAsia" w:ascii="宋体" w:hAnsi="宋体" w:cs="宋体"/>
          <w:color w:val="auto"/>
          <w:sz w:val="24"/>
          <w:highlight w:val="none"/>
        </w:rPr>
        <w:t>（</w:t>
      </w:r>
      <w:r>
        <w:rPr>
          <w:rFonts w:ascii="宋体" w:hAnsi="宋体" w:cs="宋体"/>
          <w:color w:val="auto"/>
          <w:sz w:val="24"/>
          <w:highlight w:val="none"/>
        </w:rPr>
        <w:t>b)</w:t>
      </w:r>
      <w:r>
        <w:rPr>
          <w:rFonts w:hint="eastAsia" w:ascii="宋体" w:hAnsi="宋体" w:cs="宋体"/>
          <w:color w:val="auto"/>
          <w:sz w:val="24"/>
          <w:highlight w:val="none"/>
        </w:rPr>
        <w:t>“欺诈行为”是指为了影响采购过程或合同实施过程而谎报或隐瞒事实，损害买方利益的行为。</w:t>
      </w:r>
    </w:p>
    <w:p>
      <w:pPr>
        <w:tabs>
          <w:tab w:val="left" w:pos="0"/>
        </w:tabs>
        <w:spacing w:line="360" w:lineRule="auto"/>
        <w:rPr>
          <w:rFonts w:ascii="宋体" w:hAnsi="宋体"/>
          <w:color w:val="auto"/>
          <w:sz w:val="24"/>
          <w:highlight w:val="none"/>
        </w:rPr>
      </w:pPr>
      <w:r>
        <w:rPr>
          <w:rFonts w:ascii="宋体" w:hAnsi="宋体" w:cs="宋体"/>
          <w:color w:val="auto"/>
          <w:sz w:val="24"/>
          <w:highlight w:val="none"/>
        </w:rPr>
        <w:t xml:space="preserve">23.2 </w:t>
      </w:r>
      <w:r>
        <w:rPr>
          <w:rFonts w:hint="eastAsia" w:ascii="宋体" w:hAnsi="宋体" w:cs="宋体"/>
          <w:color w:val="auto"/>
          <w:sz w:val="24"/>
          <w:highlight w:val="none"/>
        </w:rPr>
        <w:t>如果买方根据上述第</w:t>
      </w:r>
      <w:r>
        <w:rPr>
          <w:rFonts w:ascii="宋体" w:hAnsi="宋体" w:cs="宋体"/>
          <w:color w:val="auto"/>
          <w:sz w:val="24"/>
          <w:highlight w:val="none"/>
        </w:rPr>
        <w:t>23.1</w:t>
      </w:r>
      <w:r>
        <w:rPr>
          <w:rFonts w:hint="eastAsia" w:ascii="宋体" w:hAnsi="宋体" w:cs="宋体"/>
          <w:color w:val="auto"/>
          <w:sz w:val="24"/>
          <w:highlight w:val="none"/>
        </w:rPr>
        <w:t>条的规定，终止了全部或部分合同，买方可以依其认为适当的条件和方法购买与未交货物类似的货物或服务，卖方应承担买方因购买类似货物或服务而产生的额外支出。但是，卖方应继续执行合同中未终止的部分。</w:t>
      </w:r>
    </w:p>
    <w:p>
      <w:pPr>
        <w:spacing w:line="360" w:lineRule="auto"/>
        <w:rPr>
          <w:rFonts w:ascii="宋体" w:hAnsi="宋体"/>
          <w:b/>
          <w:bCs/>
          <w:color w:val="auto"/>
          <w:sz w:val="28"/>
          <w:highlight w:val="none"/>
        </w:rPr>
      </w:pPr>
      <w:r>
        <w:rPr>
          <w:rFonts w:ascii="宋体" w:hAnsi="宋体" w:cs="宋体"/>
          <w:b/>
          <w:bCs/>
          <w:color w:val="auto"/>
          <w:sz w:val="28"/>
          <w:highlight w:val="none"/>
        </w:rPr>
        <w:t>24.</w:t>
      </w:r>
      <w:r>
        <w:rPr>
          <w:rFonts w:hint="eastAsia" w:ascii="宋体" w:hAnsi="宋体" w:cs="宋体"/>
          <w:b/>
          <w:bCs/>
          <w:color w:val="auto"/>
          <w:sz w:val="28"/>
          <w:highlight w:val="none"/>
        </w:rPr>
        <w:t>不可抗力</w:t>
      </w:r>
    </w:p>
    <w:p>
      <w:pPr>
        <w:tabs>
          <w:tab w:val="left" w:pos="0"/>
        </w:tabs>
        <w:spacing w:line="360" w:lineRule="auto"/>
        <w:rPr>
          <w:rFonts w:ascii="宋体" w:hAnsi="宋体"/>
          <w:color w:val="auto"/>
          <w:sz w:val="24"/>
          <w:highlight w:val="none"/>
        </w:rPr>
      </w:pPr>
      <w:r>
        <w:rPr>
          <w:rFonts w:ascii="宋体" w:hAnsi="宋体" w:cs="宋体"/>
          <w:color w:val="auto"/>
          <w:sz w:val="24"/>
          <w:highlight w:val="none"/>
        </w:rPr>
        <w:t xml:space="preserve">24.1 </w:t>
      </w:r>
      <w:r>
        <w:rPr>
          <w:rFonts w:hint="eastAsia" w:ascii="宋体" w:hAnsi="宋体" w:cs="宋体"/>
          <w:color w:val="auto"/>
          <w:sz w:val="24"/>
          <w:highlight w:val="none"/>
        </w:rPr>
        <w:t>签约双方任何一方由于不可抗力事件的影响而不能执行合同时，履行合同的期限应予延长，其延长的期限应相当于事件所影响的时间。不可抗力事件系指买卖双方在缔结合同时所不能预见的，并且它的发生及其后果是无法避免和无法克服的事件，诸如战争、严重火灾、洪水、台风、地震等。</w:t>
      </w:r>
    </w:p>
    <w:p>
      <w:pPr>
        <w:tabs>
          <w:tab w:val="left" w:pos="0"/>
        </w:tabs>
        <w:spacing w:line="360" w:lineRule="auto"/>
        <w:rPr>
          <w:rFonts w:ascii="宋体" w:hAnsi="宋体"/>
          <w:color w:val="auto"/>
          <w:sz w:val="24"/>
          <w:highlight w:val="none"/>
        </w:rPr>
      </w:pPr>
      <w:r>
        <w:rPr>
          <w:rFonts w:ascii="宋体" w:hAnsi="宋体" w:cs="宋体"/>
          <w:color w:val="auto"/>
          <w:sz w:val="24"/>
          <w:highlight w:val="none"/>
        </w:rPr>
        <w:t xml:space="preserve">24.2 </w:t>
      </w:r>
      <w:r>
        <w:rPr>
          <w:rFonts w:hint="eastAsia" w:ascii="宋体" w:hAnsi="宋体" w:cs="宋体"/>
          <w:color w:val="auto"/>
          <w:sz w:val="24"/>
          <w:highlight w:val="none"/>
        </w:rPr>
        <w:t>受影响一方应在不可抗力事件发生后尽快用书面形式通知对方，并于不可抗力事件发生后十四（</w:t>
      </w:r>
      <w:r>
        <w:rPr>
          <w:rFonts w:ascii="宋体" w:hAnsi="宋体" w:cs="宋体"/>
          <w:color w:val="auto"/>
          <w:sz w:val="24"/>
          <w:highlight w:val="none"/>
        </w:rPr>
        <w:t>14</w:t>
      </w:r>
      <w:r>
        <w:rPr>
          <w:rFonts w:hint="eastAsia" w:ascii="宋体" w:hAnsi="宋体" w:cs="宋体"/>
          <w:color w:val="auto"/>
          <w:sz w:val="24"/>
          <w:highlight w:val="none"/>
        </w:rPr>
        <w:t>）天内将有关当局出具的证明文件用特快专递或挂号信寄给对方审阅确认。一旦不可抗力事件的影响持续一百二十天（</w:t>
      </w:r>
      <w:r>
        <w:rPr>
          <w:rFonts w:ascii="宋体" w:hAnsi="宋体" w:cs="宋体"/>
          <w:color w:val="auto"/>
          <w:sz w:val="24"/>
          <w:highlight w:val="none"/>
        </w:rPr>
        <w:t>120</w:t>
      </w:r>
      <w:r>
        <w:rPr>
          <w:rFonts w:hint="eastAsia" w:ascii="宋体" w:hAnsi="宋体" w:cs="宋体"/>
          <w:color w:val="auto"/>
          <w:sz w:val="24"/>
          <w:highlight w:val="none"/>
        </w:rPr>
        <w:t>）天以上，双方应通过友好协商在合理的时间内达成进一步履行合同的协议。</w:t>
      </w:r>
    </w:p>
    <w:p>
      <w:pPr>
        <w:tabs>
          <w:tab w:val="left" w:pos="0"/>
        </w:tabs>
        <w:spacing w:line="360" w:lineRule="auto"/>
        <w:rPr>
          <w:rFonts w:ascii="宋体" w:hAnsi="宋体"/>
          <w:color w:val="auto"/>
          <w:sz w:val="24"/>
          <w:highlight w:val="none"/>
        </w:rPr>
      </w:pPr>
      <w:r>
        <w:rPr>
          <w:rFonts w:ascii="宋体" w:hAnsi="宋体" w:cs="宋体"/>
          <w:color w:val="auto"/>
          <w:sz w:val="24"/>
          <w:highlight w:val="none"/>
        </w:rPr>
        <w:t xml:space="preserve">24.3 </w:t>
      </w:r>
      <w:r>
        <w:rPr>
          <w:rFonts w:hint="eastAsia" w:ascii="宋体" w:hAnsi="宋体" w:cs="宋体"/>
          <w:color w:val="auto"/>
          <w:sz w:val="24"/>
          <w:highlight w:val="none"/>
        </w:rPr>
        <w:t>因合同一方迟延履行合同后发生不可抗力的，不能免除迟延履行方的相应责任。</w:t>
      </w:r>
    </w:p>
    <w:p>
      <w:pPr>
        <w:spacing w:line="360" w:lineRule="auto"/>
        <w:rPr>
          <w:rFonts w:ascii="宋体" w:hAnsi="宋体"/>
          <w:b/>
          <w:bCs/>
          <w:color w:val="auto"/>
          <w:sz w:val="28"/>
          <w:highlight w:val="none"/>
        </w:rPr>
      </w:pPr>
      <w:r>
        <w:rPr>
          <w:rFonts w:ascii="宋体" w:hAnsi="宋体" w:cs="宋体"/>
          <w:b/>
          <w:bCs/>
          <w:color w:val="auto"/>
          <w:sz w:val="28"/>
          <w:highlight w:val="none"/>
        </w:rPr>
        <w:t>25.</w:t>
      </w:r>
      <w:r>
        <w:rPr>
          <w:rFonts w:hint="eastAsia" w:ascii="宋体" w:hAnsi="宋体" w:cs="宋体"/>
          <w:b/>
          <w:bCs/>
          <w:color w:val="auto"/>
          <w:sz w:val="28"/>
          <w:highlight w:val="none"/>
        </w:rPr>
        <w:t>因破产而终止合同</w:t>
      </w:r>
    </w:p>
    <w:p>
      <w:pPr>
        <w:tabs>
          <w:tab w:val="left" w:pos="0"/>
        </w:tabs>
        <w:spacing w:line="360" w:lineRule="auto"/>
        <w:rPr>
          <w:rFonts w:ascii="宋体" w:hAnsi="宋体"/>
          <w:color w:val="auto"/>
          <w:sz w:val="24"/>
          <w:highlight w:val="none"/>
        </w:rPr>
      </w:pPr>
      <w:r>
        <w:rPr>
          <w:rFonts w:ascii="宋体" w:hAnsi="宋体" w:cs="宋体"/>
          <w:color w:val="auto"/>
          <w:sz w:val="24"/>
          <w:highlight w:val="none"/>
        </w:rPr>
        <w:t xml:space="preserve">25.1 </w:t>
      </w:r>
      <w:r>
        <w:rPr>
          <w:rFonts w:hint="eastAsia" w:ascii="宋体" w:hAnsi="宋体" w:cs="宋体"/>
          <w:color w:val="auto"/>
          <w:sz w:val="24"/>
          <w:highlight w:val="none"/>
        </w:rPr>
        <w:t>如果卖方破产或无清偿能力，买方可在任何时候以书面形式通知卖方，提出终止合同而不给卖方补偿。该合同的终止将不损害或影响买方已经采取或将要采取的任何行动或补救措施的权力。</w:t>
      </w:r>
    </w:p>
    <w:p>
      <w:pPr>
        <w:spacing w:line="360" w:lineRule="auto"/>
        <w:rPr>
          <w:rFonts w:ascii="宋体" w:hAnsi="宋体"/>
          <w:b/>
          <w:bCs/>
          <w:color w:val="auto"/>
          <w:sz w:val="28"/>
          <w:highlight w:val="none"/>
        </w:rPr>
      </w:pPr>
      <w:r>
        <w:rPr>
          <w:rFonts w:ascii="宋体" w:hAnsi="宋体" w:cs="宋体"/>
          <w:b/>
          <w:bCs/>
          <w:color w:val="auto"/>
          <w:sz w:val="28"/>
          <w:highlight w:val="none"/>
        </w:rPr>
        <w:t>26.</w:t>
      </w:r>
      <w:r>
        <w:rPr>
          <w:rFonts w:hint="eastAsia" w:ascii="宋体" w:hAnsi="宋体" w:cs="宋体"/>
          <w:b/>
          <w:bCs/>
          <w:color w:val="auto"/>
          <w:sz w:val="28"/>
          <w:highlight w:val="none"/>
        </w:rPr>
        <w:t>因买方的便利而终止合同</w:t>
      </w:r>
    </w:p>
    <w:p>
      <w:pPr>
        <w:tabs>
          <w:tab w:val="left" w:pos="0"/>
        </w:tabs>
        <w:spacing w:line="360" w:lineRule="auto"/>
        <w:rPr>
          <w:rFonts w:ascii="宋体" w:hAnsi="宋体"/>
          <w:color w:val="auto"/>
          <w:sz w:val="24"/>
          <w:highlight w:val="none"/>
        </w:rPr>
      </w:pPr>
      <w:r>
        <w:rPr>
          <w:rFonts w:ascii="宋体" w:hAnsi="宋体" w:cs="宋体"/>
          <w:color w:val="auto"/>
          <w:sz w:val="24"/>
          <w:highlight w:val="none"/>
        </w:rPr>
        <w:t xml:space="preserve">26.1 </w:t>
      </w:r>
      <w:r>
        <w:rPr>
          <w:rFonts w:hint="eastAsia" w:ascii="宋体" w:hAnsi="宋体" w:cs="宋体"/>
          <w:color w:val="auto"/>
          <w:sz w:val="24"/>
          <w:highlight w:val="none"/>
        </w:rPr>
        <w:t>买方可在任何时候出于自身的便利向卖方发出书面通知全部或部分终止合同，终止通知应明确该终止合同是出于买方的便利，并明确合同终止的程度，以及终止的生效日期。</w:t>
      </w:r>
    </w:p>
    <w:p>
      <w:pPr>
        <w:tabs>
          <w:tab w:val="left" w:pos="0"/>
        </w:tabs>
        <w:spacing w:line="360" w:lineRule="auto"/>
        <w:rPr>
          <w:rFonts w:ascii="宋体" w:hAnsi="宋体"/>
          <w:color w:val="auto"/>
          <w:sz w:val="24"/>
          <w:highlight w:val="none"/>
        </w:rPr>
      </w:pPr>
      <w:r>
        <w:rPr>
          <w:rFonts w:ascii="宋体" w:hAnsi="宋体" w:cs="宋体"/>
          <w:color w:val="auto"/>
          <w:sz w:val="24"/>
          <w:highlight w:val="none"/>
        </w:rPr>
        <w:t xml:space="preserve">26.2 </w:t>
      </w:r>
      <w:r>
        <w:rPr>
          <w:rFonts w:hint="eastAsia" w:ascii="宋体" w:hAnsi="宋体" w:cs="宋体"/>
          <w:color w:val="auto"/>
          <w:sz w:val="24"/>
          <w:highlight w:val="none"/>
        </w:rPr>
        <w:t>对卖方收到终止通知后三十（</w:t>
      </w:r>
      <w:r>
        <w:rPr>
          <w:rFonts w:ascii="宋体" w:hAnsi="宋体" w:cs="宋体"/>
          <w:color w:val="auto"/>
          <w:sz w:val="24"/>
          <w:highlight w:val="none"/>
        </w:rPr>
        <w:t>30</w:t>
      </w:r>
      <w:r>
        <w:rPr>
          <w:rFonts w:hint="eastAsia" w:ascii="宋体" w:hAnsi="宋体" w:cs="宋体"/>
          <w:color w:val="auto"/>
          <w:sz w:val="24"/>
          <w:highlight w:val="none"/>
        </w:rPr>
        <w:t>）天内已完成并准备装运的货物，买方应按原合同价格和条款予以接收，对于剩下的货物，买方可：</w:t>
      </w:r>
    </w:p>
    <w:p>
      <w:pPr>
        <w:spacing w:line="360" w:lineRule="auto"/>
        <w:rPr>
          <w:rFonts w:ascii="宋体" w:hAnsi="宋体"/>
          <w:color w:val="auto"/>
          <w:sz w:val="24"/>
          <w:highlight w:val="none"/>
        </w:rPr>
      </w:pPr>
      <w:r>
        <w:rPr>
          <w:rFonts w:hint="eastAsia" w:ascii="宋体" w:hAnsi="宋体" w:cs="宋体"/>
          <w:color w:val="auto"/>
          <w:sz w:val="24"/>
          <w:highlight w:val="none"/>
        </w:rPr>
        <w:t>（</w:t>
      </w:r>
      <w:r>
        <w:rPr>
          <w:rFonts w:ascii="宋体" w:hAnsi="宋体" w:cs="宋体"/>
          <w:color w:val="auto"/>
          <w:sz w:val="24"/>
          <w:highlight w:val="none"/>
        </w:rPr>
        <w:t>1</w:t>
      </w:r>
      <w:r>
        <w:rPr>
          <w:rFonts w:hint="eastAsia" w:ascii="宋体" w:hAnsi="宋体" w:cs="宋体"/>
          <w:color w:val="auto"/>
          <w:sz w:val="24"/>
          <w:highlight w:val="none"/>
        </w:rPr>
        <w:t>）仅对部分货物按照原来的合同价格和条款予以接受；或</w:t>
      </w:r>
    </w:p>
    <w:p>
      <w:pPr>
        <w:spacing w:line="360" w:lineRule="auto"/>
        <w:rPr>
          <w:rFonts w:ascii="宋体" w:hAnsi="宋体"/>
          <w:color w:val="auto"/>
          <w:sz w:val="24"/>
          <w:highlight w:val="none"/>
        </w:rPr>
      </w:pPr>
      <w:r>
        <w:rPr>
          <w:rFonts w:hint="eastAsia" w:ascii="宋体" w:hAnsi="宋体" w:cs="宋体"/>
          <w:color w:val="auto"/>
          <w:sz w:val="24"/>
          <w:highlight w:val="none"/>
        </w:rPr>
        <w:t>（</w:t>
      </w:r>
      <w:r>
        <w:rPr>
          <w:rFonts w:ascii="宋体" w:hAnsi="宋体" w:cs="宋体"/>
          <w:color w:val="auto"/>
          <w:sz w:val="24"/>
          <w:highlight w:val="none"/>
        </w:rPr>
        <w:t>2)</w:t>
      </w:r>
      <w:r>
        <w:rPr>
          <w:rFonts w:hint="eastAsia" w:ascii="宋体" w:hAnsi="宋体" w:cs="宋体"/>
          <w:color w:val="auto"/>
          <w:sz w:val="24"/>
          <w:highlight w:val="none"/>
        </w:rPr>
        <w:t>取消对所剩货物的采购，并按双方商定的金额向卖方支付部分完成的货物和服务以及卖方以前已采购的材料和部件的费用。</w:t>
      </w:r>
    </w:p>
    <w:p>
      <w:pPr>
        <w:spacing w:line="360" w:lineRule="auto"/>
        <w:rPr>
          <w:rFonts w:ascii="宋体" w:hAnsi="宋体"/>
          <w:b/>
          <w:bCs/>
          <w:color w:val="auto"/>
          <w:sz w:val="28"/>
          <w:highlight w:val="none"/>
        </w:rPr>
      </w:pPr>
      <w:r>
        <w:rPr>
          <w:rFonts w:ascii="宋体" w:hAnsi="宋体" w:cs="宋体"/>
          <w:b/>
          <w:bCs/>
          <w:color w:val="auto"/>
          <w:sz w:val="28"/>
          <w:highlight w:val="none"/>
        </w:rPr>
        <w:t>27.</w:t>
      </w:r>
      <w:r>
        <w:rPr>
          <w:rFonts w:hint="eastAsia" w:ascii="宋体" w:hAnsi="宋体" w:cs="宋体"/>
          <w:b/>
          <w:bCs/>
          <w:color w:val="auto"/>
          <w:sz w:val="28"/>
          <w:highlight w:val="none"/>
        </w:rPr>
        <w:t>争议的解决</w:t>
      </w:r>
    </w:p>
    <w:p>
      <w:pPr>
        <w:tabs>
          <w:tab w:val="left" w:pos="0"/>
        </w:tabs>
        <w:spacing w:line="360" w:lineRule="auto"/>
        <w:rPr>
          <w:rFonts w:ascii="宋体" w:hAnsi="宋体"/>
          <w:color w:val="auto"/>
          <w:sz w:val="24"/>
          <w:highlight w:val="none"/>
        </w:rPr>
      </w:pPr>
      <w:r>
        <w:rPr>
          <w:rFonts w:ascii="宋体" w:hAnsi="宋体" w:cs="宋体"/>
          <w:color w:val="auto"/>
          <w:sz w:val="24"/>
          <w:highlight w:val="none"/>
        </w:rPr>
        <w:t xml:space="preserve">27.1 </w:t>
      </w:r>
      <w:r>
        <w:rPr>
          <w:rFonts w:hint="eastAsia" w:ascii="宋体" w:hAnsi="宋体" w:cs="宋体"/>
          <w:color w:val="auto"/>
          <w:sz w:val="24"/>
          <w:highlight w:val="none"/>
        </w:rPr>
        <w:t>因执行本合同所发生的或与本合同有关的一切争议</w:t>
      </w:r>
      <w:r>
        <w:rPr>
          <w:rFonts w:ascii="宋体" w:hAnsi="宋体" w:cs="宋体"/>
          <w:color w:val="auto"/>
          <w:sz w:val="24"/>
          <w:highlight w:val="none"/>
        </w:rPr>
        <w:t>,</w:t>
      </w:r>
      <w:r>
        <w:rPr>
          <w:rFonts w:hint="eastAsia" w:ascii="宋体" w:hAnsi="宋体" w:cs="宋体"/>
          <w:color w:val="auto"/>
          <w:sz w:val="24"/>
          <w:highlight w:val="none"/>
        </w:rPr>
        <w:t>双方应通过友好协商解决。如果协商开始后六十（</w:t>
      </w:r>
      <w:r>
        <w:rPr>
          <w:rFonts w:ascii="宋体" w:hAnsi="宋体" w:cs="宋体"/>
          <w:color w:val="auto"/>
          <w:sz w:val="24"/>
          <w:highlight w:val="none"/>
        </w:rPr>
        <w:t>60</w:t>
      </w:r>
      <w:r>
        <w:rPr>
          <w:rFonts w:hint="eastAsia" w:ascii="宋体" w:hAnsi="宋体" w:cs="宋体"/>
          <w:color w:val="auto"/>
          <w:sz w:val="24"/>
          <w:highlight w:val="none"/>
        </w:rPr>
        <w:t>）天还不能解决，任何一方均可按中华人民共和国有关法律的规定提交仲裁。仲裁地点应在买方单位所在地。</w:t>
      </w:r>
    </w:p>
    <w:p>
      <w:pPr>
        <w:tabs>
          <w:tab w:val="left" w:pos="0"/>
        </w:tabs>
        <w:spacing w:line="360" w:lineRule="auto"/>
        <w:rPr>
          <w:rFonts w:ascii="宋体" w:hAnsi="宋体"/>
          <w:color w:val="auto"/>
          <w:sz w:val="24"/>
          <w:highlight w:val="none"/>
        </w:rPr>
      </w:pPr>
      <w:r>
        <w:rPr>
          <w:rFonts w:ascii="宋体" w:hAnsi="宋体" w:cs="宋体"/>
          <w:color w:val="auto"/>
          <w:sz w:val="24"/>
          <w:highlight w:val="none"/>
        </w:rPr>
        <w:t xml:space="preserve">27.2 </w:t>
      </w:r>
      <w:r>
        <w:rPr>
          <w:rFonts w:hint="eastAsia" w:ascii="宋体" w:hAnsi="宋体" w:cs="宋体"/>
          <w:color w:val="auto"/>
          <w:sz w:val="24"/>
          <w:highlight w:val="none"/>
        </w:rPr>
        <w:t>仲裁裁决应为最终裁决，对双方均具有约束力。</w:t>
      </w:r>
    </w:p>
    <w:p>
      <w:pPr>
        <w:tabs>
          <w:tab w:val="left" w:pos="0"/>
        </w:tabs>
        <w:spacing w:line="360" w:lineRule="auto"/>
        <w:rPr>
          <w:rFonts w:ascii="宋体" w:hAnsi="宋体"/>
          <w:color w:val="auto"/>
          <w:sz w:val="24"/>
          <w:highlight w:val="none"/>
        </w:rPr>
      </w:pPr>
      <w:r>
        <w:rPr>
          <w:rFonts w:ascii="宋体" w:hAnsi="宋体" w:cs="宋体"/>
          <w:color w:val="auto"/>
          <w:sz w:val="24"/>
          <w:highlight w:val="none"/>
        </w:rPr>
        <w:t xml:space="preserve">27.3 </w:t>
      </w:r>
      <w:r>
        <w:rPr>
          <w:rFonts w:hint="eastAsia" w:ascii="宋体" w:hAnsi="宋体" w:cs="宋体"/>
          <w:color w:val="auto"/>
          <w:sz w:val="24"/>
          <w:highlight w:val="none"/>
        </w:rPr>
        <w:t>仲裁费除仲裁机关另有裁决外均应由败诉方负担。</w:t>
      </w:r>
    </w:p>
    <w:p>
      <w:pPr>
        <w:tabs>
          <w:tab w:val="left" w:pos="0"/>
        </w:tabs>
        <w:spacing w:line="360" w:lineRule="auto"/>
        <w:rPr>
          <w:rFonts w:ascii="宋体" w:hAnsi="宋体"/>
          <w:color w:val="auto"/>
          <w:sz w:val="24"/>
          <w:highlight w:val="none"/>
        </w:rPr>
      </w:pPr>
      <w:r>
        <w:rPr>
          <w:rFonts w:ascii="宋体" w:hAnsi="宋体" w:cs="宋体"/>
          <w:color w:val="auto"/>
          <w:sz w:val="24"/>
          <w:highlight w:val="none"/>
        </w:rPr>
        <w:t xml:space="preserve">27.4 </w:t>
      </w:r>
      <w:r>
        <w:rPr>
          <w:rFonts w:hint="eastAsia" w:ascii="宋体" w:hAnsi="宋体" w:cs="宋体"/>
          <w:color w:val="auto"/>
          <w:sz w:val="24"/>
          <w:highlight w:val="none"/>
        </w:rPr>
        <w:t>在仲裁期间，除正在进行仲裁的部分外，本合同其它部分应继续执行。</w:t>
      </w:r>
    </w:p>
    <w:p>
      <w:pPr>
        <w:spacing w:line="360" w:lineRule="auto"/>
        <w:rPr>
          <w:rFonts w:ascii="宋体" w:hAnsi="宋体"/>
          <w:b/>
          <w:bCs/>
          <w:color w:val="auto"/>
          <w:sz w:val="28"/>
          <w:highlight w:val="none"/>
        </w:rPr>
      </w:pPr>
      <w:r>
        <w:rPr>
          <w:rFonts w:ascii="宋体" w:hAnsi="宋体" w:cs="宋体"/>
          <w:b/>
          <w:bCs/>
          <w:color w:val="auto"/>
          <w:sz w:val="28"/>
          <w:highlight w:val="none"/>
        </w:rPr>
        <w:t>28.</w:t>
      </w:r>
      <w:r>
        <w:rPr>
          <w:rFonts w:hint="eastAsia" w:ascii="宋体" w:hAnsi="宋体" w:cs="宋体"/>
          <w:b/>
          <w:bCs/>
          <w:color w:val="auto"/>
          <w:sz w:val="28"/>
          <w:highlight w:val="none"/>
        </w:rPr>
        <w:t>合同语言</w:t>
      </w:r>
    </w:p>
    <w:p>
      <w:pPr>
        <w:tabs>
          <w:tab w:val="left" w:pos="0"/>
        </w:tabs>
        <w:spacing w:line="360" w:lineRule="auto"/>
        <w:rPr>
          <w:rFonts w:ascii="宋体" w:hAnsi="宋体"/>
          <w:color w:val="auto"/>
          <w:sz w:val="24"/>
          <w:highlight w:val="none"/>
        </w:rPr>
      </w:pPr>
      <w:r>
        <w:rPr>
          <w:rFonts w:ascii="宋体" w:hAnsi="宋体" w:cs="宋体"/>
          <w:color w:val="auto"/>
          <w:sz w:val="24"/>
          <w:highlight w:val="none"/>
        </w:rPr>
        <w:t xml:space="preserve">28.1 </w:t>
      </w:r>
      <w:r>
        <w:rPr>
          <w:rFonts w:hint="eastAsia" w:ascii="宋体" w:hAnsi="宋体" w:cs="宋体"/>
          <w:color w:val="auto"/>
          <w:sz w:val="24"/>
          <w:highlight w:val="none"/>
        </w:rPr>
        <w:t>本合同语言为中文。双方交换的与合同有关的信函均用中文书写。</w:t>
      </w:r>
    </w:p>
    <w:p>
      <w:pPr>
        <w:spacing w:line="360" w:lineRule="auto"/>
        <w:rPr>
          <w:rFonts w:ascii="宋体" w:hAnsi="宋体"/>
          <w:b/>
          <w:bCs/>
          <w:color w:val="auto"/>
          <w:sz w:val="28"/>
          <w:highlight w:val="none"/>
        </w:rPr>
      </w:pPr>
      <w:r>
        <w:rPr>
          <w:rFonts w:ascii="宋体" w:hAnsi="宋体" w:cs="宋体"/>
          <w:b/>
          <w:bCs/>
          <w:color w:val="auto"/>
          <w:sz w:val="28"/>
          <w:highlight w:val="none"/>
        </w:rPr>
        <w:t>29.</w:t>
      </w:r>
      <w:r>
        <w:rPr>
          <w:rFonts w:hint="eastAsia" w:ascii="宋体" w:hAnsi="宋体" w:cs="宋体"/>
          <w:b/>
          <w:bCs/>
          <w:color w:val="auto"/>
          <w:sz w:val="28"/>
          <w:highlight w:val="none"/>
        </w:rPr>
        <w:t>适用法律</w:t>
      </w:r>
    </w:p>
    <w:p>
      <w:pPr>
        <w:tabs>
          <w:tab w:val="left" w:pos="0"/>
        </w:tabs>
        <w:spacing w:line="360" w:lineRule="auto"/>
        <w:rPr>
          <w:rFonts w:ascii="宋体" w:hAnsi="宋体"/>
          <w:color w:val="auto"/>
          <w:sz w:val="24"/>
          <w:highlight w:val="none"/>
        </w:rPr>
      </w:pPr>
      <w:r>
        <w:rPr>
          <w:rFonts w:ascii="宋体" w:hAnsi="宋体" w:cs="宋体"/>
          <w:color w:val="auto"/>
          <w:sz w:val="24"/>
          <w:highlight w:val="none"/>
        </w:rPr>
        <w:t xml:space="preserve">29.1 </w:t>
      </w:r>
      <w:r>
        <w:rPr>
          <w:rFonts w:hint="eastAsia" w:ascii="宋体" w:hAnsi="宋体" w:cs="宋体"/>
          <w:color w:val="auto"/>
          <w:sz w:val="24"/>
          <w:highlight w:val="none"/>
        </w:rPr>
        <w:t>本合同应按照中华人民共和国的法律进行解释。</w:t>
      </w:r>
    </w:p>
    <w:p>
      <w:pPr>
        <w:spacing w:line="360" w:lineRule="auto"/>
        <w:rPr>
          <w:rFonts w:ascii="宋体" w:hAnsi="宋体"/>
          <w:b/>
          <w:bCs/>
          <w:color w:val="auto"/>
          <w:sz w:val="28"/>
          <w:highlight w:val="none"/>
        </w:rPr>
      </w:pPr>
      <w:r>
        <w:rPr>
          <w:rFonts w:ascii="宋体" w:hAnsi="宋体" w:cs="宋体"/>
          <w:b/>
          <w:bCs/>
          <w:color w:val="auto"/>
          <w:sz w:val="28"/>
          <w:highlight w:val="none"/>
        </w:rPr>
        <w:t>30.</w:t>
      </w:r>
      <w:r>
        <w:rPr>
          <w:rFonts w:hint="eastAsia" w:ascii="宋体" w:hAnsi="宋体" w:cs="宋体"/>
          <w:b/>
          <w:bCs/>
          <w:color w:val="auto"/>
          <w:sz w:val="28"/>
          <w:highlight w:val="none"/>
        </w:rPr>
        <w:t>通知</w:t>
      </w:r>
    </w:p>
    <w:p>
      <w:pPr>
        <w:tabs>
          <w:tab w:val="left" w:pos="0"/>
        </w:tabs>
        <w:spacing w:line="360" w:lineRule="auto"/>
        <w:rPr>
          <w:rFonts w:ascii="宋体" w:hAnsi="宋体"/>
          <w:color w:val="auto"/>
          <w:sz w:val="24"/>
          <w:highlight w:val="none"/>
        </w:rPr>
      </w:pPr>
      <w:r>
        <w:rPr>
          <w:rFonts w:ascii="宋体" w:hAnsi="宋体" w:cs="宋体"/>
          <w:color w:val="auto"/>
          <w:sz w:val="24"/>
          <w:highlight w:val="none"/>
        </w:rPr>
        <w:t xml:space="preserve">30.1 </w:t>
      </w:r>
      <w:r>
        <w:rPr>
          <w:rFonts w:hint="eastAsia" w:ascii="宋体" w:hAnsi="宋体" w:cs="宋体"/>
          <w:color w:val="auto"/>
          <w:sz w:val="24"/>
          <w:highlight w:val="none"/>
        </w:rPr>
        <w:t>本合同一方给对方的通知应用书面形式传真送到“合同专用条款”中规定的对方的地址。传真要经书面确认。</w:t>
      </w:r>
    </w:p>
    <w:p>
      <w:pPr>
        <w:tabs>
          <w:tab w:val="left" w:pos="0"/>
        </w:tabs>
        <w:spacing w:line="360" w:lineRule="auto"/>
        <w:rPr>
          <w:rFonts w:ascii="宋体" w:hAnsi="宋体"/>
          <w:color w:val="auto"/>
          <w:sz w:val="24"/>
          <w:highlight w:val="none"/>
        </w:rPr>
      </w:pPr>
      <w:r>
        <w:rPr>
          <w:rFonts w:ascii="宋体" w:hAnsi="宋体" w:cs="宋体"/>
          <w:color w:val="auto"/>
          <w:sz w:val="24"/>
          <w:highlight w:val="none"/>
        </w:rPr>
        <w:t xml:space="preserve">30.2 </w:t>
      </w:r>
      <w:r>
        <w:rPr>
          <w:rFonts w:hint="eastAsia" w:ascii="宋体" w:hAnsi="宋体" w:cs="宋体"/>
          <w:color w:val="auto"/>
          <w:sz w:val="24"/>
          <w:highlight w:val="none"/>
        </w:rPr>
        <w:t>通知以送到日期或通知书的生效日期为生效日期，两者中以晚的一个日期为准。</w:t>
      </w:r>
    </w:p>
    <w:p>
      <w:pPr>
        <w:spacing w:line="360" w:lineRule="auto"/>
        <w:rPr>
          <w:rFonts w:ascii="宋体" w:hAnsi="宋体"/>
          <w:b/>
          <w:bCs/>
          <w:color w:val="auto"/>
          <w:sz w:val="28"/>
          <w:highlight w:val="none"/>
        </w:rPr>
      </w:pPr>
      <w:r>
        <w:rPr>
          <w:rFonts w:ascii="宋体" w:hAnsi="宋体" w:cs="宋体"/>
          <w:b/>
          <w:bCs/>
          <w:color w:val="auto"/>
          <w:sz w:val="28"/>
          <w:highlight w:val="none"/>
        </w:rPr>
        <w:t>31.</w:t>
      </w:r>
      <w:r>
        <w:rPr>
          <w:rFonts w:hint="eastAsia" w:ascii="宋体" w:hAnsi="宋体" w:cs="宋体"/>
          <w:b/>
          <w:bCs/>
          <w:color w:val="auto"/>
          <w:sz w:val="28"/>
          <w:highlight w:val="none"/>
        </w:rPr>
        <w:t>税款</w:t>
      </w:r>
    </w:p>
    <w:p>
      <w:pPr>
        <w:tabs>
          <w:tab w:val="left" w:pos="0"/>
        </w:tabs>
        <w:spacing w:line="360" w:lineRule="auto"/>
        <w:rPr>
          <w:rFonts w:ascii="宋体" w:hAnsi="宋体"/>
          <w:color w:val="auto"/>
          <w:sz w:val="24"/>
          <w:highlight w:val="none"/>
        </w:rPr>
      </w:pPr>
      <w:r>
        <w:rPr>
          <w:rFonts w:ascii="宋体" w:hAnsi="宋体" w:cs="宋体"/>
          <w:color w:val="auto"/>
          <w:sz w:val="24"/>
          <w:highlight w:val="none"/>
        </w:rPr>
        <w:t xml:space="preserve">31.1 </w:t>
      </w:r>
      <w:r>
        <w:rPr>
          <w:rFonts w:hint="eastAsia" w:ascii="宋体" w:hAnsi="宋体" w:cs="宋体"/>
          <w:color w:val="auto"/>
          <w:sz w:val="24"/>
          <w:highlight w:val="none"/>
        </w:rPr>
        <w:t>按照中华人民共和国税法和有关部门的规定，买方需交纳的与本合同有关的一切税费均应由买方负担。</w:t>
      </w:r>
    </w:p>
    <w:p>
      <w:pPr>
        <w:tabs>
          <w:tab w:val="left" w:pos="0"/>
        </w:tabs>
        <w:spacing w:line="360" w:lineRule="auto"/>
        <w:rPr>
          <w:rFonts w:ascii="宋体" w:hAnsi="宋体"/>
          <w:color w:val="auto"/>
          <w:sz w:val="24"/>
          <w:highlight w:val="none"/>
        </w:rPr>
      </w:pPr>
      <w:r>
        <w:rPr>
          <w:rFonts w:ascii="宋体" w:hAnsi="宋体" w:cs="宋体"/>
          <w:color w:val="auto"/>
          <w:sz w:val="24"/>
          <w:highlight w:val="none"/>
        </w:rPr>
        <w:t>31.2</w:t>
      </w:r>
      <w:r>
        <w:rPr>
          <w:rFonts w:hint="eastAsia" w:ascii="宋体" w:hAnsi="宋体" w:cs="宋体"/>
          <w:color w:val="auto"/>
          <w:sz w:val="24"/>
          <w:highlight w:val="none"/>
        </w:rPr>
        <w:t>按照中华人民共和国税法和有关部门的规定，卖方需交纳的与本合同有关的一切税费均应由卖方负担。</w:t>
      </w:r>
    </w:p>
    <w:p>
      <w:pPr>
        <w:spacing w:line="360" w:lineRule="auto"/>
        <w:rPr>
          <w:rFonts w:ascii="宋体" w:hAnsi="宋体"/>
          <w:b/>
          <w:bCs/>
          <w:color w:val="auto"/>
          <w:sz w:val="28"/>
          <w:highlight w:val="none"/>
        </w:rPr>
      </w:pPr>
      <w:r>
        <w:rPr>
          <w:rFonts w:ascii="宋体" w:hAnsi="宋体" w:cs="宋体"/>
          <w:b/>
          <w:bCs/>
          <w:color w:val="auto"/>
          <w:sz w:val="28"/>
          <w:highlight w:val="none"/>
        </w:rPr>
        <w:t>32.</w:t>
      </w:r>
      <w:r>
        <w:rPr>
          <w:rFonts w:hint="eastAsia" w:ascii="宋体" w:hAnsi="宋体" w:cs="宋体"/>
          <w:b/>
          <w:bCs/>
          <w:color w:val="auto"/>
          <w:sz w:val="28"/>
          <w:highlight w:val="none"/>
        </w:rPr>
        <w:t>合同生效及其他</w:t>
      </w:r>
    </w:p>
    <w:p>
      <w:pPr>
        <w:tabs>
          <w:tab w:val="left" w:pos="0"/>
        </w:tabs>
        <w:spacing w:line="360" w:lineRule="auto"/>
        <w:rPr>
          <w:rFonts w:ascii="宋体" w:hAnsi="宋体"/>
          <w:color w:val="auto"/>
          <w:sz w:val="24"/>
          <w:highlight w:val="none"/>
        </w:rPr>
      </w:pPr>
      <w:r>
        <w:rPr>
          <w:rFonts w:ascii="宋体" w:hAnsi="宋体" w:cs="宋体"/>
          <w:color w:val="auto"/>
          <w:sz w:val="24"/>
          <w:highlight w:val="none"/>
        </w:rPr>
        <w:t xml:space="preserve">32.1 </w:t>
      </w:r>
      <w:r>
        <w:rPr>
          <w:rFonts w:hint="eastAsia" w:ascii="宋体" w:hAnsi="宋体" w:cs="宋体"/>
          <w:color w:val="auto"/>
          <w:sz w:val="24"/>
          <w:highlight w:val="none"/>
        </w:rPr>
        <w:t>本合同应在双方签字并加盖双方公章和买方收到卖方提交的履约保证金后生效。</w:t>
      </w:r>
    </w:p>
    <w:p>
      <w:pPr>
        <w:tabs>
          <w:tab w:val="left" w:pos="0"/>
        </w:tabs>
        <w:spacing w:line="360" w:lineRule="auto"/>
        <w:rPr>
          <w:rFonts w:ascii="宋体" w:hAnsi="宋体"/>
          <w:color w:val="auto"/>
          <w:sz w:val="24"/>
          <w:highlight w:val="none"/>
        </w:rPr>
      </w:pPr>
      <w:r>
        <w:rPr>
          <w:rFonts w:ascii="宋体" w:hAnsi="宋体" w:cs="宋体"/>
          <w:color w:val="auto"/>
          <w:sz w:val="24"/>
          <w:highlight w:val="none"/>
        </w:rPr>
        <w:t xml:space="preserve">32.2 </w:t>
      </w:r>
      <w:r>
        <w:rPr>
          <w:rFonts w:hint="eastAsia" w:ascii="宋体" w:hAnsi="宋体" w:cs="宋体"/>
          <w:color w:val="auto"/>
          <w:sz w:val="24"/>
          <w:highlight w:val="none"/>
        </w:rPr>
        <w:t>下述合同附件为本合同不可分割的部分并与本合同具有同等效力：</w:t>
      </w:r>
    </w:p>
    <w:p>
      <w:pPr>
        <w:spacing w:line="360" w:lineRule="auto"/>
        <w:rPr>
          <w:rFonts w:ascii="宋体" w:hAnsi="宋体"/>
          <w:color w:val="auto"/>
          <w:sz w:val="24"/>
          <w:highlight w:val="none"/>
        </w:rPr>
      </w:pPr>
      <w:r>
        <w:rPr>
          <w:rFonts w:hint="eastAsia" w:ascii="宋体" w:hAnsi="宋体" w:cs="宋体"/>
          <w:color w:val="auto"/>
          <w:sz w:val="24"/>
          <w:highlight w:val="none"/>
        </w:rPr>
        <w:t>（</w:t>
      </w:r>
      <w:r>
        <w:rPr>
          <w:rFonts w:ascii="宋体" w:hAnsi="宋体" w:cs="宋体"/>
          <w:color w:val="auto"/>
          <w:sz w:val="24"/>
          <w:highlight w:val="none"/>
        </w:rPr>
        <w:t xml:space="preserve">1) </w:t>
      </w:r>
      <w:r>
        <w:rPr>
          <w:rFonts w:hint="eastAsia" w:ascii="宋体" w:hAnsi="宋体" w:cs="宋体"/>
          <w:color w:val="auto"/>
          <w:sz w:val="24"/>
          <w:highlight w:val="none"/>
        </w:rPr>
        <w:t>供货范围及分项价格表</w:t>
      </w:r>
    </w:p>
    <w:p>
      <w:pPr>
        <w:spacing w:line="360" w:lineRule="auto"/>
        <w:rPr>
          <w:rFonts w:ascii="宋体" w:hAnsi="宋体"/>
          <w:color w:val="auto"/>
          <w:sz w:val="24"/>
          <w:highlight w:val="none"/>
        </w:rPr>
      </w:pPr>
      <w:r>
        <w:rPr>
          <w:rFonts w:hint="eastAsia" w:ascii="宋体" w:hAnsi="宋体" w:cs="宋体"/>
          <w:color w:val="auto"/>
          <w:sz w:val="24"/>
          <w:highlight w:val="none"/>
        </w:rPr>
        <w:t>（</w:t>
      </w:r>
      <w:r>
        <w:rPr>
          <w:rFonts w:ascii="宋体" w:hAnsi="宋体" w:cs="宋体"/>
          <w:color w:val="auto"/>
          <w:sz w:val="24"/>
          <w:highlight w:val="none"/>
        </w:rPr>
        <w:t xml:space="preserve">2) </w:t>
      </w:r>
      <w:r>
        <w:rPr>
          <w:rFonts w:hint="eastAsia" w:ascii="宋体" w:hAnsi="宋体" w:cs="宋体"/>
          <w:color w:val="auto"/>
          <w:sz w:val="24"/>
          <w:highlight w:val="none"/>
        </w:rPr>
        <w:t>货物技术规格参数与要求</w:t>
      </w:r>
    </w:p>
    <w:p>
      <w:pPr>
        <w:spacing w:line="360" w:lineRule="auto"/>
        <w:rPr>
          <w:rFonts w:ascii="宋体" w:hAnsi="宋体"/>
          <w:color w:val="auto"/>
          <w:sz w:val="24"/>
          <w:highlight w:val="none"/>
        </w:rPr>
      </w:pPr>
      <w:r>
        <w:rPr>
          <w:rFonts w:hint="eastAsia" w:ascii="宋体" w:hAnsi="宋体" w:cs="宋体"/>
          <w:color w:val="auto"/>
          <w:sz w:val="24"/>
          <w:highlight w:val="none"/>
        </w:rPr>
        <w:t>（</w:t>
      </w:r>
      <w:r>
        <w:rPr>
          <w:rFonts w:ascii="宋体" w:hAnsi="宋体" w:cs="宋体"/>
          <w:color w:val="auto"/>
          <w:sz w:val="24"/>
          <w:highlight w:val="none"/>
        </w:rPr>
        <w:t xml:space="preserve">3) </w:t>
      </w:r>
      <w:r>
        <w:rPr>
          <w:rFonts w:hint="eastAsia" w:ascii="宋体" w:hAnsi="宋体" w:cs="宋体"/>
          <w:color w:val="auto"/>
          <w:sz w:val="24"/>
          <w:highlight w:val="none"/>
        </w:rPr>
        <w:t>交货批次及交货时间</w:t>
      </w:r>
    </w:p>
    <w:p>
      <w:pPr>
        <w:spacing w:line="360" w:lineRule="auto"/>
        <w:rPr>
          <w:rFonts w:ascii="宋体" w:hAnsi="宋体"/>
          <w:color w:val="auto"/>
          <w:sz w:val="24"/>
          <w:highlight w:val="none"/>
        </w:rPr>
      </w:pPr>
      <w:r>
        <w:rPr>
          <w:rFonts w:hint="eastAsia" w:ascii="宋体" w:hAnsi="宋体" w:cs="宋体"/>
          <w:color w:val="auto"/>
          <w:sz w:val="24"/>
          <w:highlight w:val="none"/>
        </w:rPr>
        <w:t>（</w:t>
      </w:r>
      <w:r>
        <w:rPr>
          <w:rFonts w:ascii="宋体" w:hAnsi="宋体" w:cs="宋体"/>
          <w:color w:val="auto"/>
          <w:sz w:val="24"/>
          <w:highlight w:val="none"/>
        </w:rPr>
        <w:t xml:space="preserve">4) </w:t>
      </w:r>
      <w:r>
        <w:rPr>
          <w:rFonts w:hint="eastAsia" w:ascii="宋体" w:hAnsi="宋体" w:cs="宋体"/>
          <w:color w:val="auto"/>
          <w:sz w:val="24"/>
          <w:highlight w:val="none"/>
        </w:rPr>
        <w:t>履约保函</w:t>
      </w:r>
    </w:p>
    <w:p>
      <w:pPr>
        <w:spacing w:line="360" w:lineRule="auto"/>
        <w:rPr>
          <w:rFonts w:ascii="宋体" w:hAnsi="宋体"/>
          <w:color w:val="auto"/>
          <w:sz w:val="24"/>
          <w:highlight w:val="none"/>
        </w:rPr>
      </w:pPr>
      <w:r>
        <w:rPr>
          <w:rFonts w:hint="eastAsia" w:ascii="宋体" w:hAnsi="宋体" w:cs="宋体"/>
          <w:color w:val="auto"/>
          <w:sz w:val="24"/>
          <w:highlight w:val="none"/>
        </w:rPr>
        <w:t>（</w:t>
      </w:r>
      <w:r>
        <w:rPr>
          <w:rFonts w:ascii="宋体" w:hAnsi="宋体" w:cs="宋体"/>
          <w:color w:val="auto"/>
          <w:sz w:val="24"/>
          <w:highlight w:val="none"/>
        </w:rPr>
        <w:t xml:space="preserve">5) </w:t>
      </w:r>
      <w:r>
        <w:rPr>
          <w:rFonts w:hint="eastAsia" w:ascii="宋体" w:hAnsi="宋体" w:cs="宋体"/>
          <w:color w:val="auto"/>
          <w:sz w:val="24"/>
          <w:highlight w:val="none"/>
        </w:rPr>
        <w:t>预付款保函</w:t>
      </w:r>
    </w:p>
    <w:p>
      <w:pPr>
        <w:spacing w:line="360" w:lineRule="auto"/>
        <w:rPr>
          <w:rFonts w:eastAsia="黑体" w:cs="黑体"/>
          <w:color w:val="auto"/>
          <w:szCs w:val="36"/>
          <w:highlight w:val="none"/>
        </w:rPr>
      </w:pPr>
      <w:r>
        <w:rPr>
          <w:rFonts w:hint="eastAsia" w:ascii="宋体" w:hAnsi="宋体" w:cs="宋体"/>
          <w:color w:val="auto"/>
          <w:sz w:val="24"/>
          <w:highlight w:val="none"/>
        </w:rPr>
        <w:t>（</w:t>
      </w:r>
      <w:r>
        <w:rPr>
          <w:rFonts w:ascii="宋体" w:hAnsi="宋体" w:cs="宋体"/>
          <w:color w:val="auto"/>
          <w:sz w:val="24"/>
          <w:highlight w:val="none"/>
        </w:rPr>
        <w:t xml:space="preserve">6) </w:t>
      </w:r>
      <w:r>
        <w:rPr>
          <w:rFonts w:hint="eastAsia" w:ascii="宋体" w:hAnsi="宋体" w:cs="宋体"/>
          <w:color w:val="auto"/>
          <w:sz w:val="24"/>
          <w:highlight w:val="none"/>
        </w:rPr>
        <w:t>招标文件、投标文件、中标通知书</w:t>
      </w:r>
    </w:p>
    <w:p>
      <w:pPr>
        <w:pStyle w:val="35"/>
        <w:rPr>
          <w:rFonts w:eastAsia="黑体" w:cs="黑体"/>
          <w:color w:val="auto"/>
          <w:szCs w:val="36"/>
          <w:highlight w:val="none"/>
        </w:rPr>
      </w:pPr>
    </w:p>
    <w:p>
      <w:pPr>
        <w:rPr>
          <w:rFonts w:eastAsia="黑体" w:cs="黑体"/>
          <w:color w:val="auto"/>
          <w:szCs w:val="36"/>
          <w:highlight w:val="none"/>
        </w:rPr>
      </w:pPr>
    </w:p>
    <w:p>
      <w:pPr>
        <w:pStyle w:val="2"/>
        <w:rPr>
          <w:rFonts w:eastAsia="黑体" w:cs="黑体"/>
          <w:color w:val="auto"/>
          <w:szCs w:val="36"/>
          <w:highlight w:val="none"/>
        </w:rPr>
      </w:pPr>
    </w:p>
    <w:p>
      <w:pPr>
        <w:pStyle w:val="2"/>
        <w:rPr>
          <w:rFonts w:eastAsia="黑体" w:cs="黑体"/>
          <w:color w:val="auto"/>
          <w:szCs w:val="36"/>
          <w:highlight w:val="none"/>
        </w:rPr>
      </w:pPr>
    </w:p>
    <w:p>
      <w:pPr>
        <w:pStyle w:val="2"/>
        <w:rPr>
          <w:rFonts w:eastAsia="黑体" w:cs="黑体"/>
          <w:color w:val="auto"/>
          <w:szCs w:val="36"/>
          <w:highlight w:val="none"/>
        </w:rPr>
      </w:pPr>
    </w:p>
    <w:p>
      <w:pPr>
        <w:pStyle w:val="2"/>
        <w:rPr>
          <w:rFonts w:eastAsia="黑体" w:cs="黑体"/>
          <w:color w:val="auto"/>
          <w:szCs w:val="36"/>
          <w:highlight w:val="none"/>
        </w:rPr>
      </w:pPr>
    </w:p>
    <w:p>
      <w:pPr>
        <w:pStyle w:val="2"/>
        <w:rPr>
          <w:rFonts w:eastAsia="黑体" w:cs="黑体"/>
          <w:color w:val="auto"/>
          <w:szCs w:val="36"/>
          <w:highlight w:val="none"/>
        </w:rPr>
      </w:pPr>
    </w:p>
    <w:p>
      <w:pPr>
        <w:pStyle w:val="2"/>
        <w:rPr>
          <w:rFonts w:eastAsia="黑体" w:cs="黑体"/>
          <w:color w:val="auto"/>
          <w:szCs w:val="36"/>
          <w:highlight w:val="none"/>
        </w:rPr>
      </w:pPr>
    </w:p>
    <w:p>
      <w:pPr>
        <w:pStyle w:val="2"/>
        <w:rPr>
          <w:rFonts w:eastAsia="黑体" w:cs="黑体"/>
          <w:color w:val="auto"/>
          <w:szCs w:val="36"/>
          <w:highlight w:val="none"/>
        </w:rPr>
      </w:pPr>
    </w:p>
    <w:p>
      <w:pPr>
        <w:pStyle w:val="2"/>
        <w:rPr>
          <w:rFonts w:eastAsia="黑体" w:cs="黑体"/>
          <w:color w:val="auto"/>
          <w:szCs w:val="36"/>
          <w:highlight w:val="none"/>
        </w:rPr>
      </w:pPr>
    </w:p>
    <w:p>
      <w:pPr>
        <w:pStyle w:val="2"/>
        <w:rPr>
          <w:rFonts w:eastAsia="黑体" w:cs="黑体"/>
          <w:color w:val="auto"/>
          <w:szCs w:val="36"/>
          <w:highlight w:val="none"/>
        </w:rPr>
      </w:pPr>
    </w:p>
    <w:p>
      <w:pPr>
        <w:pStyle w:val="2"/>
        <w:rPr>
          <w:rFonts w:eastAsia="黑体" w:cs="黑体"/>
          <w:color w:val="auto"/>
          <w:szCs w:val="36"/>
          <w:highlight w:val="none"/>
        </w:rPr>
      </w:pPr>
    </w:p>
    <w:p>
      <w:pPr>
        <w:pStyle w:val="2"/>
        <w:rPr>
          <w:rFonts w:eastAsia="黑体" w:cs="黑体"/>
          <w:color w:val="auto"/>
          <w:szCs w:val="36"/>
          <w:highlight w:val="none"/>
        </w:rPr>
      </w:pPr>
    </w:p>
    <w:p>
      <w:pPr>
        <w:pStyle w:val="2"/>
        <w:rPr>
          <w:rFonts w:eastAsia="黑体" w:cs="黑体"/>
          <w:color w:val="auto"/>
          <w:szCs w:val="36"/>
          <w:highlight w:val="none"/>
        </w:rPr>
      </w:pPr>
    </w:p>
    <w:p>
      <w:pPr>
        <w:pStyle w:val="2"/>
        <w:rPr>
          <w:rFonts w:eastAsia="黑体" w:cs="黑体"/>
          <w:color w:val="auto"/>
          <w:szCs w:val="36"/>
          <w:highlight w:val="none"/>
        </w:rPr>
      </w:pPr>
    </w:p>
    <w:p>
      <w:pPr>
        <w:pStyle w:val="2"/>
        <w:rPr>
          <w:rFonts w:eastAsia="黑体" w:cs="黑体"/>
          <w:color w:val="auto"/>
          <w:szCs w:val="36"/>
          <w:highlight w:val="none"/>
        </w:rPr>
      </w:pPr>
    </w:p>
    <w:p>
      <w:pPr>
        <w:pStyle w:val="2"/>
        <w:rPr>
          <w:rFonts w:eastAsia="黑体" w:cs="黑体"/>
          <w:color w:val="auto"/>
          <w:szCs w:val="36"/>
          <w:highlight w:val="none"/>
        </w:rPr>
      </w:pPr>
    </w:p>
    <w:p>
      <w:pPr>
        <w:pStyle w:val="35"/>
        <w:jc w:val="both"/>
        <w:rPr>
          <w:rFonts w:eastAsia="黑体" w:cs="黑体"/>
          <w:color w:val="auto"/>
          <w:szCs w:val="36"/>
          <w:highlight w:val="none"/>
        </w:rPr>
      </w:pPr>
    </w:p>
    <w:p>
      <w:pPr>
        <w:pStyle w:val="35"/>
        <w:rPr>
          <w:rFonts w:eastAsia="黑体" w:cs="黑体"/>
          <w:color w:val="auto"/>
          <w:szCs w:val="36"/>
          <w:highlight w:val="none"/>
        </w:rPr>
      </w:pPr>
    </w:p>
    <w:p>
      <w:pPr>
        <w:pStyle w:val="35"/>
        <w:rPr>
          <w:color w:val="auto"/>
          <w:highlight w:val="none"/>
        </w:rPr>
      </w:pPr>
      <w:bookmarkStart w:id="244" w:name="_Toc8273"/>
      <w:bookmarkStart w:id="245" w:name="_Toc22728"/>
      <w:bookmarkStart w:id="246" w:name="_Toc20579"/>
      <w:bookmarkStart w:id="247" w:name="_Toc1927"/>
      <w:r>
        <w:rPr>
          <w:rFonts w:hint="eastAsia" w:eastAsia="黑体" w:cs="黑体"/>
          <w:color w:val="auto"/>
          <w:szCs w:val="36"/>
          <w:highlight w:val="none"/>
        </w:rPr>
        <w:t>二、合同协议书格式</w:t>
      </w:r>
      <w:bookmarkEnd w:id="244"/>
      <w:bookmarkEnd w:id="245"/>
      <w:bookmarkEnd w:id="246"/>
      <w:bookmarkEnd w:id="247"/>
    </w:p>
    <w:p>
      <w:pPr>
        <w:autoSpaceDE w:val="0"/>
        <w:autoSpaceDN w:val="0"/>
        <w:adjustRightInd w:val="0"/>
        <w:spacing w:line="360" w:lineRule="auto"/>
        <w:rPr>
          <w:rFonts w:ascii="宋体" w:hAnsi="宋体" w:cs="Calibri"/>
          <w:color w:val="auto"/>
          <w:kern w:val="0"/>
          <w:sz w:val="24"/>
          <w:highlight w:val="none"/>
        </w:rPr>
      </w:pPr>
    </w:p>
    <w:p>
      <w:pPr>
        <w:autoSpaceDE w:val="0"/>
        <w:autoSpaceDN w:val="0"/>
        <w:adjustRightInd w:val="0"/>
        <w:spacing w:line="360" w:lineRule="auto"/>
        <w:ind w:left="2409" w:hanging="2409" w:hangingChars="750"/>
        <w:jc w:val="center"/>
        <w:rPr>
          <w:rFonts w:hint="eastAsia" w:ascii="宋体" w:hAnsi="宋体" w:eastAsia="宋体" w:cs="宋体"/>
          <w:b/>
          <w:bCs/>
          <w:color w:val="auto"/>
          <w:kern w:val="0"/>
          <w:sz w:val="32"/>
          <w:szCs w:val="32"/>
          <w:highlight w:val="none"/>
          <w:lang w:val="zh-CN"/>
        </w:rPr>
      </w:pPr>
      <w:r>
        <w:rPr>
          <w:rFonts w:hint="eastAsia" w:ascii="宋体" w:hAnsi="宋体" w:eastAsia="宋体" w:cs="宋体"/>
          <w:b/>
          <w:bCs/>
          <w:color w:val="auto"/>
          <w:kern w:val="0"/>
          <w:sz w:val="32"/>
          <w:szCs w:val="32"/>
          <w:highlight w:val="none"/>
          <w:lang w:val="zh-CN"/>
        </w:rPr>
        <w:t>乌兰县藜麦深加工设备采购项目</w:t>
      </w:r>
    </w:p>
    <w:p>
      <w:pPr>
        <w:spacing w:line="360" w:lineRule="auto"/>
        <w:jc w:val="center"/>
        <w:rPr>
          <w:rFonts w:ascii="宋体" w:hAnsi="宋体"/>
          <w:color w:val="auto"/>
          <w:sz w:val="28"/>
          <w:szCs w:val="28"/>
          <w:highlight w:val="none"/>
        </w:rPr>
      </w:pPr>
    </w:p>
    <w:p>
      <w:pPr>
        <w:spacing w:line="360" w:lineRule="auto"/>
        <w:jc w:val="center"/>
        <w:rPr>
          <w:rFonts w:ascii="宋体" w:hAnsi="宋体"/>
          <w:color w:val="auto"/>
          <w:sz w:val="28"/>
          <w:szCs w:val="28"/>
          <w:highlight w:val="none"/>
        </w:rPr>
      </w:pPr>
    </w:p>
    <w:p>
      <w:pPr>
        <w:spacing w:line="360" w:lineRule="auto"/>
        <w:jc w:val="center"/>
        <w:rPr>
          <w:rFonts w:ascii="宋体" w:hAnsi="宋体"/>
          <w:color w:val="auto"/>
          <w:sz w:val="28"/>
          <w:szCs w:val="28"/>
          <w:highlight w:val="none"/>
        </w:rPr>
      </w:pPr>
    </w:p>
    <w:p>
      <w:pPr>
        <w:spacing w:line="360" w:lineRule="auto"/>
        <w:ind w:firstLine="240" w:firstLineChars="100"/>
        <w:jc w:val="center"/>
        <w:rPr>
          <w:rFonts w:ascii="宋体" w:hAnsi="宋体"/>
          <w:color w:val="auto"/>
          <w:sz w:val="24"/>
          <w:szCs w:val="28"/>
          <w:highlight w:val="none"/>
        </w:rPr>
      </w:pPr>
      <w:r>
        <w:rPr>
          <w:rFonts w:hint="eastAsia" w:ascii="宋体" w:hAnsi="宋体"/>
          <w:color w:val="auto"/>
          <w:sz w:val="24"/>
          <w:szCs w:val="28"/>
          <w:highlight w:val="none"/>
        </w:rPr>
        <w:t>合同编号：</w:t>
      </w:r>
    </w:p>
    <w:p>
      <w:pPr>
        <w:spacing w:line="360" w:lineRule="auto"/>
        <w:jc w:val="center"/>
        <w:rPr>
          <w:rFonts w:ascii="宋体" w:hAnsi="宋体"/>
          <w:color w:val="auto"/>
          <w:sz w:val="24"/>
          <w:szCs w:val="28"/>
          <w:highlight w:val="none"/>
        </w:rPr>
      </w:pPr>
    </w:p>
    <w:p>
      <w:pPr>
        <w:pStyle w:val="3"/>
        <w:keepLines w:val="0"/>
        <w:spacing w:beforeLines="50" w:afterLines="50" w:line="360" w:lineRule="auto"/>
        <w:rPr>
          <w:rFonts w:ascii="宋体" w:hAnsi="宋体"/>
          <w:b w:val="0"/>
          <w:bCs w:val="0"/>
          <w:color w:val="auto"/>
          <w:sz w:val="24"/>
          <w:szCs w:val="28"/>
          <w:highlight w:val="none"/>
        </w:rPr>
      </w:pPr>
    </w:p>
    <w:p>
      <w:pPr>
        <w:rPr>
          <w:color w:val="auto"/>
          <w:sz w:val="17"/>
          <w:highlight w:val="none"/>
        </w:rPr>
      </w:pPr>
    </w:p>
    <w:p>
      <w:pPr>
        <w:pStyle w:val="35"/>
        <w:rPr>
          <w:color w:val="auto"/>
          <w:highlight w:val="none"/>
        </w:rPr>
      </w:pPr>
    </w:p>
    <w:p>
      <w:pPr>
        <w:rPr>
          <w:color w:val="auto"/>
          <w:highlight w:val="none"/>
        </w:rPr>
      </w:pPr>
    </w:p>
    <w:p>
      <w:pPr>
        <w:pStyle w:val="35"/>
        <w:rPr>
          <w:color w:val="auto"/>
          <w:highlight w:val="none"/>
        </w:rPr>
      </w:pPr>
    </w:p>
    <w:p>
      <w:pPr>
        <w:pStyle w:val="3"/>
        <w:keepLines w:val="0"/>
        <w:spacing w:beforeLines="50" w:afterLines="50" w:line="480" w:lineRule="auto"/>
        <w:ind w:firstLine="2040" w:firstLineChars="850"/>
        <w:rPr>
          <w:rFonts w:hint="eastAsia" w:ascii="宋体" w:hAnsi="宋体" w:eastAsia="宋体"/>
          <w:b w:val="0"/>
          <w:bCs w:val="0"/>
          <w:color w:val="auto"/>
          <w:sz w:val="24"/>
          <w:szCs w:val="28"/>
          <w:highlight w:val="none"/>
          <w:lang w:eastAsia="zh-CN"/>
        </w:rPr>
      </w:pPr>
      <w:bookmarkStart w:id="248" w:name="_Toc21260"/>
      <w:bookmarkStart w:id="249" w:name="_Toc26538"/>
      <w:bookmarkStart w:id="250" w:name="_Toc8497"/>
      <w:bookmarkStart w:id="251" w:name="_Toc6374"/>
      <w:r>
        <w:rPr>
          <w:rFonts w:hint="eastAsia" w:ascii="宋体" w:hAnsi="宋体"/>
          <w:b w:val="0"/>
          <w:bCs w:val="0"/>
          <w:color w:val="auto"/>
          <w:sz w:val="24"/>
          <w:szCs w:val="28"/>
          <w:highlight w:val="none"/>
        </w:rPr>
        <w:t>买方：</w:t>
      </w:r>
      <w:r>
        <w:rPr>
          <w:rFonts w:hint="eastAsia" w:ascii="宋体" w:hAnsi="宋体"/>
          <w:b w:val="0"/>
          <w:bCs w:val="0"/>
          <w:color w:val="auto"/>
          <w:sz w:val="24"/>
          <w:szCs w:val="28"/>
          <w:highlight w:val="none"/>
          <w:u w:val="single"/>
          <w:lang w:eastAsia="zh-CN"/>
        </w:rPr>
        <w:t>乌兰县恒信国有资产投资管理有限公司</w:t>
      </w:r>
      <w:bookmarkEnd w:id="248"/>
      <w:bookmarkEnd w:id="249"/>
      <w:bookmarkEnd w:id="250"/>
      <w:bookmarkEnd w:id="251"/>
      <w:r>
        <w:rPr>
          <w:rFonts w:hint="eastAsia" w:ascii="宋体" w:hAnsi="宋体"/>
          <w:b w:val="0"/>
          <w:bCs w:val="0"/>
          <w:color w:val="auto"/>
          <w:sz w:val="24"/>
          <w:szCs w:val="28"/>
          <w:highlight w:val="none"/>
          <w:u w:val="single"/>
          <w:lang w:eastAsia="zh-CN"/>
        </w:rPr>
        <w:t xml:space="preserve"> </w:t>
      </w:r>
    </w:p>
    <w:p>
      <w:pPr>
        <w:pStyle w:val="3"/>
        <w:keepLines w:val="0"/>
        <w:spacing w:beforeLines="50" w:afterLines="50" w:line="480" w:lineRule="auto"/>
        <w:ind w:firstLine="2040" w:firstLineChars="850"/>
        <w:rPr>
          <w:rFonts w:ascii="宋体" w:hAnsi="宋体"/>
          <w:b w:val="0"/>
          <w:bCs w:val="0"/>
          <w:color w:val="auto"/>
          <w:sz w:val="24"/>
          <w:szCs w:val="28"/>
          <w:highlight w:val="none"/>
        </w:rPr>
      </w:pPr>
      <w:bookmarkStart w:id="252" w:name="_Toc23128"/>
      <w:bookmarkStart w:id="253" w:name="_Toc1232"/>
      <w:bookmarkStart w:id="254" w:name="_Toc10922"/>
      <w:bookmarkStart w:id="255" w:name="_Toc22359"/>
      <w:r>
        <w:rPr>
          <w:rFonts w:hint="eastAsia" w:ascii="宋体" w:hAnsi="宋体"/>
          <w:b w:val="0"/>
          <w:bCs w:val="0"/>
          <w:color w:val="auto"/>
          <w:sz w:val="24"/>
          <w:szCs w:val="28"/>
          <w:highlight w:val="none"/>
        </w:rPr>
        <w:t>卖方：</w:t>
      </w:r>
      <w:bookmarkEnd w:id="252"/>
      <w:bookmarkEnd w:id="253"/>
      <w:bookmarkEnd w:id="254"/>
      <w:bookmarkEnd w:id="255"/>
    </w:p>
    <w:p>
      <w:pPr>
        <w:pStyle w:val="3"/>
        <w:keepLines w:val="0"/>
        <w:spacing w:beforeLines="50" w:afterLines="50" w:line="480" w:lineRule="auto"/>
        <w:ind w:firstLine="2040" w:firstLineChars="850"/>
        <w:rPr>
          <w:rFonts w:ascii="宋体" w:hAnsi="宋体"/>
          <w:b w:val="0"/>
          <w:bCs w:val="0"/>
          <w:color w:val="auto"/>
          <w:sz w:val="24"/>
          <w:szCs w:val="28"/>
          <w:highlight w:val="none"/>
          <w:u w:val="single"/>
        </w:rPr>
      </w:pPr>
      <w:bookmarkStart w:id="256" w:name="_Toc20070"/>
      <w:bookmarkStart w:id="257" w:name="_Toc12013"/>
      <w:bookmarkStart w:id="258" w:name="_Toc27590"/>
      <w:bookmarkStart w:id="259" w:name="_Toc10441"/>
      <w:r>
        <w:rPr>
          <w:rFonts w:hint="eastAsia" w:ascii="宋体" w:hAnsi="宋体"/>
          <w:b w:val="0"/>
          <w:bCs w:val="0"/>
          <w:color w:val="auto"/>
          <w:sz w:val="24"/>
          <w:szCs w:val="28"/>
          <w:highlight w:val="none"/>
        </w:rPr>
        <w:t>签订地点：</w:t>
      </w:r>
      <w:bookmarkEnd w:id="256"/>
      <w:bookmarkEnd w:id="257"/>
      <w:bookmarkEnd w:id="258"/>
      <w:bookmarkEnd w:id="259"/>
    </w:p>
    <w:p>
      <w:pPr>
        <w:pStyle w:val="3"/>
        <w:keepLines w:val="0"/>
        <w:spacing w:beforeLines="50" w:afterLines="50" w:line="480" w:lineRule="auto"/>
        <w:ind w:firstLine="2040" w:firstLineChars="850"/>
        <w:rPr>
          <w:rFonts w:ascii="宋体" w:hAnsi="宋体"/>
          <w:b w:val="0"/>
          <w:bCs w:val="0"/>
          <w:color w:val="auto"/>
          <w:sz w:val="24"/>
          <w:szCs w:val="28"/>
          <w:highlight w:val="none"/>
        </w:rPr>
      </w:pPr>
      <w:bookmarkStart w:id="260" w:name="_Toc23319"/>
      <w:bookmarkStart w:id="261" w:name="_Toc20250"/>
      <w:bookmarkStart w:id="262" w:name="_Toc23626"/>
      <w:bookmarkStart w:id="263" w:name="_Toc8402"/>
      <w:r>
        <w:rPr>
          <w:rFonts w:hint="eastAsia" w:ascii="宋体" w:hAnsi="宋体"/>
          <w:b w:val="0"/>
          <w:bCs w:val="0"/>
          <w:color w:val="auto"/>
          <w:sz w:val="24"/>
          <w:szCs w:val="28"/>
          <w:highlight w:val="none"/>
        </w:rPr>
        <w:t>签订时间： 年_____月_____日</w:t>
      </w:r>
      <w:bookmarkEnd w:id="260"/>
      <w:bookmarkEnd w:id="261"/>
      <w:bookmarkEnd w:id="262"/>
      <w:bookmarkEnd w:id="263"/>
    </w:p>
    <w:p>
      <w:pPr>
        <w:rPr>
          <w:rFonts w:ascii="Courier New" w:hAnsi="Courier New"/>
          <w:color w:val="auto"/>
          <w:sz w:val="17"/>
          <w:szCs w:val="21"/>
          <w:highlight w:val="none"/>
        </w:rPr>
      </w:pPr>
    </w:p>
    <w:p>
      <w:pPr>
        <w:rPr>
          <w:rFonts w:ascii="宋体" w:hAnsi="宋体"/>
          <w:color w:val="auto"/>
          <w:sz w:val="28"/>
          <w:szCs w:val="28"/>
          <w:highlight w:val="none"/>
        </w:rPr>
      </w:pPr>
    </w:p>
    <w:p>
      <w:pPr>
        <w:rPr>
          <w:rFonts w:ascii="宋体" w:hAnsi="宋体"/>
          <w:b/>
          <w:color w:val="auto"/>
          <w:sz w:val="40"/>
          <w:szCs w:val="28"/>
          <w:highlight w:val="none"/>
        </w:rPr>
      </w:pPr>
    </w:p>
    <w:p>
      <w:pPr>
        <w:pStyle w:val="35"/>
        <w:rPr>
          <w:color w:val="auto"/>
          <w:highlight w:val="none"/>
        </w:rPr>
      </w:pPr>
    </w:p>
    <w:p>
      <w:pPr>
        <w:rPr>
          <w:rFonts w:ascii="宋体" w:hAnsi="宋体"/>
          <w:b/>
          <w:color w:val="auto"/>
          <w:sz w:val="40"/>
          <w:szCs w:val="28"/>
          <w:highlight w:val="none"/>
        </w:rPr>
      </w:pPr>
      <w:r>
        <w:rPr>
          <w:rFonts w:hint="eastAsia" w:ascii="宋体" w:hAnsi="宋体"/>
          <w:b/>
          <w:color w:val="auto"/>
          <w:sz w:val="40"/>
          <w:szCs w:val="28"/>
          <w:highlight w:val="none"/>
        </w:rPr>
        <w:t>1.1协议书</w:t>
      </w:r>
    </w:p>
    <w:p>
      <w:pPr>
        <w:autoSpaceDE w:val="0"/>
        <w:autoSpaceDN w:val="0"/>
        <w:adjustRightInd w:val="0"/>
        <w:spacing w:line="360" w:lineRule="auto"/>
        <w:ind w:left="2409" w:hanging="1800" w:hangingChars="750"/>
        <w:jc w:val="both"/>
        <w:rPr>
          <w:rFonts w:hint="eastAsia" w:ascii="宋体" w:hAnsi="宋体" w:eastAsia="宋体" w:cs="宋体"/>
          <w:b/>
          <w:bCs/>
          <w:color w:val="auto"/>
          <w:kern w:val="0"/>
          <w:sz w:val="32"/>
          <w:szCs w:val="32"/>
          <w:highlight w:val="none"/>
          <w:lang w:val="zh-CN"/>
        </w:rPr>
      </w:pPr>
      <w:r>
        <w:rPr>
          <w:rFonts w:hint="eastAsia" w:ascii="宋体" w:hAnsi="宋体"/>
          <w:color w:val="auto"/>
          <w:sz w:val="24"/>
          <w:highlight w:val="none"/>
        </w:rPr>
        <w:t>合同名称：</w:t>
      </w:r>
      <w:r>
        <w:rPr>
          <w:rFonts w:hint="eastAsia" w:ascii="宋体" w:hAnsi="宋体" w:eastAsia="宋体" w:cs="Times New Roman"/>
          <w:bCs/>
          <w:color w:val="auto"/>
          <w:sz w:val="24"/>
          <w:highlight w:val="none"/>
          <w:lang w:val="zh-CN" w:eastAsia="zh-CN"/>
        </w:rPr>
        <w:t>乌兰县藜麦深加工设备采购项目</w:t>
      </w:r>
    </w:p>
    <w:p>
      <w:pPr>
        <w:spacing w:line="360" w:lineRule="auto"/>
        <w:rPr>
          <w:rFonts w:ascii="宋体" w:hAnsi="宋体"/>
          <w:color w:val="auto"/>
          <w:sz w:val="24"/>
          <w:highlight w:val="none"/>
        </w:rPr>
      </w:pPr>
      <w:r>
        <w:rPr>
          <w:rFonts w:hint="eastAsia" w:ascii="宋体" w:hAnsi="宋体"/>
          <w:color w:val="auto"/>
          <w:sz w:val="24"/>
          <w:highlight w:val="none"/>
        </w:rPr>
        <w:t>合同编号：</w:t>
      </w:r>
    </w:p>
    <w:p>
      <w:pPr>
        <w:spacing w:line="360" w:lineRule="auto"/>
        <w:rPr>
          <w:rFonts w:hint="eastAsia" w:ascii="宋体" w:hAnsi="宋体" w:eastAsia="宋体"/>
          <w:color w:val="auto"/>
          <w:sz w:val="24"/>
          <w:highlight w:val="none"/>
          <w:lang w:eastAsia="zh-CN"/>
        </w:rPr>
      </w:pPr>
      <w:r>
        <w:rPr>
          <w:rFonts w:hint="eastAsia" w:ascii="宋体" w:hAnsi="宋体"/>
          <w:color w:val="auto"/>
          <w:sz w:val="24"/>
          <w:highlight w:val="none"/>
        </w:rPr>
        <w:t>买方：</w:t>
      </w:r>
      <w:r>
        <w:rPr>
          <w:rFonts w:hint="eastAsia" w:ascii="宋体" w:hAnsi="宋体"/>
          <w:bCs/>
          <w:color w:val="auto"/>
          <w:sz w:val="24"/>
          <w:highlight w:val="none"/>
          <w:lang w:eastAsia="zh-CN"/>
        </w:rPr>
        <w:t xml:space="preserve">乌兰县恒信国有资产投资管理有限公司 </w:t>
      </w:r>
    </w:p>
    <w:p>
      <w:pPr>
        <w:spacing w:line="360" w:lineRule="auto"/>
        <w:rPr>
          <w:rFonts w:ascii="宋体" w:hAnsi="宋体"/>
          <w:color w:val="auto"/>
          <w:sz w:val="24"/>
          <w:highlight w:val="none"/>
        </w:rPr>
      </w:pPr>
      <w:r>
        <w:rPr>
          <w:rFonts w:hint="eastAsia" w:ascii="宋体" w:hAnsi="宋体"/>
          <w:color w:val="auto"/>
          <w:sz w:val="24"/>
          <w:highlight w:val="none"/>
        </w:rPr>
        <w:t>卖方：</w:t>
      </w:r>
    </w:p>
    <w:p>
      <w:pPr>
        <w:autoSpaceDE w:val="0"/>
        <w:autoSpaceDN w:val="0"/>
        <w:adjustRightInd w:val="0"/>
        <w:spacing w:line="360" w:lineRule="auto"/>
        <w:ind w:left="2409" w:hanging="1800" w:hangingChars="750"/>
        <w:jc w:val="both"/>
        <w:rPr>
          <w:rFonts w:hint="eastAsia" w:hAnsi="宋体"/>
          <w:bCs/>
          <w:color w:val="auto"/>
          <w:kern w:val="0"/>
          <w:sz w:val="24"/>
          <w:highlight w:val="none"/>
          <w:u w:val="single"/>
          <w:lang w:eastAsia="zh-CN"/>
        </w:rPr>
      </w:pPr>
      <w:r>
        <w:rPr>
          <w:rFonts w:hint="eastAsia" w:ascii="宋体" w:hAnsi="宋体"/>
          <w:color w:val="auto"/>
          <w:kern w:val="0"/>
          <w:sz w:val="24"/>
          <w:highlight w:val="none"/>
        </w:rPr>
        <w:t>依据《中华人民共和国合同法》等相关法律法规的规定，</w:t>
      </w:r>
      <w:r>
        <w:rPr>
          <w:rFonts w:hint="eastAsia" w:hAnsi="宋体"/>
          <w:bCs/>
          <w:color w:val="auto"/>
          <w:kern w:val="0"/>
          <w:sz w:val="24"/>
          <w:highlight w:val="none"/>
          <w:u w:val="single"/>
          <w:lang w:eastAsia="zh-CN"/>
        </w:rPr>
        <w:t>乌兰县恒信国有资产投</w:t>
      </w:r>
    </w:p>
    <w:p>
      <w:pPr>
        <w:autoSpaceDE w:val="0"/>
        <w:autoSpaceDN w:val="0"/>
        <w:adjustRightInd w:val="0"/>
        <w:spacing w:line="360" w:lineRule="auto"/>
        <w:ind w:left="2409" w:hanging="1800" w:hangingChars="750"/>
        <w:jc w:val="both"/>
        <w:rPr>
          <w:rFonts w:hint="eastAsia" w:ascii="宋体" w:hAnsi="宋体"/>
          <w:color w:val="auto"/>
          <w:kern w:val="0"/>
          <w:sz w:val="24"/>
          <w:highlight w:val="none"/>
        </w:rPr>
      </w:pPr>
      <w:r>
        <w:rPr>
          <w:rFonts w:hint="eastAsia" w:hAnsi="宋体"/>
          <w:bCs/>
          <w:color w:val="auto"/>
          <w:kern w:val="0"/>
          <w:sz w:val="24"/>
          <w:highlight w:val="none"/>
          <w:u w:val="single"/>
          <w:lang w:eastAsia="zh-CN"/>
        </w:rPr>
        <w:t xml:space="preserve">资管理有限公司 </w:t>
      </w:r>
      <w:r>
        <w:rPr>
          <w:rFonts w:hint="eastAsia" w:ascii="宋体" w:hAnsi="宋体"/>
          <w:color w:val="auto"/>
          <w:kern w:val="0"/>
          <w:sz w:val="24"/>
          <w:highlight w:val="none"/>
        </w:rPr>
        <w:t>（以下简称“买方”）经过询价采购确定____（以下简称“卖</w:t>
      </w:r>
    </w:p>
    <w:p>
      <w:pPr>
        <w:autoSpaceDE w:val="0"/>
        <w:autoSpaceDN w:val="0"/>
        <w:adjustRightInd w:val="0"/>
        <w:spacing w:line="360" w:lineRule="auto"/>
        <w:ind w:left="2409" w:hanging="1800" w:hangingChars="750"/>
        <w:jc w:val="both"/>
        <w:rPr>
          <w:rFonts w:hint="eastAsia" w:ascii="宋体" w:hAnsi="宋体"/>
          <w:color w:val="auto"/>
          <w:kern w:val="0"/>
          <w:sz w:val="24"/>
          <w:highlight w:val="none"/>
        </w:rPr>
      </w:pPr>
      <w:r>
        <w:rPr>
          <w:rFonts w:hint="eastAsia" w:ascii="宋体" w:hAnsi="宋体"/>
          <w:color w:val="auto"/>
          <w:kern w:val="0"/>
          <w:sz w:val="24"/>
          <w:highlight w:val="none"/>
        </w:rPr>
        <w:t>方”）为</w:t>
      </w:r>
      <w:r>
        <w:rPr>
          <w:rFonts w:hint="eastAsia" w:ascii="宋体" w:hAnsi="宋体" w:eastAsia="宋体" w:cs="Times New Roman"/>
          <w:bCs/>
          <w:color w:val="auto"/>
          <w:sz w:val="24"/>
          <w:highlight w:val="none"/>
          <w:u w:val="single"/>
          <w:lang w:val="zh-CN" w:eastAsia="zh-CN"/>
        </w:rPr>
        <w:t>乌兰县藜麦深加工设备采购项目</w:t>
      </w:r>
      <w:r>
        <w:rPr>
          <w:rFonts w:hint="eastAsia" w:ascii="宋体" w:hAnsi="宋体"/>
          <w:color w:val="auto"/>
          <w:kern w:val="0"/>
          <w:sz w:val="24"/>
          <w:highlight w:val="none"/>
        </w:rPr>
        <w:t>的中标人。经双方协商一致，同意按下</w:t>
      </w:r>
    </w:p>
    <w:p>
      <w:pPr>
        <w:autoSpaceDE w:val="0"/>
        <w:autoSpaceDN w:val="0"/>
        <w:adjustRightInd w:val="0"/>
        <w:spacing w:line="360" w:lineRule="auto"/>
        <w:ind w:left="2409" w:hanging="1800" w:hangingChars="750"/>
        <w:jc w:val="both"/>
        <w:rPr>
          <w:rFonts w:hAnsi="宋体"/>
          <w:color w:val="auto"/>
          <w:kern w:val="0"/>
          <w:sz w:val="24"/>
          <w:highlight w:val="none"/>
          <w:u w:val="single"/>
        </w:rPr>
      </w:pPr>
      <w:r>
        <w:rPr>
          <w:rFonts w:hint="eastAsia" w:ascii="宋体" w:hAnsi="宋体"/>
          <w:color w:val="auto"/>
          <w:kern w:val="0"/>
          <w:sz w:val="24"/>
          <w:highlight w:val="none"/>
        </w:rPr>
        <w:t>述条款签署本合同：</w:t>
      </w:r>
    </w:p>
    <w:p>
      <w:pPr>
        <w:pStyle w:val="66"/>
        <w:spacing w:before="0" w:after="0" w:line="360" w:lineRule="auto"/>
        <w:ind w:right="-199" w:rightChars="-95" w:hangingChars="177"/>
        <w:rPr>
          <w:rFonts w:ascii="宋体" w:hAnsi="宋体"/>
          <w:b/>
          <w:bCs/>
          <w:color w:val="auto"/>
          <w:szCs w:val="24"/>
          <w:highlight w:val="none"/>
        </w:rPr>
      </w:pPr>
      <w:r>
        <w:rPr>
          <w:rFonts w:hint="eastAsia" w:ascii="宋体" w:hAnsi="宋体"/>
          <w:b/>
          <w:bCs/>
          <w:color w:val="auto"/>
          <w:highlight w:val="none"/>
        </w:rPr>
        <w:t xml:space="preserve">第一条  </w:t>
      </w:r>
      <w:r>
        <w:rPr>
          <w:rFonts w:hint="eastAsia" w:ascii="宋体" w:hAnsi="宋体"/>
          <w:color w:val="auto"/>
          <w:highlight w:val="none"/>
        </w:rPr>
        <w:t>组成合同的文件</w:t>
      </w:r>
    </w:p>
    <w:p>
      <w:pPr>
        <w:pStyle w:val="48"/>
        <w:spacing w:line="360" w:lineRule="auto"/>
        <w:ind w:left="563" w:leftChars="228" w:hanging="84" w:hangingChars="35"/>
        <w:rPr>
          <w:rFonts w:ascii="宋体" w:hAnsi="宋体"/>
          <w:color w:val="auto"/>
          <w:sz w:val="24"/>
          <w:szCs w:val="24"/>
          <w:highlight w:val="none"/>
        </w:rPr>
      </w:pPr>
      <w:r>
        <w:rPr>
          <w:rFonts w:hint="eastAsia" w:ascii="宋体" w:hAnsi="宋体"/>
          <w:color w:val="auto"/>
          <w:sz w:val="24"/>
          <w:szCs w:val="24"/>
          <w:highlight w:val="none"/>
        </w:rPr>
        <w:t>本合同由下列文件组成，并按下列顺序进行解释。</w:t>
      </w:r>
    </w:p>
    <w:p>
      <w:pPr>
        <w:pStyle w:val="48"/>
        <w:spacing w:line="360" w:lineRule="auto"/>
        <w:ind w:left="1186" w:leftChars="405" w:hanging="336" w:hangingChars="140"/>
        <w:rPr>
          <w:rFonts w:ascii="宋体" w:hAnsi="宋体"/>
          <w:color w:val="auto"/>
          <w:sz w:val="24"/>
          <w:szCs w:val="24"/>
          <w:highlight w:val="none"/>
        </w:rPr>
      </w:pPr>
      <w:r>
        <w:rPr>
          <w:rFonts w:hint="eastAsia" w:ascii="宋体" w:hAnsi="宋体"/>
          <w:color w:val="auto"/>
          <w:sz w:val="24"/>
          <w:szCs w:val="24"/>
          <w:highlight w:val="none"/>
        </w:rPr>
        <w:t>1.1 协议书</w:t>
      </w:r>
    </w:p>
    <w:p>
      <w:pPr>
        <w:pStyle w:val="48"/>
        <w:spacing w:line="360" w:lineRule="auto"/>
        <w:ind w:left="1186" w:leftChars="405" w:hanging="336" w:hangingChars="140"/>
        <w:rPr>
          <w:rFonts w:ascii="宋体" w:hAnsi="宋体"/>
          <w:color w:val="auto"/>
          <w:sz w:val="24"/>
          <w:szCs w:val="24"/>
          <w:highlight w:val="none"/>
        </w:rPr>
      </w:pPr>
      <w:r>
        <w:rPr>
          <w:rFonts w:hint="eastAsia" w:ascii="宋体" w:hAnsi="宋体"/>
          <w:color w:val="auto"/>
          <w:sz w:val="24"/>
          <w:szCs w:val="24"/>
          <w:highlight w:val="none"/>
        </w:rPr>
        <w:t>1.2 中标通知书</w:t>
      </w:r>
    </w:p>
    <w:p>
      <w:pPr>
        <w:pStyle w:val="48"/>
        <w:spacing w:line="360" w:lineRule="auto"/>
        <w:ind w:left="1186" w:leftChars="405" w:hanging="336" w:hangingChars="140"/>
        <w:rPr>
          <w:rFonts w:ascii="宋体" w:hAnsi="宋体"/>
          <w:color w:val="auto"/>
          <w:sz w:val="24"/>
          <w:szCs w:val="24"/>
          <w:highlight w:val="none"/>
        </w:rPr>
      </w:pPr>
      <w:r>
        <w:rPr>
          <w:rFonts w:hint="eastAsia" w:ascii="宋体" w:hAnsi="宋体"/>
          <w:color w:val="auto"/>
          <w:sz w:val="24"/>
          <w:szCs w:val="24"/>
          <w:highlight w:val="none"/>
        </w:rPr>
        <w:t>1.3 合同价格表、技术规格响应表</w:t>
      </w:r>
    </w:p>
    <w:p>
      <w:pPr>
        <w:pStyle w:val="48"/>
        <w:spacing w:line="360" w:lineRule="auto"/>
        <w:ind w:left="1186" w:leftChars="405" w:hanging="336" w:hangingChars="140"/>
        <w:rPr>
          <w:rFonts w:ascii="宋体" w:hAnsi="宋体"/>
          <w:color w:val="auto"/>
          <w:sz w:val="24"/>
          <w:szCs w:val="24"/>
          <w:highlight w:val="none"/>
        </w:rPr>
      </w:pPr>
      <w:r>
        <w:rPr>
          <w:rFonts w:hint="eastAsia" w:ascii="宋体" w:hAnsi="宋体"/>
          <w:color w:val="auto"/>
          <w:sz w:val="24"/>
          <w:szCs w:val="24"/>
          <w:highlight w:val="none"/>
        </w:rPr>
        <w:t>1.4 交货批次及进度</w:t>
      </w:r>
    </w:p>
    <w:p>
      <w:pPr>
        <w:pStyle w:val="48"/>
        <w:spacing w:line="360" w:lineRule="auto"/>
        <w:ind w:left="1186" w:leftChars="405" w:hanging="336" w:hangingChars="140"/>
        <w:rPr>
          <w:rFonts w:ascii="宋体" w:hAnsi="宋体"/>
          <w:color w:val="auto"/>
          <w:sz w:val="24"/>
          <w:szCs w:val="24"/>
          <w:highlight w:val="none"/>
        </w:rPr>
      </w:pPr>
      <w:r>
        <w:rPr>
          <w:rFonts w:hint="eastAsia" w:ascii="宋体" w:hAnsi="宋体"/>
          <w:color w:val="auto"/>
          <w:sz w:val="24"/>
          <w:szCs w:val="24"/>
          <w:highlight w:val="none"/>
        </w:rPr>
        <w:t>1.5 合同条款</w:t>
      </w:r>
    </w:p>
    <w:p>
      <w:pPr>
        <w:pStyle w:val="48"/>
        <w:spacing w:line="360" w:lineRule="auto"/>
        <w:ind w:left="1186" w:leftChars="405" w:hanging="336" w:hangingChars="140"/>
        <w:rPr>
          <w:rFonts w:ascii="宋体" w:hAnsi="宋体"/>
          <w:color w:val="auto"/>
          <w:sz w:val="24"/>
          <w:szCs w:val="24"/>
          <w:highlight w:val="none"/>
        </w:rPr>
      </w:pPr>
      <w:r>
        <w:rPr>
          <w:rFonts w:hint="eastAsia" w:ascii="宋体" w:hAnsi="宋体"/>
          <w:color w:val="auto"/>
          <w:sz w:val="24"/>
          <w:szCs w:val="24"/>
          <w:highlight w:val="none"/>
        </w:rPr>
        <w:t>1.6 廉政协议</w:t>
      </w:r>
    </w:p>
    <w:p>
      <w:pPr>
        <w:pStyle w:val="48"/>
        <w:spacing w:line="360" w:lineRule="auto"/>
        <w:ind w:left="1186" w:leftChars="405" w:hanging="336" w:hangingChars="140"/>
        <w:rPr>
          <w:rFonts w:ascii="宋体" w:hAnsi="宋体"/>
          <w:color w:val="auto"/>
          <w:sz w:val="24"/>
          <w:szCs w:val="24"/>
          <w:highlight w:val="none"/>
        </w:rPr>
      </w:pPr>
      <w:r>
        <w:rPr>
          <w:rFonts w:hint="eastAsia" w:ascii="宋体" w:hAnsi="宋体"/>
          <w:color w:val="auto"/>
          <w:sz w:val="24"/>
          <w:szCs w:val="24"/>
          <w:highlight w:val="none"/>
        </w:rPr>
        <w:t>1.7 补充合同（协议）</w:t>
      </w:r>
    </w:p>
    <w:p>
      <w:pPr>
        <w:pStyle w:val="48"/>
        <w:spacing w:line="360" w:lineRule="auto"/>
        <w:ind w:left="567" w:hanging="567"/>
        <w:rPr>
          <w:rFonts w:ascii="宋体" w:hAnsi="宋体"/>
          <w:b/>
          <w:bCs/>
          <w:color w:val="auto"/>
          <w:sz w:val="24"/>
          <w:szCs w:val="24"/>
          <w:highlight w:val="none"/>
        </w:rPr>
      </w:pPr>
      <w:r>
        <w:rPr>
          <w:rFonts w:hint="eastAsia" w:ascii="宋体" w:hAnsi="宋体"/>
          <w:b/>
          <w:bCs/>
          <w:color w:val="auto"/>
          <w:sz w:val="24"/>
          <w:szCs w:val="24"/>
          <w:highlight w:val="none"/>
        </w:rPr>
        <w:t xml:space="preserve">第二条   </w:t>
      </w:r>
      <w:r>
        <w:rPr>
          <w:rFonts w:hint="eastAsia" w:ascii="宋体" w:hAnsi="宋体"/>
          <w:color w:val="auto"/>
          <w:sz w:val="24"/>
          <w:szCs w:val="24"/>
          <w:highlight w:val="none"/>
        </w:rPr>
        <w:t>合同范围和条件</w:t>
      </w:r>
    </w:p>
    <w:p>
      <w:pPr>
        <w:pStyle w:val="48"/>
        <w:spacing w:line="360" w:lineRule="auto"/>
        <w:ind w:left="563" w:leftChars="228" w:hanging="84" w:hangingChars="35"/>
        <w:rPr>
          <w:rFonts w:ascii="宋体" w:hAnsi="宋体"/>
          <w:color w:val="auto"/>
          <w:sz w:val="24"/>
          <w:szCs w:val="24"/>
          <w:highlight w:val="none"/>
        </w:rPr>
      </w:pPr>
      <w:r>
        <w:rPr>
          <w:rFonts w:hint="eastAsia" w:ascii="宋体" w:hAnsi="宋体"/>
          <w:color w:val="auto"/>
          <w:sz w:val="24"/>
          <w:szCs w:val="24"/>
          <w:highlight w:val="none"/>
        </w:rPr>
        <w:t>本合同范围和条件应与上述规定的合同文件一致。</w:t>
      </w:r>
    </w:p>
    <w:p>
      <w:pPr>
        <w:pStyle w:val="48"/>
        <w:spacing w:line="360" w:lineRule="auto"/>
        <w:ind w:left="567" w:hanging="567"/>
        <w:rPr>
          <w:rFonts w:ascii="宋体" w:hAnsi="宋体"/>
          <w:b/>
          <w:bCs/>
          <w:color w:val="auto"/>
          <w:sz w:val="24"/>
          <w:szCs w:val="24"/>
          <w:highlight w:val="none"/>
        </w:rPr>
      </w:pPr>
      <w:r>
        <w:rPr>
          <w:rFonts w:hint="eastAsia" w:ascii="宋体" w:hAnsi="宋体"/>
          <w:b/>
          <w:bCs/>
          <w:color w:val="auto"/>
          <w:sz w:val="24"/>
          <w:szCs w:val="24"/>
          <w:highlight w:val="none"/>
        </w:rPr>
        <w:t>第三条</w:t>
      </w:r>
      <w:r>
        <w:rPr>
          <w:rFonts w:hint="eastAsia" w:ascii="宋体" w:hAnsi="宋体"/>
          <w:color w:val="auto"/>
          <w:sz w:val="24"/>
          <w:szCs w:val="24"/>
          <w:highlight w:val="none"/>
        </w:rPr>
        <w:t xml:space="preserve">  合同设备和数量</w:t>
      </w:r>
    </w:p>
    <w:p>
      <w:pPr>
        <w:pStyle w:val="48"/>
        <w:spacing w:line="360" w:lineRule="auto"/>
        <w:ind w:left="563" w:leftChars="228" w:hanging="84" w:hangingChars="35"/>
        <w:rPr>
          <w:rFonts w:ascii="宋体" w:hAnsi="宋体"/>
          <w:color w:val="auto"/>
          <w:sz w:val="24"/>
          <w:szCs w:val="24"/>
          <w:highlight w:val="none"/>
        </w:rPr>
      </w:pPr>
      <w:r>
        <w:rPr>
          <w:rFonts w:hint="eastAsia" w:ascii="宋体" w:hAnsi="宋体"/>
          <w:color w:val="auto"/>
          <w:sz w:val="24"/>
          <w:szCs w:val="24"/>
          <w:highlight w:val="none"/>
        </w:rPr>
        <w:t>本合同项下所供合同设备和数量详见价格表及技术条款。</w:t>
      </w:r>
    </w:p>
    <w:p>
      <w:pPr>
        <w:pStyle w:val="48"/>
        <w:spacing w:line="360" w:lineRule="auto"/>
        <w:ind w:left="567" w:hanging="567"/>
        <w:rPr>
          <w:rFonts w:ascii="宋体" w:hAnsi="宋体"/>
          <w:b/>
          <w:bCs/>
          <w:color w:val="auto"/>
          <w:sz w:val="24"/>
          <w:szCs w:val="24"/>
          <w:highlight w:val="none"/>
        </w:rPr>
      </w:pPr>
      <w:r>
        <w:rPr>
          <w:rFonts w:hint="eastAsia" w:ascii="宋体" w:hAnsi="宋体"/>
          <w:b/>
          <w:bCs/>
          <w:color w:val="auto"/>
          <w:sz w:val="24"/>
          <w:szCs w:val="24"/>
          <w:highlight w:val="none"/>
        </w:rPr>
        <w:t xml:space="preserve">第四条  </w:t>
      </w:r>
      <w:r>
        <w:rPr>
          <w:rFonts w:hint="eastAsia" w:ascii="宋体" w:hAnsi="宋体"/>
          <w:color w:val="auto"/>
          <w:sz w:val="24"/>
          <w:szCs w:val="24"/>
          <w:highlight w:val="none"/>
        </w:rPr>
        <w:t>合同金额</w:t>
      </w:r>
    </w:p>
    <w:p>
      <w:pPr>
        <w:pStyle w:val="48"/>
        <w:spacing w:line="360" w:lineRule="auto"/>
        <w:ind w:left="1152" w:leftChars="160" w:hanging="816" w:hangingChars="340"/>
        <w:rPr>
          <w:rFonts w:ascii="宋体" w:hAnsi="宋体"/>
          <w:color w:val="auto"/>
          <w:sz w:val="24"/>
          <w:szCs w:val="24"/>
          <w:highlight w:val="none"/>
        </w:rPr>
      </w:pPr>
      <w:r>
        <w:rPr>
          <w:rFonts w:hint="eastAsia" w:ascii="宋体" w:hAnsi="宋体"/>
          <w:color w:val="auto"/>
          <w:sz w:val="24"/>
          <w:szCs w:val="24"/>
          <w:highlight w:val="none"/>
        </w:rPr>
        <w:t>合同总金额(大写)人民币</w:t>
      </w:r>
      <w:r>
        <w:rPr>
          <w:rFonts w:hint="eastAsia" w:ascii="宋体" w:hAnsi="宋体"/>
          <w:b/>
          <w:bCs/>
          <w:color w:val="auto"/>
          <w:sz w:val="24"/>
          <w:szCs w:val="24"/>
          <w:highlight w:val="none"/>
        </w:rPr>
        <w:t>（</w:t>
      </w:r>
      <w:r>
        <w:rPr>
          <w:rFonts w:hint="eastAsia" w:ascii="宋体" w:hAnsi="宋体"/>
          <w:b/>
          <w:bCs/>
          <w:color w:val="auto"/>
          <w:sz w:val="24"/>
          <w:szCs w:val="24"/>
          <w:highlight w:val="none"/>
          <w:u w:val="single"/>
        </w:rPr>
        <w:t xml:space="preserve"> 大写：                      </w:t>
      </w:r>
      <w:r>
        <w:rPr>
          <w:rFonts w:hint="eastAsia" w:ascii="宋体" w:hAnsi="宋体"/>
          <w:b/>
          <w:bCs/>
          <w:color w:val="auto"/>
          <w:sz w:val="24"/>
          <w:szCs w:val="24"/>
          <w:highlight w:val="none"/>
        </w:rPr>
        <w:t>）</w:t>
      </w:r>
      <w:r>
        <w:rPr>
          <w:rFonts w:hint="eastAsia" w:ascii="宋体" w:hAnsi="宋体"/>
          <w:color w:val="auto"/>
          <w:sz w:val="24"/>
          <w:szCs w:val="24"/>
          <w:highlight w:val="none"/>
        </w:rPr>
        <w:t>。</w:t>
      </w:r>
    </w:p>
    <w:p>
      <w:pPr>
        <w:pStyle w:val="48"/>
        <w:spacing w:line="360" w:lineRule="auto"/>
        <w:ind w:left="0" w:firstLine="0"/>
        <w:rPr>
          <w:rFonts w:ascii="宋体" w:hAnsi="宋体"/>
          <w:color w:val="auto"/>
          <w:sz w:val="24"/>
          <w:szCs w:val="24"/>
          <w:highlight w:val="none"/>
        </w:rPr>
      </w:pPr>
      <w:r>
        <w:rPr>
          <w:rFonts w:hint="eastAsia" w:ascii="宋体" w:hAnsi="宋体"/>
          <w:color w:val="auto"/>
          <w:sz w:val="24"/>
          <w:szCs w:val="24"/>
          <w:highlight w:val="none"/>
        </w:rPr>
        <w:t>该金额为卖方履行本合同所需全部价款，除非合同另有约定，否则买方将不再就</w:t>
      </w:r>
    </w:p>
    <w:p>
      <w:pPr>
        <w:pStyle w:val="48"/>
        <w:spacing w:line="360" w:lineRule="auto"/>
        <w:rPr>
          <w:rFonts w:ascii="宋体" w:hAnsi="宋体"/>
          <w:color w:val="auto"/>
          <w:sz w:val="24"/>
          <w:szCs w:val="24"/>
          <w:highlight w:val="none"/>
        </w:rPr>
      </w:pPr>
      <w:r>
        <w:rPr>
          <w:rFonts w:hint="eastAsia" w:ascii="宋体" w:hAnsi="宋体"/>
          <w:color w:val="auto"/>
          <w:sz w:val="24"/>
          <w:szCs w:val="24"/>
          <w:highlight w:val="none"/>
        </w:rPr>
        <w:t>卖方履行本合同给卖方另行支付任何费用。</w:t>
      </w:r>
    </w:p>
    <w:p>
      <w:pPr>
        <w:pStyle w:val="48"/>
        <w:spacing w:line="360" w:lineRule="auto"/>
        <w:rPr>
          <w:rFonts w:ascii="宋体" w:hAnsi="宋体"/>
          <w:color w:val="auto"/>
          <w:sz w:val="24"/>
          <w:szCs w:val="24"/>
          <w:highlight w:val="none"/>
        </w:rPr>
      </w:pPr>
      <w:r>
        <w:rPr>
          <w:rFonts w:hint="eastAsia" w:ascii="宋体" w:hAnsi="宋体"/>
          <w:b/>
          <w:bCs/>
          <w:color w:val="auto"/>
          <w:sz w:val="24"/>
          <w:szCs w:val="24"/>
          <w:highlight w:val="none"/>
        </w:rPr>
        <w:t>第五条</w:t>
      </w:r>
      <w:r>
        <w:rPr>
          <w:rFonts w:hint="eastAsia" w:ascii="宋体" w:hAnsi="宋体"/>
          <w:color w:val="auto"/>
          <w:sz w:val="24"/>
          <w:szCs w:val="24"/>
          <w:highlight w:val="none"/>
        </w:rPr>
        <w:t xml:space="preserve">  合同设备的支付条件、到货时间及地点、安装和验收等详见合同文件。</w:t>
      </w:r>
    </w:p>
    <w:p>
      <w:pPr>
        <w:pStyle w:val="48"/>
        <w:spacing w:line="360" w:lineRule="auto"/>
        <w:rPr>
          <w:rFonts w:ascii="宋体" w:hAnsi="宋体"/>
          <w:color w:val="auto"/>
          <w:sz w:val="24"/>
          <w:szCs w:val="24"/>
          <w:highlight w:val="none"/>
        </w:rPr>
      </w:pPr>
      <w:r>
        <w:rPr>
          <w:rFonts w:hint="eastAsia" w:ascii="宋体" w:hAnsi="宋体"/>
          <w:b/>
          <w:bCs/>
          <w:color w:val="auto"/>
          <w:sz w:val="24"/>
          <w:szCs w:val="24"/>
          <w:highlight w:val="none"/>
        </w:rPr>
        <w:t xml:space="preserve">第六条  </w:t>
      </w:r>
      <w:r>
        <w:rPr>
          <w:rFonts w:hint="eastAsia" w:ascii="宋体" w:hAnsi="宋体"/>
          <w:color w:val="auto"/>
          <w:sz w:val="24"/>
          <w:szCs w:val="24"/>
          <w:highlight w:val="none"/>
        </w:rPr>
        <w:t>本合同经双方法定代表人（负责人）或其书面授权代表分别在本合同签</w:t>
      </w:r>
    </w:p>
    <w:p>
      <w:pPr>
        <w:pStyle w:val="48"/>
        <w:spacing w:line="360" w:lineRule="auto"/>
        <w:rPr>
          <w:rFonts w:ascii="宋体" w:hAnsi="宋体"/>
          <w:color w:val="auto"/>
          <w:sz w:val="24"/>
          <w:szCs w:val="24"/>
          <w:highlight w:val="none"/>
        </w:rPr>
      </w:pPr>
      <w:r>
        <w:rPr>
          <w:rFonts w:hint="eastAsia" w:ascii="宋体" w:hAnsi="宋体"/>
          <w:color w:val="auto"/>
          <w:sz w:val="24"/>
          <w:szCs w:val="24"/>
          <w:highlight w:val="none"/>
        </w:rPr>
        <w:t>字并加盖各自单位公章或合同专用章后生效。</w:t>
      </w:r>
    </w:p>
    <w:p>
      <w:pPr>
        <w:pStyle w:val="48"/>
        <w:spacing w:line="360" w:lineRule="auto"/>
        <w:rPr>
          <w:rFonts w:ascii="宋体" w:hAnsi="宋体"/>
          <w:color w:val="auto"/>
          <w:sz w:val="24"/>
          <w:szCs w:val="24"/>
          <w:highlight w:val="none"/>
        </w:rPr>
      </w:pPr>
      <w:r>
        <w:rPr>
          <w:rFonts w:hint="eastAsia" w:ascii="宋体" w:hAnsi="宋体"/>
          <w:b/>
          <w:color w:val="auto"/>
          <w:sz w:val="24"/>
          <w:szCs w:val="24"/>
          <w:highlight w:val="none"/>
        </w:rPr>
        <w:t>第七条</w:t>
      </w:r>
      <w:r>
        <w:rPr>
          <w:rFonts w:hint="eastAsia" w:ascii="宋体" w:hAnsi="宋体"/>
          <w:color w:val="auto"/>
          <w:sz w:val="24"/>
          <w:szCs w:val="24"/>
          <w:highlight w:val="none"/>
        </w:rPr>
        <w:t xml:space="preserve">  本合同一式__</w:t>
      </w:r>
      <w:r>
        <w:rPr>
          <w:rFonts w:hint="eastAsia" w:ascii="宋体" w:hAnsi="宋体"/>
          <w:color w:val="auto"/>
          <w:sz w:val="24"/>
          <w:szCs w:val="24"/>
          <w:highlight w:val="none"/>
          <w:u w:val="single"/>
        </w:rPr>
        <w:t>陆__</w:t>
      </w:r>
      <w:r>
        <w:rPr>
          <w:rFonts w:hint="eastAsia" w:ascii="宋体" w:hAnsi="宋体"/>
          <w:color w:val="auto"/>
          <w:sz w:val="24"/>
          <w:szCs w:val="24"/>
          <w:highlight w:val="none"/>
        </w:rPr>
        <w:t>份，买卖双方各执</w:t>
      </w:r>
      <w:r>
        <w:rPr>
          <w:rFonts w:hint="eastAsia" w:ascii="宋体" w:hAnsi="宋体"/>
          <w:color w:val="auto"/>
          <w:sz w:val="24"/>
          <w:szCs w:val="24"/>
          <w:highlight w:val="none"/>
          <w:u w:val="single"/>
        </w:rPr>
        <w:t>__叁__</w:t>
      </w:r>
      <w:r>
        <w:rPr>
          <w:rFonts w:hint="eastAsia" w:ascii="宋体" w:hAnsi="宋体"/>
          <w:color w:val="auto"/>
          <w:sz w:val="24"/>
          <w:szCs w:val="24"/>
          <w:highlight w:val="none"/>
        </w:rPr>
        <w:t>份。</w:t>
      </w:r>
    </w:p>
    <w:p>
      <w:pPr>
        <w:pStyle w:val="48"/>
        <w:spacing w:line="360" w:lineRule="auto"/>
        <w:rPr>
          <w:rFonts w:ascii="宋体" w:hAnsi="宋体"/>
          <w:color w:val="auto"/>
          <w:sz w:val="24"/>
          <w:szCs w:val="24"/>
          <w:highlight w:val="none"/>
        </w:rPr>
      </w:pPr>
      <w:r>
        <w:rPr>
          <w:rFonts w:hint="eastAsia" w:ascii="宋体" w:hAnsi="宋体"/>
          <w:b/>
          <w:color w:val="auto"/>
          <w:sz w:val="24"/>
          <w:szCs w:val="24"/>
          <w:highlight w:val="none"/>
        </w:rPr>
        <w:t xml:space="preserve">第八条 </w:t>
      </w:r>
      <w:r>
        <w:rPr>
          <w:rFonts w:hint="eastAsia" w:ascii="宋体" w:hAnsi="宋体"/>
          <w:color w:val="auto"/>
          <w:sz w:val="24"/>
          <w:szCs w:val="24"/>
          <w:highlight w:val="none"/>
        </w:rPr>
        <w:t xml:space="preserve"> 合同双方中的任何一方未取得另一方书面同意前，不得将本合同项下的</w:t>
      </w:r>
    </w:p>
    <w:p>
      <w:pPr>
        <w:pStyle w:val="48"/>
        <w:spacing w:line="360" w:lineRule="auto"/>
        <w:rPr>
          <w:rFonts w:ascii="宋体" w:hAnsi="宋体"/>
          <w:color w:val="auto"/>
          <w:sz w:val="24"/>
          <w:szCs w:val="24"/>
          <w:highlight w:val="none"/>
        </w:rPr>
      </w:pPr>
      <w:r>
        <w:rPr>
          <w:rFonts w:hint="eastAsia" w:ascii="宋体" w:hAnsi="宋体"/>
          <w:color w:val="auto"/>
          <w:sz w:val="24"/>
          <w:szCs w:val="24"/>
          <w:highlight w:val="none"/>
        </w:rPr>
        <w:t>任何权利和义务转让给第三方。</w:t>
      </w:r>
    </w:p>
    <w:p>
      <w:pPr>
        <w:pStyle w:val="66"/>
        <w:spacing w:before="0" w:after="0" w:line="360" w:lineRule="auto"/>
        <w:ind w:left="0" w:firstLine="0"/>
        <w:rPr>
          <w:rFonts w:ascii="宋体" w:hAnsi="宋体"/>
          <w:color w:val="auto"/>
          <w:szCs w:val="24"/>
          <w:highlight w:val="none"/>
        </w:rPr>
      </w:pPr>
    </w:p>
    <w:p>
      <w:pPr>
        <w:pStyle w:val="66"/>
        <w:spacing w:before="0" w:after="0" w:line="360" w:lineRule="auto"/>
        <w:ind w:left="0" w:firstLine="0"/>
        <w:rPr>
          <w:rFonts w:ascii="宋体" w:hAnsi="宋体"/>
          <w:color w:val="auto"/>
          <w:highlight w:val="none"/>
          <w:u w:val="single"/>
        </w:rPr>
      </w:pPr>
      <w:r>
        <w:rPr>
          <w:rFonts w:hint="eastAsia" w:ascii="宋体" w:hAnsi="宋体"/>
          <w:color w:val="auto"/>
          <w:highlight w:val="none"/>
        </w:rPr>
        <w:t>买方：</w:t>
      </w:r>
      <w:r>
        <w:rPr>
          <w:rFonts w:hint="eastAsia" w:hAnsi="宋体"/>
          <w:bCs/>
          <w:color w:val="auto"/>
          <w:highlight w:val="none"/>
          <w:u w:val="single"/>
          <w:lang w:eastAsia="zh-CN"/>
        </w:rPr>
        <w:t xml:space="preserve">乌兰县恒信国有资产投资管理有限公司 </w:t>
      </w:r>
      <w:r>
        <w:rPr>
          <w:rFonts w:hint="eastAsia" w:ascii="宋体" w:hAnsi="宋体"/>
          <w:color w:val="auto"/>
          <w:highlight w:val="none"/>
        </w:rPr>
        <w:t xml:space="preserve"> 卖方：</w:t>
      </w:r>
    </w:p>
    <w:p>
      <w:pPr>
        <w:spacing w:line="360" w:lineRule="auto"/>
        <w:ind w:right="-808" w:rightChars="-385"/>
        <w:rPr>
          <w:rFonts w:ascii="宋体" w:hAnsi="宋体"/>
          <w:color w:val="auto"/>
          <w:kern w:val="0"/>
          <w:sz w:val="24"/>
          <w:highlight w:val="none"/>
        </w:rPr>
      </w:pPr>
      <w:r>
        <w:rPr>
          <w:rFonts w:hint="eastAsia" w:ascii="宋体" w:hAnsi="宋体"/>
          <w:color w:val="auto"/>
          <w:kern w:val="0"/>
          <w:sz w:val="24"/>
          <w:highlight w:val="none"/>
        </w:rPr>
        <w:t>地址：                                  地址：</w:t>
      </w:r>
    </w:p>
    <w:p>
      <w:pPr>
        <w:spacing w:line="360" w:lineRule="auto"/>
        <w:rPr>
          <w:rFonts w:ascii="宋体" w:hAnsi="宋体"/>
          <w:color w:val="auto"/>
          <w:kern w:val="0"/>
          <w:sz w:val="24"/>
          <w:highlight w:val="none"/>
        </w:rPr>
      </w:pPr>
      <w:r>
        <w:rPr>
          <w:rFonts w:hint="eastAsia" w:ascii="宋体" w:hAnsi="宋体"/>
          <w:color w:val="auto"/>
          <w:kern w:val="0"/>
          <w:sz w:val="24"/>
          <w:highlight w:val="none"/>
        </w:rPr>
        <w:t>法定代表人或                            法定代表人或</w:t>
      </w:r>
    </w:p>
    <w:p>
      <w:pPr>
        <w:spacing w:line="360" w:lineRule="auto"/>
        <w:rPr>
          <w:rFonts w:ascii="宋体" w:hAnsi="宋体"/>
          <w:color w:val="auto"/>
          <w:kern w:val="0"/>
          <w:sz w:val="24"/>
          <w:highlight w:val="none"/>
        </w:rPr>
      </w:pPr>
      <w:r>
        <w:rPr>
          <w:rFonts w:hint="eastAsia" w:ascii="宋体" w:hAnsi="宋体"/>
          <w:color w:val="auto"/>
          <w:kern w:val="0"/>
          <w:sz w:val="24"/>
          <w:highlight w:val="none"/>
        </w:rPr>
        <w:t>授权代表签字：                          授权代表签字：</w:t>
      </w:r>
    </w:p>
    <w:p>
      <w:pPr>
        <w:spacing w:line="360" w:lineRule="auto"/>
        <w:rPr>
          <w:rFonts w:ascii="宋体" w:hAnsi="宋体"/>
          <w:color w:val="auto"/>
          <w:kern w:val="0"/>
          <w:sz w:val="24"/>
          <w:highlight w:val="none"/>
          <w:u w:val="single"/>
        </w:rPr>
      </w:pPr>
      <w:r>
        <w:rPr>
          <w:rFonts w:hint="eastAsia" w:ascii="宋体" w:hAnsi="宋体"/>
          <w:color w:val="auto"/>
          <w:kern w:val="0"/>
          <w:sz w:val="24"/>
          <w:highlight w:val="none"/>
        </w:rPr>
        <w:t>开户银行：                              开户银行：</w:t>
      </w:r>
    </w:p>
    <w:p>
      <w:pPr>
        <w:spacing w:line="360" w:lineRule="auto"/>
        <w:rPr>
          <w:rFonts w:ascii="宋体" w:hAnsi="宋体"/>
          <w:color w:val="auto"/>
          <w:kern w:val="0"/>
          <w:sz w:val="24"/>
          <w:highlight w:val="none"/>
        </w:rPr>
      </w:pPr>
      <w:r>
        <w:rPr>
          <w:rFonts w:hint="eastAsia" w:ascii="宋体" w:hAnsi="宋体"/>
          <w:color w:val="auto"/>
          <w:kern w:val="0"/>
          <w:sz w:val="24"/>
          <w:highlight w:val="none"/>
        </w:rPr>
        <w:t>帐号：                                  帐号：</w:t>
      </w:r>
    </w:p>
    <w:p>
      <w:pPr>
        <w:spacing w:line="360" w:lineRule="auto"/>
        <w:rPr>
          <w:rFonts w:ascii="宋体" w:hAnsi="宋体"/>
          <w:color w:val="auto"/>
          <w:kern w:val="0"/>
          <w:sz w:val="24"/>
          <w:highlight w:val="none"/>
        </w:rPr>
      </w:pPr>
      <w:r>
        <w:rPr>
          <w:rFonts w:hint="eastAsia" w:ascii="宋体" w:hAnsi="宋体"/>
          <w:color w:val="auto"/>
          <w:kern w:val="0"/>
          <w:sz w:val="24"/>
          <w:highlight w:val="none"/>
        </w:rPr>
        <w:t>联系人：                                联系人：</w:t>
      </w:r>
    </w:p>
    <w:p>
      <w:pPr>
        <w:spacing w:line="360" w:lineRule="auto"/>
        <w:rPr>
          <w:rFonts w:ascii="宋体" w:hAnsi="宋体"/>
          <w:color w:val="auto"/>
          <w:kern w:val="0"/>
          <w:sz w:val="24"/>
          <w:highlight w:val="none"/>
        </w:rPr>
      </w:pPr>
      <w:r>
        <w:rPr>
          <w:rFonts w:hint="eastAsia" w:ascii="宋体" w:hAnsi="宋体"/>
          <w:color w:val="auto"/>
          <w:kern w:val="0"/>
          <w:sz w:val="24"/>
          <w:highlight w:val="none"/>
        </w:rPr>
        <w:t>联系电话：                              联系电话：</w:t>
      </w:r>
    </w:p>
    <w:p>
      <w:pPr>
        <w:spacing w:line="360" w:lineRule="auto"/>
        <w:rPr>
          <w:rFonts w:ascii="宋体" w:hAnsi="宋体"/>
          <w:color w:val="auto"/>
          <w:kern w:val="0"/>
          <w:sz w:val="24"/>
          <w:highlight w:val="none"/>
        </w:rPr>
      </w:pPr>
      <w:r>
        <w:rPr>
          <w:rFonts w:hint="eastAsia" w:ascii="宋体" w:hAnsi="宋体"/>
          <w:color w:val="auto"/>
          <w:kern w:val="0"/>
          <w:sz w:val="24"/>
          <w:highlight w:val="none"/>
        </w:rPr>
        <w:t>传真：                                  传真：</w:t>
      </w:r>
    </w:p>
    <w:p>
      <w:pPr>
        <w:spacing w:line="360" w:lineRule="auto"/>
        <w:jc w:val="left"/>
        <w:rPr>
          <w:rFonts w:ascii="宋体" w:hAnsi="宋体"/>
          <w:color w:val="auto"/>
          <w:kern w:val="0"/>
          <w:sz w:val="24"/>
          <w:highlight w:val="none"/>
        </w:rPr>
      </w:pPr>
      <w:r>
        <w:rPr>
          <w:rFonts w:hint="eastAsia" w:ascii="宋体" w:hAnsi="宋体"/>
          <w:color w:val="auto"/>
          <w:kern w:val="0"/>
          <w:sz w:val="24"/>
          <w:highlight w:val="none"/>
        </w:rPr>
        <w:t>电子邮箱：                              电子邮箱</w:t>
      </w:r>
    </w:p>
    <w:p>
      <w:pPr>
        <w:spacing w:line="360" w:lineRule="auto"/>
        <w:rPr>
          <w:rFonts w:ascii="宋体" w:hAnsi="宋体"/>
          <w:color w:val="auto"/>
          <w:kern w:val="0"/>
          <w:sz w:val="24"/>
          <w:highlight w:val="none"/>
        </w:rPr>
      </w:pPr>
      <w:r>
        <w:rPr>
          <w:rFonts w:hint="eastAsia" w:ascii="宋体" w:hAnsi="宋体"/>
          <w:color w:val="auto"/>
          <w:kern w:val="0"/>
          <w:sz w:val="24"/>
          <w:highlight w:val="none"/>
        </w:rPr>
        <w:t>邮编：                                  邮编：</w:t>
      </w:r>
    </w:p>
    <w:p>
      <w:pPr>
        <w:spacing w:line="360" w:lineRule="auto"/>
        <w:rPr>
          <w:rFonts w:ascii="宋体" w:hAnsi="宋体"/>
          <w:color w:val="auto"/>
          <w:sz w:val="24"/>
          <w:highlight w:val="none"/>
        </w:rPr>
      </w:pPr>
      <w:r>
        <w:rPr>
          <w:rFonts w:hint="eastAsia" w:ascii="宋体" w:hAnsi="宋体"/>
          <w:color w:val="auto"/>
          <w:sz w:val="24"/>
          <w:highlight w:val="none"/>
        </w:rPr>
        <w:t>签约地点：                              签约地点：</w:t>
      </w:r>
    </w:p>
    <w:p>
      <w:pPr>
        <w:spacing w:line="360" w:lineRule="auto"/>
        <w:rPr>
          <w:rFonts w:ascii="宋体" w:hAnsi="宋体"/>
          <w:color w:val="auto"/>
          <w:sz w:val="24"/>
          <w:highlight w:val="none"/>
        </w:rPr>
      </w:pPr>
      <w:r>
        <w:rPr>
          <w:rFonts w:hint="eastAsia" w:ascii="宋体" w:hAnsi="宋体"/>
          <w:color w:val="auto"/>
          <w:sz w:val="24"/>
          <w:highlight w:val="none"/>
        </w:rPr>
        <w:t>签约日期：    年    月    日            签约日期：     年    月    日</w:t>
      </w:r>
    </w:p>
    <w:p>
      <w:pPr>
        <w:spacing w:line="360" w:lineRule="auto"/>
        <w:ind w:right="-447" w:rightChars="-213"/>
        <w:rPr>
          <w:rFonts w:ascii="宋体" w:hAnsi="宋体"/>
          <w:b/>
          <w:color w:val="auto"/>
          <w:sz w:val="24"/>
          <w:highlight w:val="none"/>
        </w:rPr>
      </w:pPr>
      <w:r>
        <w:rPr>
          <w:rFonts w:hint="eastAsia" w:ascii="宋体" w:hAnsi="宋体"/>
          <w:color w:val="auto"/>
          <w:sz w:val="24"/>
          <w:highlight w:val="none"/>
        </w:rPr>
        <w:br w:type="page"/>
      </w:r>
      <w:r>
        <w:rPr>
          <w:rFonts w:hint="eastAsia" w:ascii="宋体" w:hAnsi="宋体"/>
          <w:b/>
          <w:color w:val="auto"/>
          <w:sz w:val="40"/>
          <w:szCs w:val="40"/>
          <w:highlight w:val="none"/>
        </w:rPr>
        <w:t>1.2 中标通知书</w:t>
      </w:r>
    </w:p>
    <w:p>
      <w:pPr>
        <w:widowControl/>
        <w:spacing w:line="360" w:lineRule="auto"/>
        <w:jc w:val="left"/>
        <w:rPr>
          <w:rFonts w:ascii="宋体" w:hAnsi="宋体"/>
          <w:color w:val="auto"/>
          <w:sz w:val="24"/>
          <w:highlight w:val="none"/>
        </w:rPr>
      </w:pPr>
    </w:p>
    <w:p>
      <w:pPr>
        <w:widowControl/>
        <w:spacing w:line="360" w:lineRule="auto"/>
        <w:jc w:val="left"/>
        <w:rPr>
          <w:rFonts w:ascii="宋体" w:hAnsi="宋体"/>
          <w:color w:val="auto"/>
          <w:sz w:val="24"/>
          <w:highlight w:val="none"/>
        </w:rPr>
      </w:pPr>
    </w:p>
    <w:p>
      <w:pPr>
        <w:widowControl/>
        <w:spacing w:line="360" w:lineRule="auto"/>
        <w:jc w:val="left"/>
        <w:rPr>
          <w:rFonts w:ascii="宋体" w:hAnsi="宋体"/>
          <w:color w:val="auto"/>
          <w:sz w:val="24"/>
          <w:highlight w:val="none"/>
        </w:rPr>
      </w:pPr>
    </w:p>
    <w:p>
      <w:pPr>
        <w:widowControl/>
        <w:spacing w:line="360" w:lineRule="auto"/>
        <w:jc w:val="left"/>
        <w:rPr>
          <w:rFonts w:ascii="宋体" w:hAnsi="宋体"/>
          <w:color w:val="auto"/>
          <w:sz w:val="24"/>
          <w:highlight w:val="none"/>
        </w:rPr>
      </w:pPr>
    </w:p>
    <w:p>
      <w:pPr>
        <w:widowControl/>
        <w:spacing w:line="360" w:lineRule="auto"/>
        <w:jc w:val="left"/>
        <w:rPr>
          <w:rFonts w:ascii="宋体" w:hAnsi="宋体"/>
          <w:color w:val="auto"/>
          <w:sz w:val="24"/>
          <w:highlight w:val="none"/>
        </w:rPr>
      </w:pPr>
    </w:p>
    <w:p>
      <w:pPr>
        <w:widowControl/>
        <w:spacing w:line="360" w:lineRule="auto"/>
        <w:jc w:val="left"/>
        <w:rPr>
          <w:rFonts w:ascii="宋体" w:hAnsi="宋体"/>
          <w:color w:val="auto"/>
          <w:sz w:val="24"/>
          <w:highlight w:val="none"/>
        </w:rPr>
      </w:pPr>
    </w:p>
    <w:p>
      <w:pPr>
        <w:widowControl/>
        <w:spacing w:line="360" w:lineRule="auto"/>
        <w:jc w:val="left"/>
        <w:rPr>
          <w:rFonts w:ascii="宋体" w:hAnsi="宋体"/>
          <w:color w:val="auto"/>
          <w:sz w:val="24"/>
          <w:highlight w:val="none"/>
        </w:rPr>
      </w:pPr>
    </w:p>
    <w:p>
      <w:pPr>
        <w:widowControl/>
        <w:spacing w:line="360" w:lineRule="auto"/>
        <w:jc w:val="left"/>
        <w:rPr>
          <w:rFonts w:ascii="宋体" w:hAnsi="宋体"/>
          <w:color w:val="auto"/>
          <w:sz w:val="24"/>
          <w:highlight w:val="none"/>
        </w:rPr>
      </w:pPr>
    </w:p>
    <w:p>
      <w:pPr>
        <w:widowControl/>
        <w:spacing w:line="360" w:lineRule="auto"/>
        <w:jc w:val="left"/>
        <w:rPr>
          <w:rFonts w:ascii="宋体" w:hAnsi="宋体"/>
          <w:color w:val="auto"/>
          <w:sz w:val="24"/>
          <w:highlight w:val="none"/>
        </w:rPr>
      </w:pPr>
    </w:p>
    <w:p>
      <w:pPr>
        <w:widowControl/>
        <w:spacing w:line="360" w:lineRule="auto"/>
        <w:jc w:val="left"/>
        <w:rPr>
          <w:rFonts w:ascii="宋体" w:hAnsi="宋体"/>
          <w:color w:val="auto"/>
          <w:sz w:val="24"/>
          <w:highlight w:val="none"/>
        </w:rPr>
      </w:pPr>
    </w:p>
    <w:p>
      <w:pPr>
        <w:widowControl/>
        <w:spacing w:line="360" w:lineRule="auto"/>
        <w:jc w:val="left"/>
        <w:rPr>
          <w:rFonts w:ascii="宋体" w:hAnsi="宋体"/>
          <w:color w:val="auto"/>
          <w:sz w:val="24"/>
          <w:highlight w:val="none"/>
        </w:rPr>
      </w:pPr>
    </w:p>
    <w:p>
      <w:pPr>
        <w:widowControl/>
        <w:spacing w:line="360" w:lineRule="auto"/>
        <w:jc w:val="left"/>
        <w:rPr>
          <w:rFonts w:ascii="宋体" w:hAnsi="宋体"/>
          <w:color w:val="auto"/>
          <w:sz w:val="24"/>
          <w:highlight w:val="none"/>
        </w:rPr>
      </w:pPr>
    </w:p>
    <w:p>
      <w:pPr>
        <w:widowControl/>
        <w:spacing w:line="360" w:lineRule="auto"/>
        <w:jc w:val="left"/>
        <w:rPr>
          <w:rFonts w:ascii="宋体" w:hAnsi="宋体"/>
          <w:color w:val="auto"/>
          <w:sz w:val="24"/>
          <w:highlight w:val="none"/>
        </w:rPr>
      </w:pPr>
    </w:p>
    <w:p>
      <w:pPr>
        <w:widowControl/>
        <w:spacing w:line="360" w:lineRule="auto"/>
        <w:jc w:val="left"/>
        <w:rPr>
          <w:rFonts w:ascii="宋体" w:hAnsi="宋体"/>
          <w:color w:val="auto"/>
          <w:sz w:val="24"/>
          <w:highlight w:val="none"/>
        </w:rPr>
      </w:pPr>
    </w:p>
    <w:p>
      <w:pPr>
        <w:widowControl/>
        <w:spacing w:line="360" w:lineRule="auto"/>
        <w:jc w:val="left"/>
        <w:rPr>
          <w:rFonts w:ascii="宋体" w:hAnsi="宋体"/>
          <w:color w:val="auto"/>
          <w:sz w:val="24"/>
          <w:highlight w:val="none"/>
        </w:rPr>
      </w:pPr>
    </w:p>
    <w:p>
      <w:pPr>
        <w:widowControl/>
        <w:spacing w:line="360" w:lineRule="auto"/>
        <w:jc w:val="left"/>
        <w:rPr>
          <w:rFonts w:ascii="宋体" w:hAnsi="宋体"/>
          <w:color w:val="auto"/>
          <w:sz w:val="24"/>
          <w:highlight w:val="none"/>
        </w:rPr>
      </w:pPr>
    </w:p>
    <w:p>
      <w:pPr>
        <w:widowControl/>
        <w:spacing w:line="360" w:lineRule="auto"/>
        <w:jc w:val="left"/>
        <w:rPr>
          <w:rFonts w:ascii="宋体" w:hAnsi="宋体"/>
          <w:color w:val="auto"/>
          <w:sz w:val="24"/>
          <w:highlight w:val="none"/>
        </w:rPr>
      </w:pPr>
    </w:p>
    <w:p>
      <w:pPr>
        <w:widowControl/>
        <w:spacing w:line="360" w:lineRule="auto"/>
        <w:jc w:val="left"/>
        <w:rPr>
          <w:rFonts w:ascii="宋体" w:hAnsi="宋体"/>
          <w:color w:val="auto"/>
          <w:sz w:val="24"/>
          <w:highlight w:val="none"/>
        </w:rPr>
      </w:pPr>
    </w:p>
    <w:p>
      <w:pPr>
        <w:widowControl/>
        <w:spacing w:line="360" w:lineRule="auto"/>
        <w:jc w:val="left"/>
        <w:rPr>
          <w:rFonts w:ascii="宋体" w:hAnsi="宋体"/>
          <w:color w:val="auto"/>
          <w:sz w:val="24"/>
          <w:highlight w:val="none"/>
        </w:rPr>
      </w:pPr>
    </w:p>
    <w:p>
      <w:pPr>
        <w:widowControl/>
        <w:spacing w:line="360" w:lineRule="auto"/>
        <w:jc w:val="left"/>
        <w:rPr>
          <w:rFonts w:ascii="宋体" w:hAnsi="宋体"/>
          <w:color w:val="auto"/>
          <w:sz w:val="24"/>
          <w:highlight w:val="none"/>
        </w:rPr>
      </w:pPr>
    </w:p>
    <w:p>
      <w:pPr>
        <w:widowControl/>
        <w:spacing w:line="360" w:lineRule="auto"/>
        <w:jc w:val="left"/>
        <w:rPr>
          <w:rFonts w:ascii="宋体" w:hAnsi="宋体"/>
          <w:color w:val="auto"/>
          <w:sz w:val="24"/>
          <w:highlight w:val="none"/>
        </w:rPr>
      </w:pPr>
    </w:p>
    <w:p>
      <w:pPr>
        <w:widowControl/>
        <w:spacing w:line="360" w:lineRule="auto"/>
        <w:jc w:val="left"/>
        <w:rPr>
          <w:rFonts w:ascii="宋体" w:hAnsi="宋体"/>
          <w:color w:val="auto"/>
          <w:sz w:val="24"/>
          <w:highlight w:val="none"/>
        </w:rPr>
      </w:pPr>
    </w:p>
    <w:p>
      <w:pPr>
        <w:widowControl/>
        <w:spacing w:line="360" w:lineRule="auto"/>
        <w:jc w:val="left"/>
        <w:rPr>
          <w:rFonts w:ascii="宋体" w:hAnsi="宋体"/>
          <w:color w:val="auto"/>
          <w:sz w:val="24"/>
          <w:highlight w:val="none"/>
        </w:rPr>
      </w:pPr>
    </w:p>
    <w:p>
      <w:pPr>
        <w:widowControl/>
        <w:spacing w:line="360" w:lineRule="auto"/>
        <w:jc w:val="left"/>
        <w:rPr>
          <w:rFonts w:ascii="宋体" w:hAnsi="宋体"/>
          <w:color w:val="auto"/>
          <w:sz w:val="24"/>
          <w:highlight w:val="none"/>
        </w:rPr>
      </w:pPr>
    </w:p>
    <w:p>
      <w:pPr>
        <w:widowControl/>
        <w:spacing w:line="360" w:lineRule="auto"/>
        <w:jc w:val="left"/>
        <w:rPr>
          <w:rFonts w:ascii="宋体" w:hAnsi="宋体"/>
          <w:color w:val="auto"/>
          <w:sz w:val="24"/>
          <w:highlight w:val="none"/>
        </w:rPr>
      </w:pPr>
    </w:p>
    <w:p>
      <w:pPr>
        <w:widowControl/>
        <w:spacing w:line="360" w:lineRule="auto"/>
        <w:jc w:val="left"/>
        <w:rPr>
          <w:rFonts w:ascii="宋体" w:hAnsi="宋体"/>
          <w:color w:val="auto"/>
          <w:sz w:val="24"/>
          <w:highlight w:val="none"/>
        </w:rPr>
      </w:pPr>
    </w:p>
    <w:p>
      <w:pPr>
        <w:widowControl/>
        <w:spacing w:line="360" w:lineRule="auto"/>
        <w:jc w:val="left"/>
        <w:rPr>
          <w:rFonts w:ascii="宋体" w:hAnsi="宋体"/>
          <w:color w:val="auto"/>
          <w:sz w:val="24"/>
          <w:highlight w:val="none"/>
        </w:rPr>
      </w:pPr>
    </w:p>
    <w:p>
      <w:pPr>
        <w:widowControl/>
        <w:spacing w:line="360" w:lineRule="auto"/>
        <w:jc w:val="left"/>
        <w:rPr>
          <w:rFonts w:ascii="宋体" w:hAnsi="宋体" w:cs="宋体"/>
          <w:color w:val="auto"/>
          <w:sz w:val="44"/>
          <w:szCs w:val="44"/>
          <w:highlight w:val="none"/>
        </w:rPr>
        <w:sectPr>
          <w:footerReference r:id="rId4" w:type="default"/>
          <w:pgSz w:w="11906" w:h="16838"/>
          <w:pgMar w:top="1440" w:right="1786" w:bottom="1440" w:left="1786" w:header="720" w:footer="720" w:gutter="0"/>
          <w:pgNumType w:start="1"/>
          <w:cols w:space="720" w:num="1"/>
          <w:docGrid w:type="lines" w:linePitch="312" w:charSpace="0"/>
        </w:sectPr>
      </w:pPr>
    </w:p>
    <w:p>
      <w:pPr>
        <w:widowControl/>
        <w:spacing w:line="360" w:lineRule="auto"/>
        <w:jc w:val="left"/>
        <w:rPr>
          <w:rFonts w:ascii="宋体" w:hAnsi="宋体"/>
          <w:b/>
          <w:color w:val="auto"/>
          <w:sz w:val="40"/>
          <w:szCs w:val="40"/>
          <w:highlight w:val="none"/>
        </w:rPr>
      </w:pPr>
      <w:r>
        <w:rPr>
          <w:rFonts w:hint="eastAsia" w:ascii="宋体" w:hAnsi="宋体"/>
          <w:b/>
          <w:color w:val="auto"/>
          <w:sz w:val="40"/>
          <w:szCs w:val="40"/>
          <w:highlight w:val="none"/>
        </w:rPr>
        <w:t>1.3  合同价格表</w:t>
      </w:r>
    </w:p>
    <w:p>
      <w:pPr>
        <w:spacing w:line="360" w:lineRule="auto"/>
        <w:rPr>
          <w:rFonts w:ascii="宋体" w:hAnsi="宋体"/>
          <w:bCs/>
          <w:color w:val="auto"/>
          <w:sz w:val="24"/>
          <w:highlight w:val="none"/>
        </w:rPr>
      </w:pPr>
      <w:r>
        <w:rPr>
          <w:rFonts w:hint="eastAsia" w:ascii="宋体" w:hAnsi="宋体"/>
          <w:bCs/>
          <w:color w:val="auto"/>
          <w:sz w:val="24"/>
          <w:highlight w:val="none"/>
        </w:rPr>
        <w:t>供应商名称：</w:t>
      </w:r>
    </w:p>
    <w:tbl>
      <w:tblPr>
        <w:tblStyle w:val="36"/>
        <w:tblW w:w="14000" w:type="dxa"/>
        <w:tblInd w:w="135" w:type="dxa"/>
        <w:tblLayout w:type="fixed"/>
        <w:tblCellMar>
          <w:top w:w="0" w:type="dxa"/>
          <w:left w:w="108" w:type="dxa"/>
          <w:bottom w:w="0" w:type="dxa"/>
          <w:right w:w="108" w:type="dxa"/>
        </w:tblCellMar>
      </w:tblPr>
      <w:tblGrid>
        <w:gridCol w:w="773"/>
        <w:gridCol w:w="1887"/>
        <w:gridCol w:w="1417"/>
        <w:gridCol w:w="2127"/>
        <w:gridCol w:w="2551"/>
        <w:gridCol w:w="1134"/>
        <w:gridCol w:w="1276"/>
        <w:gridCol w:w="1559"/>
        <w:gridCol w:w="1276"/>
      </w:tblGrid>
      <w:tr>
        <w:trPr>
          <w:cantSplit/>
          <w:trHeight w:val="700" w:hRule="atLeast"/>
        </w:trPr>
        <w:tc>
          <w:tcPr>
            <w:tcW w:w="773" w:type="dxa"/>
            <w:tcBorders>
              <w:top w:val="single" w:color="auto" w:sz="4" w:space="0"/>
              <w:left w:val="single" w:color="auto" w:sz="4" w:space="0"/>
              <w:bottom w:val="single" w:color="auto" w:sz="4" w:space="0"/>
              <w:right w:val="single" w:color="auto" w:sz="4" w:space="0"/>
            </w:tcBorders>
            <w:vAlign w:val="center"/>
          </w:tcPr>
          <w:p>
            <w:pPr>
              <w:jc w:val="center"/>
              <w:rPr>
                <w:rFonts w:ascii="Courier New" w:hAnsi="Courier New" w:cs="Courier New"/>
                <w:bCs/>
                <w:color w:val="auto"/>
                <w:sz w:val="24"/>
                <w:highlight w:val="none"/>
              </w:rPr>
            </w:pPr>
            <w:r>
              <w:rPr>
                <w:rFonts w:hint="eastAsia" w:ascii="宋体" w:hAnsi="宋体"/>
                <w:bCs/>
                <w:color w:val="auto"/>
                <w:sz w:val="24"/>
                <w:highlight w:val="none"/>
              </w:rPr>
              <w:t>序号</w:t>
            </w:r>
          </w:p>
        </w:tc>
        <w:tc>
          <w:tcPr>
            <w:tcW w:w="1887" w:type="dxa"/>
            <w:tcBorders>
              <w:top w:val="single" w:color="auto" w:sz="4" w:space="0"/>
              <w:left w:val="nil"/>
              <w:bottom w:val="single" w:color="auto" w:sz="4" w:space="0"/>
              <w:right w:val="single" w:color="auto" w:sz="4" w:space="0"/>
            </w:tcBorders>
            <w:vAlign w:val="center"/>
          </w:tcPr>
          <w:p>
            <w:pPr>
              <w:jc w:val="center"/>
              <w:rPr>
                <w:rFonts w:ascii="Courier New" w:hAnsi="Courier New" w:cs="Courier New"/>
                <w:bCs/>
                <w:color w:val="auto"/>
                <w:sz w:val="24"/>
                <w:highlight w:val="none"/>
              </w:rPr>
            </w:pPr>
            <w:r>
              <w:rPr>
                <w:rFonts w:hint="eastAsia" w:ascii="宋体" w:hAnsi="宋体"/>
                <w:bCs/>
                <w:color w:val="auto"/>
                <w:sz w:val="24"/>
                <w:highlight w:val="none"/>
              </w:rPr>
              <w:t>产品</w:t>
            </w:r>
            <w:r>
              <w:rPr>
                <w:bCs/>
                <w:color w:val="auto"/>
                <w:sz w:val="24"/>
                <w:highlight w:val="none"/>
              </w:rPr>
              <w:t>名称</w:t>
            </w:r>
          </w:p>
        </w:tc>
        <w:tc>
          <w:tcPr>
            <w:tcW w:w="1417" w:type="dxa"/>
            <w:tcBorders>
              <w:top w:val="single" w:color="auto" w:sz="4" w:space="0"/>
              <w:left w:val="nil"/>
              <w:bottom w:val="single" w:color="auto" w:sz="4" w:space="0"/>
              <w:right w:val="single" w:color="auto" w:sz="4" w:space="0"/>
            </w:tcBorders>
            <w:vAlign w:val="center"/>
          </w:tcPr>
          <w:p>
            <w:pPr>
              <w:jc w:val="center"/>
              <w:rPr>
                <w:rFonts w:ascii="Courier New" w:hAnsi="Courier New" w:cs="Courier New"/>
                <w:bCs/>
                <w:color w:val="auto"/>
                <w:sz w:val="24"/>
                <w:highlight w:val="none"/>
              </w:rPr>
            </w:pPr>
            <w:r>
              <w:rPr>
                <w:rFonts w:hint="eastAsia" w:ascii="宋体" w:hAnsi="宋体"/>
                <w:bCs/>
                <w:color w:val="auto"/>
                <w:sz w:val="24"/>
                <w:highlight w:val="none"/>
              </w:rPr>
              <w:t>品牌</w:t>
            </w:r>
          </w:p>
        </w:tc>
        <w:tc>
          <w:tcPr>
            <w:tcW w:w="2127" w:type="dxa"/>
            <w:tcBorders>
              <w:top w:val="single" w:color="auto" w:sz="4" w:space="0"/>
              <w:left w:val="nil"/>
              <w:bottom w:val="single" w:color="auto" w:sz="4" w:space="0"/>
              <w:right w:val="single" w:color="auto" w:sz="4" w:space="0"/>
            </w:tcBorders>
            <w:vAlign w:val="center"/>
          </w:tcPr>
          <w:p>
            <w:pPr>
              <w:jc w:val="center"/>
              <w:rPr>
                <w:rFonts w:ascii="Courier New" w:hAnsi="Courier New" w:cs="Courier New"/>
                <w:bCs/>
                <w:color w:val="auto"/>
                <w:sz w:val="24"/>
                <w:highlight w:val="none"/>
              </w:rPr>
            </w:pPr>
            <w:r>
              <w:rPr>
                <w:rFonts w:hint="eastAsia" w:ascii="宋体" w:hAnsi="宋体"/>
                <w:bCs/>
                <w:color w:val="auto"/>
                <w:sz w:val="24"/>
                <w:highlight w:val="none"/>
              </w:rPr>
              <w:t>规格</w:t>
            </w:r>
            <w:r>
              <w:rPr>
                <w:bCs/>
                <w:color w:val="auto"/>
                <w:sz w:val="24"/>
                <w:highlight w:val="none"/>
              </w:rPr>
              <w:t>型号</w:t>
            </w:r>
          </w:p>
        </w:tc>
        <w:tc>
          <w:tcPr>
            <w:tcW w:w="2551" w:type="dxa"/>
            <w:tcBorders>
              <w:top w:val="single" w:color="auto" w:sz="4" w:space="0"/>
              <w:left w:val="nil"/>
              <w:bottom w:val="single" w:color="auto" w:sz="4" w:space="0"/>
              <w:right w:val="single" w:color="auto" w:sz="4" w:space="0"/>
            </w:tcBorders>
            <w:vAlign w:val="center"/>
          </w:tcPr>
          <w:p>
            <w:pPr>
              <w:jc w:val="center"/>
              <w:rPr>
                <w:rFonts w:ascii="Courier New" w:hAnsi="Courier New" w:cs="Courier New"/>
                <w:bCs/>
                <w:color w:val="auto"/>
                <w:sz w:val="24"/>
                <w:highlight w:val="none"/>
              </w:rPr>
            </w:pPr>
            <w:r>
              <w:rPr>
                <w:rFonts w:hint="eastAsia" w:ascii="宋体" w:hAnsi="宋体"/>
                <w:bCs/>
                <w:color w:val="auto"/>
                <w:sz w:val="24"/>
                <w:highlight w:val="none"/>
              </w:rPr>
              <w:t>生产</w:t>
            </w:r>
            <w:r>
              <w:rPr>
                <w:bCs/>
                <w:color w:val="auto"/>
                <w:sz w:val="24"/>
                <w:highlight w:val="none"/>
              </w:rPr>
              <w:t>厂家</w:t>
            </w:r>
          </w:p>
        </w:tc>
        <w:tc>
          <w:tcPr>
            <w:tcW w:w="1134" w:type="dxa"/>
            <w:tcBorders>
              <w:top w:val="single" w:color="auto" w:sz="4" w:space="0"/>
              <w:left w:val="nil"/>
              <w:bottom w:val="single" w:color="auto" w:sz="4" w:space="0"/>
              <w:right w:val="single" w:color="auto" w:sz="4" w:space="0"/>
            </w:tcBorders>
            <w:vAlign w:val="center"/>
          </w:tcPr>
          <w:p>
            <w:pPr>
              <w:jc w:val="center"/>
              <w:rPr>
                <w:rFonts w:ascii="Courier New" w:hAnsi="Courier New" w:cs="Courier New"/>
                <w:bCs/>
                <w:color w:val="auto"/>
                <w:sz w:val="24"/>
                <w:highlight w:val="none"/>
              </w:rPr>
            </w:pPr>
            <w:r>
              <w:rPr>
                <w:rFonts w:hint="eastAsia" w:ascii="宋体" w:hAnsi="宋体"/>
                <w:bCs/>
                <w:color w:val="auto"/>
                <w:sz w:val="24"/>
                <w:highlight w:val="none"/>
              </w:rPr>
              <w:t>数量及单位</w:t>
            </w:r>
          </w:p>
        </w:tc>
        <w:tc>
          <w:tcPr>
            <w:tcW w:w="1276" w:type="dxa"/>
            <w:tcBorders>
              <w:top w:val="single" w:color="auto" w:sz="4" w:space="0"/>
              <w:left w:val="nil"/>
              <w:bottom w:val="single" w:color="auto" w:sz="4" w:space="0"/>
              <w:right w:val="single" w:color="auto" w:sz="4" w:space="0"/>
            </w:tcBorders>
            <w:vAlign w:val="center"/>
          </w:tcPr>
          <w:p>
            <w:pPr>
              <w:jc w:val="center"/>
              <w:rPr>
                <w:rFonts w:ascii="Courier New" w:hAnsi="Courier New" w:cs="Courier New"/>
                <w:bCs/>
                <w:color w:val="auto"/>
                <w:sz w:val="24"/>
                <w:highlight w:val="none"/>
              </w:rPr>
            </w:pPr>
            <w:r>
              <w:rPr>
                <w:rFonts w:hint="eastAsia" w:ascii="宋体" w:hAnsi="宋体"/>
                <w:bCs/>
                <w:color w:val="auto"/>
                <w:sz w:val="24"/>
                <w:highlight w:val="none"/>
              </w:rPr>
              <w:t>单价（元）</w:t>
            </w:r>
          </w:p>
        </w:tc>
        <w:tc>
          <w:tcPr>
            <w:tcW w:w="1559" w:type="dxa"/>
            <w:tcBorders>
              <w:top w:val="single" w:color="auto" w:sz="4" w:space="0"/>
              <w:left w:val="nil"/>
              <w:bottom w:val="single" w:color="auto" w:sz="4" w:space="0"/>
              <w:right w:val="single" w:color="auto" w:sz="4" w:space="0"/>
            </w:tcBorders>
            <w:vAlign w:val="center"/>
          </w:tcPr>
          <w:p>
            <w:pPr>
              <w:jc w:val="center"/>
              <w:rPr>
                <w:rFonts w:ascii="Courier New" w:hAnsi="Courier New" w:cs="Courier New"/>
                <w:bCs/>
                <w:color w:val="auto"/>
                <w:sz w:val="24"/>
                <w:highlight w:val="none"/>
              </w:rPr>
            </w:pPr>
            <w:r>
              <w:rPr>
                <w:bCs/>
                <w:color w:val="auto"/>
                <w:sz w:val="24"/>
                <w:highlight w:val="none"/>
              </w:rPr>
              <w:t>合计</w:t>
            </w:r>
            <w:r>
              <w:rPr>
                <w:rFonts w:hint="eastAsia" w:ascii="宋体" w:hAnsi="宋体"/>
                <w:bCs/>
                <w:color w:val="auto"/>
                <w:sz w:val="24"/>
                <w:highlight w:val="none"/>
              </w:rPr>
              <w:t>（元）</w:t>
            </w:r>
          </w:p>
        </w:tc>
        <w:tc>
          <w:tcPr>
            <w:tcW w:w="1276" w:type="dxa"/>
            <w:tcBorders>
              <w:top w:val="single" w:color="auto" w:sz="4" w:space="0"/>
              <w:left w:val="nil"/>
              <w:bottom w:val="single" w:color="auto" w:sz="4" w:space="0"/>
              <w:right w:val="single" w:color="auto" w:sz="4" w:space="0"/>
            </w:tcBorders>
            <w:vAlign w:val="center"/>
          </w:tcPr>
          <w:p>
            <w:pPr>
              <w:jc w:val="center"/>
              <w:rPr>
                <w:rFonts w:ascii="Courier New" w:hAnsi="Courier New" w:cs="Courier New"/>
                <w:bCs/>
                <w:color w:val="auto"/>
                <w:sz w:val="24"/>
                <w:highlight w:val="none"/>
              </w:rPr>
            </w:pPr>
            <w:r>
              <w:rPr>
                <w:bCs/>
                <w:color w:val="auto"/>
                <w:sz w:val="24"/>
                <w:highlight w:val="none"/>
              </w:rPr>
              <w:t>免费质保期</w:t>
            </w:r>
          </w:p>
        </w:tc>
      </w:tr>
      <w:tr>
        <w:tblPrEx>
          <w:tblCellMar>
            <w:top w:w="0" w:type="dxa"/>
            <w:left w:w="108" w:type="dxa"/>
            <w:bottom w:w="0" w:type="dxa"/>
            <w:right w:w="108" w:type="dxa"/>
          </w:tblCellMar>
        </w:tblPrEx>
        <w:trPr>
          <w:cantSplit/>
          <w:trHeight w:val="590" w:hRule="atLeast"/>
        </w:trPr>
        <w:tc>
          <w:tcPr>
            <w:tcW w:w="773" w:type="dxa"/>
            <w:tcBorders>
              <w:top w:val="single" w:color="auto" w:sz="4" w:space="0"/>
              <w:left w:val="single" w:color="auto" w:sz="4" w:space="0"/>
              <w:bottom w:val="single" w:color="auto" w:sz="4" w:space="0"/>
              <w:right w:val="single" w:color="auto" w:sz="4" w:space="0"/>
            </w:tcBorders>
          </w:tcPr>
          <w:p>
            <w:pPr>
              <w:jc w:val="center"/>
              <w:rPr>
                <w:rFonts w:ascii="Courier New" w:hAnsi="Courier New" w:cs="Courier New"/>
                <w:color w:val="auto"/>
                <w:sz w:val="24"/>
                <w:highlight w:val="none"/>
              </w:rPr>
            </w:pPr>
          </w:p>
        </w:tc>
        <w:tc>
          <w:tcPr>
            <w:tcW w:w="1887" w:type="dxa"/>
            <w:tcBorders>
              <w:top w:val="single" w:color="auto" w:sz="4" w:space="0"/>
              <w:left w:val="nil"/>
              <w:bottom w:val="single" w:color="auto" w:sz="4" w:space="0"/>
              <w:right w:val="single" w:color="auto" w:sz="4" w:space="0"/>
            </w:tcBorders>
            <w:vAlign w:val="center"/>
          </w:tcPr>
          <w:p>
            <w:pPr>
              <w:jc w:val="center"/>
              <w:rPr>
                <w:rFonts w:ascii="Courier New" w:hAnsi="Courier New" w:cs="Courier New"/>
                <w:color w:val="auto"/>
                <w:sz w:val="24"/>
                <w:highlight w:val="none"/>
              </w:rPr>
            </w:pPr>
          </w:p>
        </w:tc>
        <w:tc>
          <w:tcPr>
            <w:tcW w:w="1417" w:type="dxa"/>
            <w:tcBorders>
              <w:top w:val="single" w:color="auto" w:sz="4" w:space="0"/>
              <w:left w:val="nil"/>
              <w:bottom w:val="single" w:color="auto" w:sz="4" w:space="0"/>
              <w:right w:val="single" w:color="auto" w:sz="4" w:space="0"/>
            </w:tcBorders>
            <w:vAlign w:val="center"/>
          </w:tcPr>
          <w:p>
            <w:pPr>
              <w:jc w:val="center"/>
              <w:rPr>
                <w:rFonts w:ascii="Courier New" w:hAnsi="Courier New" w:cs="Courier New"/>
                <w:color w:val="auto"/>
                <w:sz w:val="24"/>
                <w:highlight w:val="none"/>
              </w:rPr>
            </w:pPr>
          </w:p>
        </w:tc>
        <w:tc>
          <w:tcPr>
            <w:tcW w:w="2127" w:type="dxa"/>
            <w:tcBorders>
              <w:top w:val="single" w:color="auto" w:sz="4" w:space="0"/>
              <w:left w:val="nil"/>
              <w:bottom w:val="single" w:color="auto" w:sz="4" w:space="0"/>
              <w:right w:val="single" w:color="auto" w:sz="4" w:space="0"/>
            </w:tcBorders>
            <w:vAlign w:val="center"/>
          </w:tcPr>
          <w:p>
            <w:pPr>
              <w:jc w:val="center"/>
              <w:rPr>
                <w:rFonts w:ascii="Courier New" w:hAnsi="Courier New" w:cs="Courier New"/>
                <w:color w:val="auto"/>
                <w:sz w:val="24"/>
                <w:highlight w:val="none"/>
              </w:rPr>
            </w:pPr>
          </w:p>
        </w:tc>
        <w:tc>
          <w:tcPr>
            <w:tcW w:w="2551" w:type="dxa"/>
            <w:tcBorders>
              <w:top w:val="single" w:color="auto" w:sz="4" w:space="0"/>
              <w:left w:val="nil"/>
              <w:bottom w:val="single" w:color="auto" w:sz="4" w:space="0"/>
              <w:right w:val="single" w:color="auto" w:sz="4" w:space="0"/>
            </w:tcBorders>
            <w:vAlign w:val="center"/>
          </w:tcPr>
          <w:p>
            <w:pPr>
              <w:jc w:val="center"/>
              <w:rPr>
                <w:rFonts w:ascii="Courier New" w:hAnsi="Courier New" w:cs="Courier New"/>
                <w:color w:val="auto"/>
                <w:sz w:val="24"/>
                <w:highlight w:val="none"/>
              </w:rPr>
            </w:pPr>
          </w:p>
        </w:tc>
        <w:tc>
          <w:tcPr>
            <w:tcW w:w="1134" w:type="dxa"/>
            <w:tcBorders>
              <w:top w:val="single" w:color="auto" w:sz="4" w:space="0"/>
              <w:left w:val="nil"/>
              <w:bottom w:val="single" w:color="auto" w:sz="4" w:space="0"/>
              <w:right w:val="single" w:color="auto" w:sz="4" w:space="0"/>
            </w:tcBorders>
            <w:vAlign w:val="center"/>
          </w:tcPr>
          <w:p>
            <w:pPr>
              <w:widowControl/>
              <w:jc w:val="center"/>
              <w:textAlignment w:val="center"/>
              <w:rPr>
                <w:rFonts w:ascii="Courier New" w:hAnsi="Courier New" w:cs="Courier New"/>
                <w:color w:val="auto"/>
                <w:sz w:val="24"/>
                <w:highlight w:val="none"/>
              </w:rPr>
            </w:pPr>
          </w:p>
        </w:tc>
        <w:tc>
          <w:tcPr>
            <w:tcW w:w="1276" w:type="dxa"/>
            <w:tcBorders>
              <w:top w:val="single" w:color="auto" w:sz="4" w:space="0"/>
              <w:left w:val="nil"/>
              <w:bottom w:val="single" w:color="auto" w:sz="4" w:space="0"/>
              <w:right w:val="single" w:color="auto" w:sz="4" w:space="0"/>
            </w:tcBorders>
            <w:vAlign w:val="center"/>
          </w:tcPr>
          <w:p>
            <w:pPr>
              <w:jc w:val="center"/>
              <w:textAlignment w:val="center"/>
              <w:rPr>
                <w:rFonts w:ascii="Courier New" w:hAnsi="Courier New" w:cs="Courier New"/>
                <w:color w:val="auto"/>
                <w:sz w:val="24"/>
                <w:highlight w:val="none"/>
              </w:rPr>
            </w:pPr>
          </w:p>
        </w:tc>
        <w:tc>
          <w:tcPr>
            <w:tcW w:w="1559" w:type="dxa"/>
            <w:tcBorders>
              <w:top w:val="single" w:color="auto" w:sz="4" w:space="0"/>
              <w:left w:val="nil"/>
              <w:bottom w:val="single" w:color="auto" w:sz="4" w:space="0"/>
              <w:right w:val="single" w:color="auto" w:sz="4" w:space="0"/>
            </w:tcBorders>
            <w:vAlign w:val="center"/>
          </w:tcPr>
          <w:p>
            <w:pPr>
              <w:jc w:val="center"/>
              <w:textAlignment w:val="center"/>
              <w:rPr>
                <w:rFonts w:ascii="Courier New" w:hAnsi="Courier New" w:cs="Courier New"/>
                <w:color w:val="auto"/>
                <w:sz w:val="24"/>
                <w:highlight w:val="none"/>
              </w:rPr>
            </w:pPr>
          </w:p>
        </w:tc>
        <w:tc>
          <w:tcPr>
            <w:tcW w:w="1276" w:type="dxa"/>
            <w:tcBorders>
              <w:top w:val="single" w:color="auto" w:sz="4" w:space="0"/>
              <w:left w:val="nil"/>
              <w:bottom w:val="single" w:color="auto" w:sz="4" w:space="0"/>
              <w:right w:val="single" w:color="auto" w:sz="4" w:space="0"/>
            </w:tcBorders>
            <w:vAlign w:val="center"/>
          </w:tcPr>
          <w:p>
            <w:pPr>
              <w:widowControl/>
              <w:jc w:val="center"/>
              <w:textAlignment w:val="center"/>
              <w:rPr>
                <w:rFonts w:ascii="Courier New" w:hAnsi="Courier New" w:cs="Courier New"/>
                <w:color w:val="auto"/>
                <w:sz w:val="24"/>
                <w:highlight w:val="none"/>
              </w:rPr>
            </w:pPr>
          </w:p>
        </w:tc>
      </w:tr>
      <w:tr>
        <w:tblPrEx>
          <w:tblCellMar>
            <w:top w:w="0" w:type="dxa"/>
            <w:left w:w="108" w:type="dxa"/>
            <w:bottom w:w="0" w:type="dxa"/>
            <w:right w:w="108" w:type="dxa"/>
          </w:tblCellMar>
        </w:tblPrEx>
        <w:trPr>
          <w:cantSplit/>
          <w:trHeight w:val="664" w:hRule="atLeast"/>
        </w:trPr>
        <w:tc>
          <w:tcPr>
            <w:tcW w:w="773" w:type="dxa"/>
            <w:tcBorders>
              <w:top w:val="single" w:color="auto" w:sz="4" w:space="0"/>
              <w:left w:val="single" w:color="auto" w:sz="4" w:space="0"/>
              <w:bottom w:val="single" w:color="auto" w:sz="4" w:space="0"/>
              <w:right w:val="single" w:color="auto" w:sz="4" w:space="0"/>
            </w:tcBorders>
          </w:tcPr>
          <w:p>
            <w:pPr>
              <w:jc w:val="center"/>
              <w:rPr>
                <w:rFonts w:ascii="Courier New" w:hAnsi="Courier New" w:cs="Courier New"/>
                <w:color w:val="auto"/>
                <w:sz w:val="24"/>
                <w:highlight w:val="none"/>
              </w:rPr>
            </w:pPr>
          </w:p>
        </w:tc>
        <w:tc>
          <w:tcPr>
            <w:tcW w:w="1887" w:type="dxa"/>
            <w:tcBorders>
              <w:top w:val="single" w:color="auto" w:sz="4" w:space="0"/>
              <w:left w:val="nil"/>
              <w:bottom w:val="single" w:color="auto" w:sz="4" w:space="0"/>
              <w:right w:val="single" w:color="auto" w:sz="4" w:space="0"/>
            </w:tcBorders>
            <w:vAlign w:val="center"/>
          </w:tcPr>
          <w:p>
            <w:pPr>
              <w:jc w:val="center"/>
              <w:rPr>
                <w:rFonts w:ascii="Courier New" w:hAnsi="Courier New" w:cs="Courier New"/>
                <w:color w:val="auto"/>
                <w:sz w:val="24"/>
                <w:highlight w:val="none"/>
              </w:rPr>
            </w:pPr>
          </w:p>
        </w:tc>
        <w:tc>
          <w:tcPr>
            <w:tcW w:w="1417" w:type="dxa"/>
            <w:tcBorders>
              <w:top w:val="single" w:color="auto" w:sz="4" w:space="0"/>
              <w:left w:val="nil"/>
              <w:bottom w:val="single" w:color="auto" w:sz="4" w:space="0"/>
              <w:right w:val="single" w:color="auto" w:sz="4" w:space="0"/>
            </w:tcBorders>
            <w:vAlign w:val="center"/>
          </w:tcPr>
          <w:p>
            <w:pPr>
              <w:jc w:val="center"/>
              <w:rPr>
                <w:rFonts w:ascii="Courier New" w:hAnsi="Courier New" w:cs="Courier New"/>
                <w:color w:val="auto"/>
                <w:sz w:val="24"/>
                <w:highlight w:val="none"/>
              </w:rPr>
            </w:pPr>
          </w:p>
        </w:tc>
        <w:tc>
          <w:tcPr>
            <w:tcW w:w="2127" w:type="dxa"/>
            <w:tcBorders>
              <w:top w:val="single" w:color="auto" w:sz="4" w:space="0"/>
              <w:left w:val="nil"/>
              <w:bottom w:val="single" w:color="auto" w:sz="4" w:space="0"/>
              <w:right w:val="single" w:color="auto" w:sz="4" w:space="0"/>
            </w:tcBorders>
            <w:vAlign w:val="center"/>
          </w:tcPr>
          <w:p>
            <w:pPr>
              <w:jc w:val="center"/>
              <w:rPr>
                <w:rFonts w:ascii="Courier New" w:hAnsi="Courier New" w:cs="Courier New"/>
                <w:color w:val="auto"/>
                <w:sz w:val="24"/>
                <w:highlight w:val="none"/>
              </w:rPr>
            </w:pPr>
          </w:p>
        </w:tc>
        <w:tc>
          <w:tcPr>
            <w:tcW w:w="2551" w:type="dxa"/>
            <w:tcBorders>
              <w:top w:val="single" w:color="auto" w:sz="4" w:space="0"/>
              <w:left w:val="nil"/>
              <w:bottom w:val="single" w:color="auto" w:sz="4" w:space="0"/>
              <w:right w:val="single" w:color="auto" w:sz="4" w:space="0"/>
            </w:tcBorders>
            <w:vAlign w:val="center"/>
          </w:tcPr>
          <w:p>
            <w:pPr>
              <w:jc w:val="center"/>
              <w:rPr>
                <w:rFonts w:ascii="Courier New" w:hAnsi="Courier New" w:cs="Courier New"/>
                <w:color w:val="auto"/>
                <w:sz w:val="24"/>
                <w:highlight w:val="none"/>
              </w:rPr>
            </w:pPr>
          </w:p>
        </w:tc>
        <w:tc>
          <w:tcPr>
            <w:tcW w:w="1134" w:type="dxa"/>
            <w:tcBorders>
              <w:top w:val="single" w:color="auto" w:sz="4" w:space="0"/>
              <w:left w:val="nil"/>
              <w:bottom w:val="single" w:color="auto" w:sz="4" w:space="0"/>
              <w:right w:val="single" w:color="auto" w:sz="4" w:space="0"/>
            </w:tcBorders>
            <w:vAlign w:val="center"/>
          </w:tcPr>
          <w:p>
            <w:pPr>
              <w:widowControl/>
              <w:jc w:val="center"/>
              <w:textAlignment w:val="center"/>
              <w:rPr>
                <w:rFonts w:ascii="Courier New" w:hAnsi="Courier New" w:cs="Courier New"/>
                <w:color w:val="auto"/>
                <w:sz w:val="24"/>
                <w:highlight w:val="none"/>
              </w:rPr>
            </w:pPr>
          </w:p>
        </w:tc>
        <w:tc>
          <w:tcPr>
            <w:tcW w:w="1276" w:type="dxa"/>
            <w:tcBorders>
              <w:top w:val="single" w:color="auto" w:sz="4" w:space="0"/>
              <w:left w:val="nil"/>
              <w:bottom w:val="single" w:color="auto" w:sz="4" w:space="0"/>
              <w:right w:val="single" w:color="auto" w:sz="4" w:space="0"/>
            </w:tcBorders>
            <w:vAlign w:val="center"/>
          </w:tcPr>
          <w:p>
            <w:pPr>
              <w:jc w:val="center"/>
              <w:textAlignment w:val="center"/>
              <w:rPr>
                <w:rFonts w:ascii="Courier New" w:hAnsi="Courier New" w:cs="Courier New"/>
                <w:color w:val="auto"/>
                <w:sz w:val="24"/>
                <w:highlight w:val="none"/>
              </w:rPr>
            </w:pPr>
          </w:p>
        </w:tc>
        <w:tc>
          <w:tcPr>
            <w:tcW w:w="1559" w:type="dxa"/>
            <w:tcBorders>
              <w:top w:val="single" w:color="auto" w:sz="4" w:space="0"/>
              <w:left w:val="nil"/>
              <w:bottom w:val="single" w:color="auto" w:sz="4" w:space="0"/>
              <w:right w:val="single" w:color="auto" w:sz="4" w:space="0"/>
            </w:tcBorders>
            <w:vAlign w:val="center"/>
          </w:tcPr>
          <w:p>
            <w:pPr>
              <w:jc w:val="center"/>
              <w:textAlignment w:val="center"/>
              <w:rPr>
                <w:rFonts w:ascii="Courier New" w:hAnsi="Courier New" w:cs="Courier New"/>
                <w:color w:val="auto"/>
                <w:sz w:val="24"/>
                <w:highlight w:val="none"/>
              </w:rPr>
            </w:pPr>
          </w:p>
        </w:tc>
        <w:tc>
          <w:tcPr>
            <w:tcW w:w="1276" w:type="dxa"/>
            <w:tcBorders>
              <w:top w:val="single" w:color="auto" w:sz="4" w:space="0"/>
              <w:left w:val="nil"/>
              <w:bottom w:val="single" w:color="auto" w:sz="4" w:space="0"/>
              <w:right w:val="single" w:color="auto" w:sz="4" w:space="0"/>
            </w:tcBorders>
            <w:vAlign w:val="center"/>
          </w:tcPr>
          <w:p>
            <w:pPr>
              <w:widowControl/>
              <w:jc w:val="center"/>
              <w:textAlignment w:val="center"/>
              <w:rPr>
                <w:rFonts w:ascii="Courier New" w:hAnsi="Courier New" w:cs="Courier New"/>
                <w:color w:val="auto"/>
                <w:sz w:val="24"/>
                <w:highlight w:val="none"/>
              </w:rPr>
            </w:pPr>
          </w:p>
        </w:tc>
      </w:tr>
      <w:tr>
        <w:tblPrEx>
          <w:tblCellMar>
            <w:top w:w="0" w:type="dxa"/>
            <w:left w:w="108" w:type="dxa"/>
            <w:bottom w:w="0" w:type="dxa"/>
            <w:right w:w="108" w:type="dxa"/>
          </w:tblCellMar>
        </w:tblPrEx>
        <w:trPr>
          <w:cantSplit/>
          <w:trHeight w:val="664" w:hRule="atLeast"/>
        </w:trPr>
        <w:tc>
          <w:tcPr>
            <w:tcW w:w="773" w:type="dxa"/>
            <w:tcBorders>
              <w:top w:val="single" w:color="auto" w:sz="4" w:space="0"/>
              <w:left w:val="single" w:color="auto" w:sz="4" w:space="0"/>
              <w:bottom w:val="single" w:color="auto" w:sz="4" w:space="0"/>
              <w:right w:val="single" w:color="auto" w:sz="4" w:space="0"/>
            </w:tcBorders>
          </w:tcPr>
          <w:p>
            <w:pPr>
              <w:jc w:val="center"/>
              <w:rPr>
                <w:rFonts w:ascii="Courier New" w:hAnsi="Courier New" w:cs="Courier New"/>
                <w:color w:val="auto"/>
                <w:sz w:val="24"/>
                <w:highlight w:val="none"/>
              </w:rPr>
            </w:pPr>
          </w:p>
        </w:tc>
        <w:tc>
          <w:tcPr>
            <w:tcW w:w="1887" w:type="dxa"/>
            <w:tcBorders>
              <w:top w:val="single" w:color="auto" w:sz="4" w:space="0"/>
              <w:left w:val="nil"/>
              <w:bottom w:val="single" w:color="auto" w:sz="4" w:space="0"/>
              <w:right w:val="single" w:color="auto" w:sz="4" w:space="0"/>
            </w:tcBorders>
            <w:vAlign w:val="center"/>
          </w:tcPr>
          <w:p>
            <w:pPr>
              <w:jc w:val="center"/>
              <w:rPr>
                <w:rFonts w:ascii="Courier New" w:hAnsi="Courier New" w:cs="Courier New"/>
                <w:color w:val="auto"/>
                <w:sz w:val="24"/>
                <w:highlight w:val="none"/>
              </w:rPr>
            </w:pPr>
          </w:p>
        </w:tc>
        <w:tc>
          <w:tcPr>
            <w:tcW w:w="1417" w:type="dxa"/>
            <w:tcBorders>
              <w:top w:val="single" w:color="auto" w:sz="4" w:space="0"/>
              <w:left w:val="nil"/>
              <w:bottom w:val="single" w:color="auto" w:sz="4" w:space="0"/>
              <w:right w:val="single" w:color="auto" w:sz="4" w:space="0"/>
            </w:tcBorders>
            <w:vAlign w:val="center"/>
          </w:tcPr>
          <w:p>
            <w:pPr>
              <w:jc w:val="center"/>
              <w:rPr>
                <w:rFonts w:ascii="Courier New" w:hAnsi="Courier New" w:cs="Courier New"/>
                <w:color w:val="auto"/>
                <w:sz w:val="24"/>
                <w:highlight w:val="none"/>
              </w:rPr>
            </w:pPr>
          </w:p>
        </w:tc>
        <w:tc>
          <w:tcPr>
            <w:tcW w:w="2127" w:type="dxa"/>
            <w:tcBorders>
              <w:top w:val="single" w:color="auto" w:sz="4" w:space="0"/>
              <w:left w:val="nil"/>
              <w:bottom w:val="single" w:color="auto" w:sz="4" w:space="0"/>
              <w:right w:val="single" w:color="auto" w:sz="4" w:space="0"/>
            </w:tcBorders>
            <w:vAlign w:val="center"/>
          </w:tcPr>
          <w:p>
            <w:pPr>
              <w:pStyle w:val="34"/>
              <w:spacing w:beforeAutospacing="0" w:afterAutospacing="0" w:line="390" w:lineRule="atLeast"/>
              <w:jc w:val="center"/>
              <w:rPr>
                <w:rFonts w:ascii="Courier New" w:hAnsi="Courier New" w:cs="Courier New"/>
                <w:color w:val="auto"/>
                <w:kern w:val="2"/>
                <w:highlight w:val="none"/>
              </w:rPr>
            </w:pPr>
          </w:p>
        </w:tc>
        <w:tc>
          <w:tcPr>
            <w:tcW w:w="2551" w:type="dxa"/>
            <w:tcBorders>
              <w:top w:val="single" w:color="auto" w:sz="4" w:space="0"/>
              <w:left w:val="nil"/>
              <w:bottom w:val="single" w:color="auto" w:sz="4" w:space="0"/>
              <w:right w:val="single" w:color="auto" w:sz="4" w:space="0"/>
            </w:tcBorders>
            <w:vAlign w:val="center"/>
          </w:tcPr>
          <w:p>
            <w:pPr>
              <w:jc w:val="center"/>
              <w:rPr>
                <w:rFonts w:ascii="Courier New" w:hAnsi="Courier New" w:cs="Courier New"/>
                <w:color w:val="auto"/>
                <w:sz w:val="24"/>
                <w:highlight w:val="none"/>
              </w:rPr>
            </w:pPr>
          </w:p>
        </w:tc>
        <w:tc>
          <w:tcPr>
            <w:tcW w:w="1134" w:type="dxa"/>
            <w:tcBorders>
              <w:top w:val="single" w:color="auto" w:sz="4" w:space="0"/>
              <w:left w:val="nil"/>
              <w:bottom w:val="single" w:color="auto" w:sz="4" w:space="0"/>
              <w:right w:val="single" w:color="auto" w:sz="4" w:space="0"/>
            </w:tcBorders>
            <w:vAlign w:val="center"/>
          </w:tcPr>
          <w:p>
            <w:pPr>
              <w:widowControl/>
              <w:jc w:val="center"/>
              <w:textAlignment w:val="center"/>
              <w:rPr>
                <w:rFonts w:ascii="Courier New" w:hAnsi="Courier New" w:cs="Courier New"/>
                <w:color w:val="auto"/>
                <w:sz w:val="24"/>
                <w:highlight w:val="none"/>
              </w:rPr>
            </w:pPr>
          </w:p>
        </w:tc>
        <w:tc>
          <w:tcPr>
            <w:tcW w:w="1276" w:type="dxa"/>
            <w:tcBorders>
              <w:top w:val="single" w:color="auto" w:sz="4" w:space="0"/>
              <w:left w:val="nil"/>
              <w:bottom w:val="single" w:color="auto" w:sz="4" w:space="0"/>
              <w:right w:val="single" w:color="auto" w:sz="4" w:space="0"/>
            </w:tcBorders>
            <w:vAlign w:val="center"/>
          </w:tcPr>
          <w:p>
            <w:pPr>
              <w:jc w:val="center"/>
              <w:textAlignment w:val="center"/>
              <w:rPr>
                <w:rFonts w:ascii="Courier New" w:hAnsi="Courier New" w:cs="Courier New"/>
                <w:color w:val="auto"/>
                <w:sz w:val="24"/>
                <w:highlight w:val="none"/>
              </w:rPr>
            </w:pPr>
          </w:p>
        </w:tc>
        <w:tc>
          <w:tcPr>
            <w:tcW w:w="1559" w:type="dxa"/>
            <w:tcBorders>
              <w:top w:val="single" w:color="auto" w:sz="4" w:space="0"/>
              <w:left w:val="nil"/>
              <w:bottom w:val="single" w:color="auto" w:sz="4" w:space="0"/>
              <w:right w:val="single" w:color="auto" w:sz="4" w:space="0"/>
            </w:tcBorders>
            <w:vAlign w:val="center"/>
          </w:tcPr>
          <w:p>
            <w:pPr>
              <w:jc w:val="center"/>
              <w:textAlignment w:val="center"/>
              <w:rPr>
                <w:rFonts w:ascii="Courier New" w:hAnsi="Courier New" w:cs="Courier New"/>
                <w:color w:val="auto"/>
                <w:sz w:val="24"/>
                <w:highlight w:val="none"/>
              </w:rPr>
            </w:pPr>
          </w:p>
        </w:tc>
        <w:tc>
          <w:tcPr>
            <w:tcW w:w="1276" w:type="dxa"/>
            <w:tcBorders>
              <w:top w:val="single" w:color="auto" w:sz="4" w:space="0"/>
              <w:left w:val="nil"/>
              <w:bottom w:val="single" w:color="auto" w:sz="4" w:space="0"/>
              <w:right w:val="single" w:color="auto" w:sz="4" w:space="0"/>
            </w:tcBorders>
            <w:vAlign w:val="center"/>
          </w:tcPr>
          <w:p>
            <w:pPr>
              <w:widowControl/>
              <w:jc w:val="center"/>
              <w:textAlignment w:val="center"/>
              <w:rPr>
                <w:rFonts w:ascii="Courier New" w:hAnsi="Courier New" w:cs="Courier New"/>
                <w:color w:val="auto"/>
                <w:sz w:val="24"/>
                <w:highlight w:val="none"/>
              </w:rPr>
            </w:pPr>
          </w:p>
        </w:tc>
      </w:tr>
      <w:tr>
        <w:tblPrEx>
          <w:tblCellMar>
            <w:top w:w="0" w:type="dxa"/>
            <w:left w:w="108" w:type="dxa"/>
            <w:bottom w:w="0" w:type="dxa"/>
            <w:right w:w="108" w:type="dxa"/>
          </w:tblCellMar>
        </w:tblPrEx>
        <w:trPr>
          <w:cantSplit/>
          <w:trHeight w:val="568" w:hRule="atLeast"/>
        </w:trPr>
        <w:tc>
          <w:tcPr>
            <w:tcW w:w="773" w:type="dxa"/>
            <w:tcBorders>
              <w:top w:val="single" w:color="auto" w:sz="4" w:space="0"/>
              <w:left w:val="single" w:color="auto" w:sz="4" w:space="0"/>
              <w:bottom w:val="single" w:color="auto" w:sz="4" w:space="0"/>
              <w:right w:val="single" w:color="auto" w:sz="4" w:space="0"/>
            </w:tcBorders>
            <w:vAlign w:val="center"/>
          </w:tcPr>
          <w:p>
            <w:pPr>
              <w:jc w:val="center"/>
              <w:rPr>
                <w:rFonts w:ascii="Courier New" w:hAnsi="Courier New" w:cs="Courier New"/>
                <w:color w:val="auto"/>
                <w:sz w:val="24"/>
                <w:highlight w:val="none"/>
              </w:rPr>
            </w:pPr>
          </w:p>
        </w:tc>
        <w:tc>
          <w:tcPr>
            <w:tcW w:w="1887" w:type="dxa"/>
            <w:tcBorders>
              <w:top w:val="single" w:color="auto" w:sz="4" w:space="0"/>
              <w:left w:val="nil"/>
              <w:bottom w:val="single" w:color="auto" w:sz="4" w:space="0"/>
              <w:right w:val="single" w:color="auto" w:sz="4" w:space="0"/>
            </w:tcBorders>
            <w:vAlign w:val="center"/>
          </w:tcPr>
          <w:p>
            <w:pPr>
              <w:jc w:val="center"/>
              <w:rPr>
                <w:rFonts w:ascii="Courier New" w:hAnsi="Courier New" w:cs="Courier New"/>
                <w:color w:val="auto"/>
                <w:sz w:val="24"/>
                <w:highlight w:val="none"/>
              </w:rPr>
            </w:pPr>
          </w:p>
        </w:tc>
        <w:tc>
          <w:tcPr>
            <w:tcW w:w="1417" w:type="dxa"/>
            <w:tcBorders>
              <w:top w:val="single" w:color="auto" w:sz="4" w:space="0"/>
              <w:left w:val="nil"/>
              <w:bottom w:val="single" w:color="auto" w:sz="4" w:space="0"/>
              <w:right w:val="single" w:color="auto" w:sz="4" w:space="0"/>
            </w:tcBorders>
            <w:vAlign w:val="center"/>
          </w:tcPr>
          <w:p>
            <w:pPr>
              <w:jc w:val="center"/>
              <w:rPr>
                <w:rFonts w:ascii="Courier New" w:hAnsi="Courier New" w:cs="Courier New"/>
                <w:color w:val="auto"/>
                <w:sz w:val="24"/>
                <w:highlight w:val="none"/>
              </w:rPr>
            </w:pPr>
          </w:p>
        </w:tc>
        <w:tc>
          <w:tcPr>
            <w:tcW w:w="2127" w:type="dxa"/>
            <w:tcBorders>
              <w:top w:val="single" w:color="auto" w:sz="4" w:space="0"/>
              <w:left w:val="nil"/>
              <w:bottom w:val="single" w:color="auto" w:sz="4" w:space="0"/>
              <w:right w:val="single" w:color="auto" w:sz="4" w:space="0"/>
            </w:tcBorders>
            <w:vAlign w:val="center"/>
          </w:tcPr>
          <w:p>
            <w:pPr>
              <w:jc w:val="center"/>
              <w:rPr>
                <w:rFonts w:ascii="Courier New" w:hAnsi="Courier New" w:cs="Courier New"/>
                <w:color w:val="auto"/>
                <w:sz w:val="24"/>
                <w:highlight w:val="none"/>
              </w:rPr>
            </w:pPr>
          </w:p>
        </w:tc>
        <w:tc>
          <w:tcPr>
            <w:tcW w:w="2551" w:type="dxa"/>
            <w:tcBorders>
              <w:top w:val="single" w:color="auto" w:sz="4" w:space="0"/>
              <w:left w:val="nil"/>
              <w:bottom w:val="single" w:color="auto" w:sz="4" w:space="0"/>
              <w:right w:val="single" w:color="auto" w:sz="4" w:space="0"/>
            </w:tcBorders>
            <w:vAlign w:val="center"/>
          </w:tcPr>
          <w:p>
            <w:pPr>
              <w:jc w:val="center"/>
              <w:rPr>
                <w:rFonts w:ascii="Courier New" w:hAnsi="Courier New" w:cs="Courier New"/>
                <w:color w:val="auto"/>
                <w:sz w:val="24"/>
                <w:highlight w:val="none"/>
              </w:rPr>
            </w:pPr>
          </w:p>
        </w:tc>
        <w:tc>
          <w:tcPr>
            <w:tcW w:w="1134" w:type="dxa"/>
            <w:tcBorders>
              <w:top w:val="single" w:color="auto" w:sz="4" w:space="0"/>
              <w:left w:val="nil"/>
              <w:bottom w:val="single" w:color="auto" w:sz="4" w:space="0"/>
              <w:right w:val="single" w:color="auto" w:sz="4" w:space="0"/>
            </w:tcBorders>
            <w:vAlign w:val="center"/>
          </w:tcPr>
          <w:p>
            <w:pPr>
              <w:jc w:val="center"/>
              <w:rPr>
                <w:rFonts w:ascii="Courier New" w:hAnsi="Courier New" w:cs="Courier New"/>
                <w:color w:val="auto"/>
                <w:sz w:val="24"/>
                <w:highlight w:val="none"/>
              </w:rPr>
            </w:pPr>
          </w:p>
        </w:tc>
        <w:tc>
          <w:tcPr>
            <w:tcW w:w="1276" w:type="dxa"/>
            <w:tcBorders>
              <w:top w:val="single" w:color="auto" w:sz="4" w:space="0"/>
              <w:left w:val="nil"/>
              <w:bottom w:val="single" w:color="auto" w:sz="4" w:space="0"/>
              <w:right w:val="single" w:color="auto" w:sz="4" w:space="0"/>
            </w:tcBorders>
            <w:vAlign w:val="center"/>
          </w:tcPr>
          <w:p>
            <w:pPr>
              <w:jc w:val="center"/>
              <w:rPr>
                <w:rFonts w:ascii="Courier New" w:hAnsi="Courier New" w:cs="Courier New"/>
                <w:color w:val="auto"/>
                <w:sz w:val="24"/>
                <w:highlight w:val="none"/>
              </w:rPr>
            </w:pPr>
          </w:p>
        </w:tc>
        <w:tc>
          <w:tcPr>
            <w:tcW w:w="1559" w:type="dxa"/>
            <w:tcBorders>
              <w:top w:val="single" w:color="auto" w:sz="4" w:space="0"/>
              <w:left w:val="nil"/>
              <w:bottom w:val="single" w:color="auto" w:sz="4" w:space="0"/>
              <w:right w:val="single" w:color="auto" w:sz="4" w:space="0"/>
            </w:tcBorders>
            <w:vAlign w:val="center"/>
          </w:tcPr>
          <w:p>
            <w:pPr>
              <w:jc w:val="center"/>
              <w:rPr>
                <w:rFonts w:ascii="Courier New" w:hAnsi="Courier New" w:cs="Courier New"/>
                <w:color w:val="auto"/>
                <w:sz w:val="24"/>
                <w:highlight w:val="none"/>
              </w:rPr>
            </w:pPr>
          </w:p>
        </w:tc>
        <w:tc>
          <w:tcPr>
            <w:tcW w:w="1276" w:type="dxa"/>
            <w:tcBorders>
              <w:top w:val="single" w:color="auto" w:sz="4" w:space="0"/>
              <w:left w:val="nil"/>
              <w:bottom w:val="single" w:color="auto" w:sz="4" w:space="0"/>
              <w:right w:val="single" w:color="auto" w:sz="4" w:space="0"/>
            </w:tcBorders>
            <w:vAlign w:val="center"/>
          </w:tcPr>
          <w:p>
            <w:pPr>
              <w:jc w:val="center"/>
              <w:rPr>
                <w:rFonts w:ascii="Courier New" w:hAnsi="Courier New" w:cs="Courier New"/>
                <w:color w:val="auto"/>
                <w:sz w:val="24"/>
                <w:highlight w:val="none"/>
              </w:rPr>
            </w:pPr>
          </w:p>
        </w:tc>
      </w:tr>
      <w:tr>
        <w:trPr>
          <w:cantSplit/>
          <w:trHeight w:val="664" w:hRule="atLeast"/>
        </w:trPr>
        <w:tc>
          <w:tcPr>
            <w:tcW w:w="773" w:type="dxa"/>
            <w:tcBorders>
              <w:top w:val="single" w:color="auto" w:sz="4" w:space="0"/>
              <w:left w:val="single" w:color="auto" w:sz="4" w:space="0"/>
              <w:bottom w:val="single" w:color="auto" w:sz="4" w:space="0"/>
              <w:right w:val="single" w:color="auto" w:sz="4" w:space="0"/>
            </w:tcBorders>
          </w:tcPr>
          <w:p>
            <w:pPr>
              <w:jc w:val="center"/>
              <w:rPr>
                <w:rFonts w:ascii="Courier New" w:hAnsi="Courier New" w:cs="Courier New"/>
                <w:color w:val="auto"/>
                <w:sz w:val="24"/>
                <w:highlight w:val="none"/>
              </w:rPr>
            </w:pPr>
          </w:p>
        </w:tc>
        <w:tc>
          <w:tcPr>
            <w:tcW w:w="1887" w:type="dxa"/>
            <w:tcBorders>
              <w:top w:val="single" w:color="auto" w:sz="4" w:space="0"/>
              <w:left w:val="nil"/>
              <w:bottom w:val="single" w:color="auto" w:sz="4" w:space="0"/>
              <w:right w:val="single" w:color="auto" w:sz="4" w:space="0"/>
            </w:tcBorders>
            <w:vAlign w:val="center"/>
          </w:tcPr>
          <w:p>
            <w:pPr>
              <w:jc w:val="center"/>
              <w:rPr>
                <w:rFonts w:ascii="Courier New" w:hAnsi="Courier New" w:cs="Courier New"/>
                <w:color w:val="auto"/>
                <w:sz w:val="24"/>
                <w:highlight w:val="none"/>
              </w:rPr>
            </w:pPr>
          </w:p>
        </w:tc>
        <w:tc>
          <w:tcPr>
            <w:tcW w:w="1417" w:type="dxa"/>
            <w:tcBorders>
              <w:top w:val="single" w:color="auto" w:sz="4" w:space="0"/>
              <w:left w:val="nil"/>
              <w:bottom w:val="single" w:color="auto" w:sz="4" w:space="0"/>
              <w:right w:val="single" w:color="auto" w:sz="4" w:space="0"/>
            </w:tcBorders>
            <w:vAlign w:val="center"/>
          </w:tcPr>
          <w:p>
            <w:pPr>
              <w:jc w:val="center"/>
              <w:rPr>
                <w:rFonts w:ascii="Courier New" w:hAnsi="Courier New" w:cs="Courier New"/>
                <w:color w:val="auto"/>
                <w:sz w:val="24"/>
                <w:highlight w:val="none"/>
              </w:rPr>
            </w:pPr>
          </w:p>
        </w:tc>
        <w:tc>
          <w:tcPr>
            <w:tcW w:w="2127" w:type="dxa"/>
            <w:tcBorders>
              <w:top w:val="single" w:color="auto" w:sz="4" w:space="0"/>
              <w:left w:val="nil"/>
              <w:bottom w:val="single" w:color="auto" w:sz="4" w:space="0"/>
              <w:right w:val="single" w:color="auto" w:sz="4" w:space="0"/>
            </w:tcBorders>
            <w:vAlign w:val="center"/>
          </w:tcPr>
          <w:p>
            <w:pPr>
              <w:jc w:val="center"/>
              <w:rPr>
                <w:rFonts w:ascii="Courier New" w:hAnsi="Courier New" w:cs="Courier New"/>
                <w:color w:val="auto"/>
                <w:sz w:val="24"/>
                <w:highlight w:val="none"/>
              </w:rPr>
            </w:pPr>
          </w:p>
        </w:tc>
        <w:tc>
          <w:tcPr>
            <w:tcW w:w="2551" w:type="dxa"/>
            <w:tcBorders>
              <w:top w:val="single" w:color="auto" w:sz="4" w:space="0"/>
              <w:left w:val="nil"/>
              <w:bottom w:val="single" w:color="auto" w:sz="4" w:space="0"/>
              <w:right w:val="single" w:color="auto" w:sz="4" w:space="0"/>
            </w:tcBorders>
            <w:vAlign w:val="center"/>
          </w:tcPr>
          <w:p>
            <w:pPr>
              <w:jc w:val="center"/>
              <w:rPr>
                <w:rFonts w:ascii="Courier New" w:hAnsi="Courier New" w:cs="Courier New"/>
                <w:color w:val="auto"/>
                <w:sz w:val="24"/>
                <w:highlight w:val="none"/>
              </w:rPr>
            </w:pPr>
          </w:p>
        </w:tc>
        <w:tc>
          <w:tcPr>
            <w:tcW w:w="1134" w:type="dxa"/>
            <w:tcBorders>
              <w:top w:val="single" w:color="auto" w:sz="4" w:space="0"/>
              <w:left w:val="nil"/>
              <w:bottom w:val="single" w:color="auto" w:sz="4" w:space="0"/>
              <w:right w:val="single" w:color="auto" w:sz="4" w:space="0"/>
            </w:tcBorders>
            <w:vAlign w:val="center"/>
          </w:tcPr>
          <w:p>
            <w:pPr>
              <w:widowControl/>
              <w:jc w:val="center"/>
              <w:textAlignment w:val="center"/>
              <w:rPr>
                <w:rFonts w:ascii="Courier New" w:hAnsi="Courier New" w:cs="Courier New"/>
                <w:color w:val="auto"/>
                <w:sz w:val="24"/>
                <w:highlight w:val="none"/>
              </w:rPr>
            </w:pPr>
          </w:p>
        </w:tc>
        <w:tc>
          <w:tcPr>
            <w:tcW w:w="1276" w:type="dxa"/>
            <w:tcBorders>
              <w:top w:val="single" w:color="auto" w:sz="4" w:space="0"/>
              <w:left w:val="nil"/>
              <w:bottom w:val="single" w:color="auto" w:sz="4" w:space="0"/>
              <w:right w:val="single" w:color="auto" w:sz="4" w:space="0"/>
            </w:tcBorders>
            <w:vAlign w:val="center"/>
          </w:tcPr>
          <w:p>
            <w:pPr>
              <w:jc w:val="center"/>
              <w:textAlignment w:val="center"/>
              <w:rPr>
                <w:rFonts w:ascii="Courier New" w:hAnsi="Courier New" w:cs="Courier New"/>
                <w:color w:val="auto"/>
                <w:sz w:val="24"/>
                <w:highlight w:val="none"/>
              </w:rPr>
            </w:pPr>
          </w:p>
        </w:tc>
        <w:tc>
          <w:tcPr>
            <w:tcW w:w="1559" w:type="dxa"/>
            <w:tcBorders>
              <w:top w:val="single" w:color="auto" w:sz="4" w:space="0"/>
              <w:left w:val="nil"/>
              <w:bottom w:val="single" w:color="auto" w:sz="4" w:space="0"/>
              <w:right w:val="single" w:color="auto" w:sz="4" w:space="0"/>
            </w:tcBorders>
            <w:vAlign w:val="center"/>
          </w:tcPr>
          <w:p>
            <w:pPr>
              <w:jc w:val="center"/>
              <w:textAlignment w:val="center"/>
              <w:rPr>
                <w:rFonts w:ascii="Courier New" w:hAnsi="Courier New" w:cs="Courier New"/>
                <w:color w:val="auto"/>
                <w:sz w:val="24"/>
                <w:highlight w:val="none"/>
              </w:rPr>
            </w:pPr>
          </w:p>
        </w:tc>
        <w:tc>
          <w:tcPr>
            <w:tcW w:w="1276" w:type="dxa"/>
            <w:tcBorders>
              <w:top w:val="single" w:color="auto" w:sz="4" w:space="0"/>
              <w:left w:val="nil"/>
              <w:bottom w:val="single" w:color="auto" w:sz="4" w:space="0"/>
              <w:right w:val="single" w:color="auto" w:sz="4" w:space="0"/>
            </w:tcBorders>
            <w:vAlign w:val="center"/>
          </w:tcPr>
          <w:p>
            <w:pPr>
              <w:widowControl/>
              <w:jc w:val="center"/>
              <w:textAlignment w:val="center"/>
              <w:rPr>
                <w:rFonts w:ascii="Courier New" w:hAnsi="Courier New" w:cs="Courier New"/>
                <w:color w:val="auto"/>
                <w:sz w:val="24"/>
                <w:highlight w:val="none"/>
              </w:rPr>
            </w:pPr>
          </w:p>
        </w:tc>
      </w:tr>
      <w:tr>
        <w:trPr>
          <w:cantSplit/>
          <w:trHeight w:val="664" w:hRule="atLeast"/>
        </w:trPr>
        <w:tc>
          <w:tcPr>
            <w:tcW w:w="773" w:type="dxa"/>
            <w:tcBorders>
              <w:top w:val="single" w:color="auto" w:sz="4" w:space="0"/>
              <w:left w:val="single" w:color="auto" w:sz="4" w:space="0"/>
              <w:bottom w:val="single" w:color="auto" w:sz="4" w:space="0"/>
              <w:right w:val="single" w:color="auto" w:sz="4" w:space="0"/>
            </w:tcBorders>
          </w:tcPr>
          <w:p>
            <w:pPr>
              <w:jc w:val="center"/>
              <w:rPr>
                <w:rFonts w:ascii="Courier New" w:hAnsi="Courier New" w:cs="Courier New"/>
                <w:color w:val="auto"/>
                <w:sz w:val="24"/>
                <w:highlight w:val="none"/>
              </w:rPr>
            </w:pPr>
          </w:p>
        </w:tc>
        <w:tc>
          <w:tcPr>
            <w:tcW w:w="1887" w:type="dxa"/>
            <w:tcBorders>
              <w:top w:val="single" w:color="auto" w:sz="4" w:space="0"/>
              <w:left w:val="nil"/>
              <w:bottom w:val="single" w:color="auto" w:sz="4" w:space="0"/>
              <w:right w:val="single" w:color="auto" w:sz="4" w:space="0"/>
            </w:tcBorders>
            <w:vAlign w:val="center"/>
          </w:tcPr>
          <w:p>
            <w:pPr>
              <w:jc w:val="center"/>
              <w:rPr>
                <w:rFonts w:ascii="Courier New" w:hAnsi="Courier New" w:cs="Courier New"/>
                <w:color w:val="auto"/>
                <w:sz w:val="24"/>
                <w:highlight w:val="none"/>
              </w:rPr>
            </w:pPr>
          </w:p>
        </w:tc>
        <w:tc>
          <w:tcPr>
            <w:tcW w:w="1417" w:type="dxa"/>
            <w:tcBorders>
              <w:top w:val="single" w:color="auto" w:sz="4" w:space="0"/>
              <w:left w:val="nil"/>
              <w:bottom w:val="single" w:color="auto" w:sz="4" w:space="0"/>
              <w:right w:val="single" w:color="auto" w:sz="4" w:space="0"/>
            </w:tcBorders>
            <w:vAlign w:val="center"/>
          </w:tcPr>
          <w:p>
            <w:pPr>
              <w:jc w:val="center"/>
              <w:rPr>
                <w:rFonts w:ascii="Courier New" w:hAnsi="Courier New" w:cs="Courier New"/>
                <w:color w:val="auto"/>
                <w:sz w:val="24"/>
                <w:highlight w:val="none"/>
              </w:rPr>
            </w:pPr>
          </w:p>
        </w:tc>
        <w:tc>
          <w:tcPr>
            <w:tcW w:w="2127" w:type="dxa"/>
            <w:tcBorders>
              <w:top w:val="single" w:color="auto" w:sz="4" w:space="0"/>
              <w:left w:val="nil"/>
              <w:bottom w:val="single" w:color="auto" w:sz="4" w:space="0"/>
              <w:right w:val="single" w:color="auto" w:sz="4" w:space="0"/>
            </w:tcBorders>
            <w:vAlign w:val="center"/>
          </w:tcPr>
          <w:p>
            <w:pPr>
              <w:jc w:val="center"/>
              <w:rPr>
                <w:rFonts w:ascii="Courier New" w:hAnsi="Courier New" w:cs="Courier New"/>
                <w:color w:val="auto"/>
                <w:sz w:val="24"/>
                <w:highlight w:val="none"/>
              </w:rPr>
            </w:pPr>
          </w:p>
        </w:tc>
        <w:tc>
          <w:tcPr>
            <w:tcW w:w="2551" w:type="dxa"/>
            <w:tcBorders>
              <w:top w:val="single" w:color="auto" w:sz="4" w:space="0"/>
              <w:left w:val="nil"/>
              <w:bottom w:val="single" w:color="auto" w:sz="4" w:space="0"/>
              <w:right w:val="single" w:color="auto" w:sz="4" w:space="0"/>
            </w:tcBorders>
            <w:vAlign w:val="center"/>
          </w:tcPr>
          <w:p>
            <w:pPr>
              <w:jc w:val="center"/>
              <w:rPr>
                <w:rFonts w:ascii="Courier New" w:hAnsi="Courier New" w:cs="Courier New"/>
                <w:color w:val="auto"/>
                <w:sz w:val="24"/>
                <w:highlight w:val="none"/>
              </w:rPr>
            </w:pPr>
          </w:p>
        </w:tc>
        <w:tc>
          <w:tcPr>
            <w:tcW w:w="1134" w:type="dxa"/>
            <w:tcBorders>
              <w:top w:val="single" w:color="auto" w:sz="4" w:space="0"/>
              <w:left w:val="nil"/>
              <w:bottom w:val="single" w:color="auto" w:sz="4" w:space="0"/>
              <w:right w:val="single" w:color="auto" w:sz="4" w:space="0"/>
            </w:tcBorders>
            <w:vAlign w:val="center"/>
          </w:tcPr>
          <w:p>
            <w:pPr>
              <w:widowControl/>
              <w:jc w:val="center"/>
              <w:textAlignment w:val="center"/>
              <w:rPr>
                <w:rFonts w:ascii="Courier New" w:hAnsi="Courier New" w:cs="Courier New"/>
                <w:color w:val="auto"/>
                <w:sz w:val="24"/>
                <w:highlight w:val="none"/>
              </w:rPr>
            </w:pPr>
          </w:p>
        </w:tc>
        <w:tc>
          <w:tcPr>
            <w:tcW w:w="1276" w:type="dxa"/>
            <w:tcBorders>
              <w:top w:val="single" w:color="auto" w:sz="4" w:space="0"/>
              <w:left w:val="nil"/>
              <w:bottom w:val="single" w:color="auto" w:sz="4" w:space="0"/>
              <w:right w:val="single" w:color="auto" w:sz="4" w:space="0"/>
            </w:tcBorders>
            <w:vAlign w:val="center"/>
          </w:tcPr>
          <w:p>
            <w:pPr>
              <w:jc w:val="center"/>
              <w:textAlignment w:val="center"/>
              <w:rPr>
                <w:rFonts w:ascii="Courier New" w:hAnsi="Courier New" w:cs="Courier New"/>
                <w:color w:val="auto"/>
                <w:sz w:val="24"/>
                <w:highlight w:val="none"/>
              </w:rPr>
            </w:pPr>
          </w:p>
        </w:tc>
        <w:tc>
          <w:tcPr>
            <w:tcW w:w="1559" w:type="dxa"/>
            <w:tcBorders>
              <w:top w:val="single" w:color="auto" w:sz="4" w:space="0"/>
              <w:left w:val="nil"/>
              <w:bottom w:val="single" w:color="auto" w:sz="4" w:space="0"/>
              <w:right w:val="single" w:color="auto" w:sz="4" w:space="0"/>
            </w:tcBorders>
            <w:vAlign w:val="center"/>
          </w:tcPr>
          <w:p>
            <w:pPr>
              <w:jc w:val="center"/>
              <w:textAlignment w:val="center"/>
              <w:rPr>
                <w:rFonts w:ascii="Courier New" w:hAnsi="Courier New" w:cs="Courier New"/>
                <w:color w:val="auto"/>
                <w:sz w:val="24"/>
                <w:highlight w:val="none"/>
              </w:rPr>
            </w:pPr>
          </w:p>
        </w:tc>
        <w:tc>
          <w:tcPr>
            <w:tcW w:w="1276" w:type="dxa"/>
            <w:tcBorders>
              <w:top w:val="single" w:color="auto" w:sz="4" w:space="0"/>
              <w:left w:val="nil"/>
              <w:bottom w:val="single" w:color="auto" w:sz="4" w:space="0"/>
              <w:right w:val="single" w:color="auto" w:sz="4" w:space="0"/>
            </w:tcBorders>
            <w:vAlign w:val="center"/>
          </w:tcPr>
          <w:p>
            <w:pPr>
              <w:widowControl/>
              <w:jc w:val="center"/>
              <w:textAlignment w:val="center"/>
              <w:rPr>
                <w:rFonts w:ascii="Courier New" w:hAnsi="Courier New" w:cs="Courier New"/>
                <w:color w:val="auto"/>
                <w:sz w:val="24"/>
                <w:highlight w:val="none"/>
              </w:rPr>
            </w:pPr>
          </w:p>
        </w:tc>
      </w:tr>
      <w:tr>
        <w:trPr>
          <w:cantSplit/>
          <w:trHeight w:val="664" w:hRule="atLeast"/>
        </w:trPr>
        <w:tc>
          <w:tcPr>
            <w:tcW w:w="773" w:type="dxa"/>
            <w:tcBorders>
              <w:top w:val="single" w:color="auto" w:sz="4" w:space="0"/>
              <w:left w:val="single" w:color="auto" w:sz="4" w:space="0"/>
              <w:bottom w:val="single" w:color="auto" w:sz="4" w:space="0"/>
              <w:right w:val="single" w:color="auto" w:sz="4" w:space="0"/>
            </w:tcBorders>
          </w:tcPr>
          <w:p>
            <w:pPr>
              <w:jc w:val="center"/>
              <w:rPr>
                <w:rFonts w:ascii="Courier New" w:hAnsi="Courier New" w:cs="Courier New"/>
                <w:color w:val="auto"/>
                <w:sz w:val="24"/>
                <w:highlight w:val="none"/>
              </w:rPr>
            </w:pPr>
          </w:p>
        </w:tc>
        <w:tc>
          <w:tcPr>
            <w:tcW w:w="1887" w:type="dxa"/>
            <w:tcBorders>
              <w:top w:val="single" w:color="auto" w:sz="4" w:space="0"/>
              <w:left w:val="nil"/>
              <w:bottom w:val="single" w:color="auto" w:sz="4" w:space="0"/>
              <w:right w:val="single" w:color="auto" w:sz="4" w:space="0"/>
            </w:tcBorders>
            <w:vAlign w:val="center"/>
          </w:tcPr>
          <w:p>
            <w:pPr>
              <w:jc w:val="center"/>
              <w:rPr>
                <w:rFonts w:ascii="Courier New" w:hAnsi="Courier New" w:cs="Courier New"/>
                <w:color w:val="auto"/>
                <w:sz w:val="24"/>
                <w:highlight w:val="none"/>
              </w:rPr>
            </w:pPr>
          </w:p>
        </w:tc>
        <w:tc>
          <w:tcPr>
            <w:tcW w:w="1417" w:type="dxa"/>
            <w:tcBorders>
              <w:top w:val="single" w:color="auto" w:sz="4" w:space="0"/>
              <w:left w:val="nil"/>
              <w:bottom w:val="single" w:color="auto" w:sz="4" w:space="0"/>
              <w:right w:val="single" w:color="auto" w:sz="4" w:space="0"/>
            </w:tcBorders>
            <w:vAlign w:val="center"/>
          </w:tcPr>
          <w:p>
            <w:pPr>
              <w:jc w:val="center"/>
              <w:rPr>
                <w:rFonts w:ascii="Courier New" w:hAnsi="Courier New" w:cs="Courier New"/>
                <w:color w:val="auto"/>
                <w:sz w:val="24"/>
                <w:highlight w:val="none"/>
              </w:rPr>
            </w:pPr>
          </w:p>
        </w:tc>
        <w:tc>
          <w:tcPr>
            <w:tcW w:w="2127" w:type="dxa"/>
            <w:tcBorders>
              <w:top w:val="single" w:color="auto" w:sz="4" w:space="0"/>
              <w:left w:val="nil"/>
              <w:bottom w:val="single" w:color="auto" w:sz="4" w:space="0"/>
              <w:right w:val="single" w:color="auto" w:sz="4" w:space="0"/>
            </w:tcBorders>
            <w:vAlign w:val="center"/>
          </w:tcPr>
          <w:p>
            <w:pPr>
              <w:jc w:val="center"/>
              <w:rPr>
                <w:rFonts w:ascii="Courier New" w:hAnsi="Courier New" w:cs="Courier New"/>
                <w:color w:val="auto"/>
                <w:sz w:val="24"/>
                <w:highlight w:val="none"/>
              </w:rPr>
            </w:pPr>
          </w:p>
        </w:tc>
        <w:tc>
          <w:tcPr>
            <w:tcW w:w="2551" w:type="dxa"/>
            <w:tcBorders>
              <w:top w:val="single" w:color="auto" w:sz="4" w:space="0"/>
              <w:left w:val="nil"/>
              <w:bottom w:val="single" w:color="auto" w:sz="4" w:space="0"/>
              <w:right w:val="single" w:color="auto" w:sz="4" w:space="0"/>
            </w:tcBorders>
            <w:vAlign w:val="center"/>
          </w:tcPr>
          <w:p>
            <w:pPr>
              <w:jc w:val="center"/>
              <w:rPr>
                <w:rFonts w:ascii="Courier New" w:hAnsi="Courier New" w:cs="Courier New"/>
                <w:color w:val="auto"/>
                <w:sz w:val="24"/>
                <w:highlight w:val="none"/>
              </w:rPr>
            </w:pPr>
          </w:p>
        </w:tc>
        <w:tc>
          <w:tcPr>
            <w:tcW w:w="1134" w:type="dxa"/>
            <w:tcBorders>
              <w:top w:val="single" w:color="auto" w:sz="4" w:space="0"/>
              <w:left w:val="nil"/>
              <w:bottom w:val="single" w:color="auto" w:sz="4" w:space="0"/>
              <w:right w:val="single" w:color="auto" w:sz="4" w:space="0"/>
            </w:tcBorders>
            <w:vAlign w:val="center"/>
          </w:tcPr>
          <w:p>
            <w:pPr>
              <w:widowControl/>
              <w:jc w:val="center"/>
              <w:textAlignment w:val="center"/>
              <w:rPr>
                <w:rFonts w:ascii="Courier New" w:hAnsi="Courier New" w:cs="Courier New"/>
                <w:color w:val="auto"/>
                <w:sz w:val="24"/>
                <w:highlight w:val="none"/>
              </w:rPr>
            </w:pPr>
          </w:p>
        </w:tc>
        <w:tc>
          <w:tcPr>
            <w:tcW w:w="1276" w:type="dxa"/>
            <w:tcBorders>
              <w:top w:val="single" w:color="auto" w:sz="4" w:space="0"/>
              <w:left w:val="nil"/>
              <w:bottom w:val="single" w:color="auto" w:sz="4" w:space="0"/>
              <w:right w:val="single" w:color="auto" w:sz="4" w:space="0"/>
            </w:tcBorders>
            <w:vAlign w:val="center"/>
          </w:tcPr>
          <w:p>
            <w:pPr>
              <w:jc w:val="center"/>
              <w:textAlignment w:val="center"/>
              <w:rPr>
                <w:rFonts w:ascii="Courier New" w:hAnsi="Courier New" w:cs="Courier New"/>
                <w:color w:val="auto"/>
                <w:sz w:val="24"/>
                <w:highlight w:val="none"/>
              </w:rPr>
            </w:pPr>
          </w:p>
        </w:tc>
        <w:tc>
          <w:tcPr>
            <w:tcW w:w="1559" w:type="dxa"/>
            <w:tcBorders>
              <w:top w:val="single" w:color="auto" w:sz="4" w:space="0"/>
              <w:left w:val="nil"/>
              <w:bottom w:val="single" w:color="auto" w:sz="4" w:space="0"/>
              <w:right w:val="single" w:color="auto" w:sz="4" w:space="0"/>
            </w:tcBorders>
            <w:vAlign w:val="center"/>
          </w:tcPr>
          <w:p>
            <w:pPr>
              <w:jc w:val="center"/>
              <w:textAlignment w:val="center"/>
              <w:rPr>
                <w:rFonts w:ascii="Courier New" w:hAnsi="Courier New" w:cs="Courier New"/>
                <w:color w:val="auto"/>
                <w:sz w:val="24"/>
                <w:highlight w:val="none"/>
              </w:rPr>
            </w:pPr>
          </w:p>
        </w:tc>
        <w:tc>
          <w:tcPr>
            <w:tcW w:w="1276" w:type="dxa"/>
            <w:tcBorders>
              <w:top w:val="single" w:color="auto" w:sz="4" w:space="0"/>
              <w:left w:val="nil"/>
              <w:bottom w:val="single" w:color="auto" w:sz="4" w:space="0"/>
              <w:right w:val="single" w:color="auto" w:sz="4" w:space="0"/>
            </w:tcBorders>
            <w:vAlign w:val="center"/>
          </w:tcPr>
          <w:p>
            <w:pPr>
              <w:widowControl/>
              <w:jc w:val="center"/>
              <w:textAlignment w:val="center"/>
              <w:rPr>
                <w:rFonts w:ascii="Courier New" w:hAnsi="Courier New" w:cs="Courier New"/>
                <w:color w:val="auto"/>
                <w:sz w:val="24"/>
                <w:highlight w:val="none"/>
              </w:rPr>
            </w:pPr>
          </w:p>
        </w:tc>
      </w:tr>
      <w:tr>
        <w:trPr>
          <w:cantSplit/>
          <w:trHeight w:val="1114" w:hRule="atLeast"/>
        </w:trPr>
        <w:tc>
          <w:tcPr>
            <w:tcW w:w="2660"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Courier New" w:hAnsi="Courier New" w:cs="Courier New"/>
                <w:bCs/>
                <w:color w:val="auto"/>
                <w:sz w:val="24"/>
                <w:highlight w:val="none"/>
              </w:rPr>
            </w:pPr>
            <w:r>
              <w:rPr>
                <w:rFonts w:hint="eastAsia" w:ascii="宋体" w:hAnsi="宋体"/>
                <w:bCs/>
                <w:color w:val="auto"/>
                <w:sz w:val="24"/>
                <w:highlight w:val="none"/>
              </w:rPr>
              <w:t>金额合计</w:t>
            </w:r>
          </w:p>
        </w:tc>
        <w:tc>
          <w:tcPr>
            <w:tcW w:w="11340" w:type="dxa"/>
            <w:gridSpan w:val="7"/>
            <w:tcBorders>
              <w:top w:val="single" w:color="auto" w:sz="4" w:space="0"/>
              <w:left w:val="nil"/>
              <w:bottom w:val="single" w:color="auto" w:sz="4" w:space="0"/>
              <w:right w:val="single" w:color="auto" w:sz="4" w:space="0"/>
            </w:tcBorders>
            <w:vAlign w:val="center"/>
          </w:tcPr>
          <w:p>
            <w:pPr>
              <w:widowControl/>
              <w:textAlignment w:val="center"/>
              <w:rPr>
                <w:rFonts w:ascii="Courier New" w:hAnsi="Courier New" w:cs="Courier New"/>
                <w:bCs/>
                <w:color w:val="auto"/>
                <w:sz w:val="24"/>
                <w:highlight w:val="none"/>
              </w:rPr>
            </w:pPr>
            <w:r>
              <w:rPr>
                <w:rFonts w:hint="eastAsia" w:ascii="宋体" w:hAnsi="宋体"/>
                <w:bCs/>
                <w:color w:val="auto"/>
                <w:sz w:val="24"/>
                <w:highlight w:val="none"/>
              </w:rPr>
              <w:t>大写：</w:t>
            </w:r>
          </w:p>
          <w:p>
            <w:pPr>
              <w:widowControl/>
              <w:textAlignment w:val="center"/>
              <w:rPr>
                <w:rFonts w:ascii="Courier New" w:hAnsi="Courier New" w:cs="Courier New"/>
                <w:bCs/>
                <w:color w:val="auto"/>
                <w:sz w:val="24"/>
                <w:highlight w:val="none"/>
              </w:rPr>
            </w:pPr>
            <w:r>
              <w:rPr>
                <w:rFonts w:hint="eastAsia" w:ascii="宋体" w:hAnsi="宋体"/>
                <w:bCs/>
                <w:color w:val="auto"/>
                <w:sz w:val="24"/>
                <w:highlight w:val="none"/>
              </w:rPr>
              <w:t>小写：</w:t>
            </w:r>
          </w:p>
        </w:tc>
      </w:tr>
    </w:tbl>
    <w:p>
      <w:pPr>
        <w:pStyle w:val="3"/>
        <w:jc w:val="center"/>
        <w:rPr>
          <w:rFonts w:ascii="Courier New" w:hAnsi="Courier New" w:cs="Courier New"/>
          <w:color w:val="auto"/>
          <w:sz w:val="36"/>
          <w:szCs w:val="36"/>
          <w:highlight w:val="none"/>
        </w:rPr>
      </w:pPr>
      <w:bookmarkStart w:id="264" w:name="_Toc31620"/>
      <w:bookmarkStart w:id="265" w:name="_Toc18919"/>
      <w:bookmarkStart w:id="266" w:name="_Toc9828"/>
      <w:bookmarkStart w:id="267" w:name="_Toc27002"/>
      <w:r>
        <w:rPr>
          <w:rFonts w:ascii="宋体" w:hAnsi="宋体"/>
          <w:color w:val="auto"/>
          <w:sz w:val="36"/>
          <w:szCs w:val="36"/>
          <w:highlight w:val="none"/>
        </w:rPr>
        <w:t>技术规格响应表</w:t>
      </w:r>
      <w:bookmarkEnd w:id="264"/>
      <w:bookmarkEnd w:id="265"/>
      <w:bookmarkEnd w:id="266"/>
      <w:bookmarkEnd w:id="267"/>
    </w:p>
    <w:p>
      <w:pPr>
        <w:rPr>
          <w:color w:val="auto"/>
          <w:sz w:val="24"/>
          <w:highlight w:val="none"/>
        </w:rPr>
      </w:pPr>
      <w:r>
        <w:rPr>
          <w:rFonts w:hint="eastAsia" w:ascii="宋体" w:hAnsi="宋体"/>
          <w:color w:val="auto"/>
          <w:sz w:val="24"/>
          <w:highlight w:val="none"/>
        </w:rPr>
        <w:t>供应商</w:t>
      </w:r>
      <w:r>
        <w:rPr>
          <w:rFonts w:ascii="宋体" w:hAnsi="宋体"/>
          <w:color w:val="auto"/>
          <w:sz w:val="24"/>
          <w:highlight w:val="none"/>
        </w:rPr>
        <w:t>名称：</w:t>
      </w:r>
    </w:p>
    <w:tbl>
      <w:tblPr>
        <w:tblStyle w:val="36"/>
        <w:tblW w:w="1414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0"/>
        <w:gridCol w:w="1168"/>
        <w:gridCol w:w="4819"/>
        <w:gridCol w:w="1134"/>
        <w:gridCol w:w="5539"/>
        <w:gridCol w:w="9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3" w:hRule="atLeast"/>
        </w:trPr>
        <w:tc>
          <w:tcPr>
            <w:tcW w:w="500" w:type="dxa"/>
            <w:tcBorders>
              <w:top w:val="single" w:color="auto" w:sz="4" w:space="0"/>
              <w:left w:val="single" w:color="auto" w:sz="4" w:space="0"/>
              <w:bottom w:val="single" w:color="auto" w:sz="4" w:space="0"/>
              <w:right w:val="single" w:color="auto" w:sz="4" w:space="0"/>
            </w:tcBorders>
            <w:vAlign w:val="center"/>
          </w:tcPr>
          <w:p>
            <w:pPr>
              <w:jc w:val="center"/>
              <w:rPr>
                <w:rFonts w:ascii="Courier New" w:hAnsi="Courier New" w:cs="Courier New"/>
                <w:color w:val="auto"/>
                <w:sz w:val="24"/>
                <w:highlight w:val="none"/>
              </w:rPr>
            </w:pPr>
          </w:p>
        </w:tc>
        <w:tc>
          <w:tcPr>
            <w:tcW w:w="5987" w:type="dxa"/>
            <w:gridSpan w:val="2"/>
            <w:tcBorders>
              <w:top w:val="single" w:color="auto" w:sz="4" w:space="0"/>
              <w:left w:val="nil"/>
              <w:bottom w:val="single" w:color="auto" w:sz="4" w:space="0"/>
              <w:right w:val="single" w:color="auto" w:sz="4" w:space="0"/>
            </w:tcBorders>
            <w:vAlign w:val="center"/>
          </w:tcPr>
          <w:p>
            <w:pPr>
              <w:jc w:val="center"/>
              <w:rPr>
                <w:rFonts w:ascii="Courier New" w:hAnsi="Courier New" w:cs="Courier New"/>
                <w:color w:val="auto"/>
                <w:sz w:val="24"/>
                <w:highlight w:val="none"/>
              </w:rPr>
            </w:pPr>
            <w:r>
              <w:rPr>
                <w:rFonts w:hint="eastAsia" w:ascii="宋体" w:hAnsi="宋体"/>
                <w:color w:val="auto"/>
                <w:sz w:val="24"/>
                <w:highlight w:val="none"/>
              </w:rPr>
              <w:t>采购</w:t>
            </w:r>
            <w:r>
              <w:rPr>
                <w:color w:val="auto"/>
                <w:sz w:val="24"/>
                <w:highlight w:val="none"/>
              </w:rPr>
              <w:t>需求技术参数、指标</w:t>
            </w:r>
          </w:p>
        </w:tc>
        <w:tc>
          <w:tcPr>
            <w:tcW w:w="6673" w:type="dxa"/>
            <w:gridSpan w:val="2"/>
            <w:tcBorders>
              <w:top w:val="single" w:color="auto" w:sz="4" w:space="0"/>
              <w:left w:val="nil"/>
              <w:bottom w:val="single" w:color="auto" w:sz="4" w:space="0"/>
              <w:right w:val="single" w:color="auto" w:sz="4" w:space="0"/>
            </w:tcBorders>
            <w:vAlign w:val="center"/>
          </w:tcPr>
          <w:p>
            <w:pPr>
              <w:jc w:val="center"/>
              <w:rPr>
                <w:rFonts w:ascii="Courier New" w:hAnsi="Courier New" w:cs="Courier New"/>
                <w:color w:val="auto"/>
                <w:sz w:val="24"/>
                <w:highlight w:val="none"/>
              </w:rPr>
            </w:pPr>
            <w:r>
              <w:rPr>
                <w:rFonts w:hint="eastAsia" w:ascii="宋体" w:hAnsi="宋体"/>
                <w:color w:val="auto"/>
                <w:sz w:val="24"/>
                <w:highlight w:val="none"/>
              </w:rPr>
              <w:t>响应</w:t>
            </w:r>
            <w:r>
              <w:rPr>
                <w:color w:val="auto"/>
                <w:sz w:val="24"/>
                <w:highlight w:val="none"/>
              </w:rPr>
              <w:t>产品技术参数、指标</w:t>
            </w:r>
          </w:p>
        </w:tc>
        <w:tc>
          <w:tcPr>
            <w:tcW w:w="982" w:type="dxa"/>
            <w:tcBorders>
              <w:top w:val="single" w:color="auto" w:sz="4" w:space="0"/>
              <w:left w:val="nil"/>
              <w:bottom w:val="single" w:color="auto" w:sz="4" w:space="0"/>
              <w:right w:val="single" w:color="auto" w:sz="4" w:space="0"/>
            </w:tcBorders>
            <w:vAlign w:val="center"/>
          </w:tcPr>
          <w:p>
            <w:pPr>
              <w:jc w:val="center"/>
              <w:rPr>
                <w:rFonts w:ascii="Courier New" w:hAnsi="Courier New" w:cs="Courier New"/>
                <w:color w:val="auto"/>
                <w:sz w:val="24"/>
                <w:highlight w:val="none"/>
              </w:rPr>
            </w:pPr>
            <w:r>
              <w:rPr>
                <w:rFonts w:hint="eastAsia" w:ascii="宋体" w:hAnsi="宋体"/>
                <w:color w:val="auto"/>
                <w:sz w:val="24"/>
                <w:highlight w:val="none"/>
              </w:rPr>
              <w:t>偏离</w:t>
            </w:r>
          </w:p>
        </w:tc>
      </w:tr>
      <w:tr>
        <w:tblPrEx>
          <w:tblCellMar>
            <w:top w:w="0" w:type="dxa"/>
            <w:left w:w="108" w:type="dxa"/>
            <w:bottom w:w="0" w:type="dxa"/>
            <w:right w:w="108" w:type="dxa"/>
          </w:tblCellMar>
        </w:tblPrEx>
        <w:trPr>
          <w:trHeight w:val="673" w:hRule="atLeast"/>
        </w:trPr>
        <w:tc>
          <w:tcPr>
            <w:tcW w:w="500" w:type="dxa"/>
            <w:tcBorders>
              <w:top w:val="single" w:color="auto" w:sz="4" w:space="0"/>
              <w:left w:val="single" w:color="auto" w:sz="4" w:space="0"/>
              <w:bottom w:val="single" w:color="auto" w:sz="4" w:space="0"/>
              <w:right w:val="single" w:color="auto" w:sz="4" w:space="0"/>
            </w:tcBorders>
            <w:vAlign w:val="center"/>
          </w:tcPr>
          <w:p>
            <w:pPr>
              <w:jc w:val="center"/>
              <w:rPr>
                <w:rFonts w:ascii="Courier New" w:hAnsi="Courier New" w:cs="Courier New"/>
                <w:color w:val="auto"/>
                <w:sz w:val="24"/>
                <w:highlight w:val="none"/>
              </w:rPr>
            </w:pPr>
            <w:r>
              <w:rPr>
                <w:rFonts w:hint="eastAsia" w:ascii="宋体" w:hAnsi="宋体"/>
                <w:color w:val="auto"/>
                <w:sz w:val="24"/>
                <w:highlight w:val="none"/>
              </w:rPr>
              <w:t>序号</w:t>
            </w:r>
          </w:p>
        </w:tc>
        <w:tc>
          <w:tcPr>
            <w:tcW w:w="1168" w:type="dxa"/>
            <w:tcBorders>
              <w:top w:val="single" w:color="auto" w:sz="4" w:space="0"/>
              <w:left w:val="nil"/>
              <w:bottom w:val="single" w:color="auto" w:sz="4" w:space="0"/>
              <w:right w:val="single" w:color="auto" w:sz="4" w:space="0"/>
            </w:tcBorders>
            <w:vAlign w:val="center"/>
          </w:tcPr>
          <w:p>
            <w:pPr>
              <w:jc w:val="center"/>
              <w:rPr>
                <w:rFonts w:ascii="Courier New" w:hAnsi="Courier New" w:cs="Courier New"/>
                <w:b/>
                <w:bCs/>
                <w:color w:val="auto"/>
                <w:sz w:val="24"/>
                <w:highlight w:val="none"/>
              </w:rPr>
            </w:pPr>
            <w:r>
              <w:rPr>
                <w:rFonts w:hint="eastAsia" w:ascii="宋体" w:hAnsi="宋体"/>
                <w:b/>
                <w:bCs/>
                <w:color w:val="auto"/>
                <w:sz w:val="24"/>
                <w:highlight w:val="none"/>
              </w:rPr>
              <w:t>名称</w:t>
            </w:r>
          </w:p>
        </w:tc>
        <w:tc>
          <w:tcPr>
            <w:tcW w:w="4819" w:type="dxa"/>
            <w:tcBorders>
              <w:top w:val="single" w:color="auto" w:sz="4" w:space="0"/>
              <w:left w:val="nil"/>
              <w:bottom w:val="single" w:color="auto" w:sz="4" w:space="0"/>
              <w:right w:val="single" w:color="auto" w:sz="4" w:space="0"/>
            </w:tcBorders>
            <w:vAlign w:val="center"/>
          </w:tcPr>
          <w:p>
            <w:pPr>
              <w:jc w:val="center"/>
              <w:rPr>
                <w:rFonts w:ascii="Courier New" w:hAnsi="Courier New" w:cs="Courier New"/>
                <w:b/>
                <w:bCs/>
                <w:color w:val="auto"/>
                <w:sz w:val="24"/>
                <w:highlight w:val="none"/>
              </w:rPr>
            </w:pPr>
            <w:r>
              <w:rPr>
                <w:rFonts w:hint="eastAsia" w:ascii="宋体" w:hAnsi="宋体"/>
                <w:b/>
                <w:bCs/>
                <w:color w:val="auto"/>
                <w:sz w:val="24"/>
                <w:highlight w:val="none"/>
              </w:rPr>
              <w:t>技术</w:t>
            </w:r>
            <w:r>
              <w:rPr>
                <w:b/>
                <w:bCs/>
                <w:color w:val="auto"/>
                <w:sz w:val="24"/>
                <w:highlight w:val="none"/>
              </w:rPr>
              <w:t>参数及配置</w:t>
            </w:r>
          </w:p>
        </w:tc>
        <w:tc>
          <w:tcPr>
            <w:tcW w:w="1134" w:type="dxa"/>
            <w:tcBorders>
              <w:top w:val="single" w:color="auto" w:sz="4" w:space="0"/>
              <w:left w:val="nil"/>
              <w:bottom w:val="single" w:color="auto" w:sz="4" w:space="0"/>
              <w:right w:val="single" w:color="auto" w:sz="4" w:space="0"/>
            </w:tcBorders>
            <w:vAlign w:val="center"/>
          </w:tcPr>
          <w:p>
            <w:pPr>
              <w:jc w:val="center"/>
              <w:rPr>
                <w:rFonts w:ascii="Courier New" w:hAnsi="Courier New" w:cs="Courier New"/>
                <w:b/>
                <w:bCs/>
                <w:color w:val="auto"/>
                <w:sz w:val="24"/>
                <w:highlight w:val="none"/>
              </w:rPr>
            </w:pPr>
            <w:r>
              <w:rPr>
                <w:rFonts w:hint="eastAsia" w:ascii="宋体" w:hAnsi="宋体"/>
                <w:b/>
                <w:bCs/>
                <w:color w:val="auto"/>
                <w:sz w:val="24"/>
                <w:highlight w:val="none"/>
              </w:rPr>
              <w:t>名称</w:t>
            </w:r>
          </w:p>
        </w:tc>
        <w:tc>
          <w:tcPr>
            <w:tcW w:w="5539" w:type="dxa"/>
            <w:tcBorders>
              <w:top w:val="single" w:color="auto" w:sz="4" w:space="0"/>
              <w:left w:val="nil"/>
              <w:bottom w:val="single" w:color="auto" w:sz="4" w:space="0"/>
              <w:right w:val="single" w:color="auto" w:sz="4" w:space="0"/>
            </w:tcBorders>
            <w:vAlign w:val="center"/>
          </w:tcPr>
          <w:p>
            <w:pPr>
              <w:jc w:val="center"/>
              <w:rPr>
                <w:rFonts w:ascii="Courier New" w:hAnsi="Courier New" w:cs="Courier New"/>
                <w:b/>
                <w:bCs/>
                <w:color w:val="auto"/>
                <w:sz w:val="24"/>
                <w:highlight w:val="none"/>
              </w:rPr>
            </w:pPr>
            <w:r>
              <w:rPr>
                <w:rFonts w:hint="eastAsia" w:ascii="宋体" w:hAnsi="宋体"/>
                <w:b/>
                <w:bCs/>
                <w:color w:val="auto"/>
                <w:sz w:val="24"/>
                <w:highlight w:val="none"/>
              </w:rPr>
              <w:t>技术</w:t>
            </w:r>
            <w:r>
              <w:rPr>
                <w:b/>
                <w:bCs/>
                <w:color w:val="auto"/>
                <w:sz w:val="24"/>
                <w:highlight w:val="none"/>
              </w:rPr>
              <w:t>参数及配置</w:t>
            </w:r>
          </w:p>
        </w:tc>
        <w:tc>
          <w:tcPr>
            <w:tcW w:w="982" w:type="dxa"/>
            <w:tcBorders>
              <w:top w:val="single" w:color="auto" w:sz="4" w:space="0"/>
              <w:left w:val="nil"/>
              <w:bottom w:val="single" w:color="auto" w:sz="4" w:space="0"/>
              <w:right w:val="single" w:color="auto" w:sz="4" w:space="0"/>
            </w:tcBorders>
            <w:vAlign w:val="center"/>
          </w:tcPr>
          <w:p>
            <w:pPr>
              <w:jc w:val="center"/>
              <w:rPr>
                <w:rFonts w:ascii="Courier New" w:hAnsi="Courier New" w:cs="Courier New"/>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3" w:hRule="atLeast"/>
        </w:trPr>
        <w:tc>
          <w:tcPr>
            <w:tcW w:w="500" w:type="dxa"/>
            <w:tcBorders>
              <w:top w:val="single" w:color="auto" w:sz="4" w:space="0"/>
              <w:left w:val="single" w:color="auto" w:sz="4" w:space="0"/>
              <w:bottom w:val="single" w:color="auto" w:sz="4" w:space="0"/>
              <w:right w:val="single" w:color="auto" w:sz="4" w:space="0"/>
            </w:tcBorders>
            <w:vAlign w:val="center"/>
          </w:tcPr>
          <w:p>
            <w:pPr>
              <w:jc w:val="center"/>
              <w:rPr>
                <w:rFonts w:ascii="Courier New" w:hAnsi="Courier New" w:cs="Courier New"/>
                <w:color w:val="auto"/>
                <w:sz w:val="24"/>
                <w:highlight w:val="none"/>
              </w:rPr>
            </w:pPr>
          </w:p>
        </w:tc>
        <w:tc>
          <w:tcPr>
            <w:tcW w:w="1168" w:type="dxa"/>
            <w:tcBorders>
              <w:top w:val="single" w:color="auto" w:sz="4" w:space="0"/>
              <w:left w:val="nil"/>
              <w:bottom w:val="single" w:color="auto" w:sz="4" w:space="0"/>
              <w:right w:val="single" w:color="auto" w:sz="4" w:space="0"/>
            </w:tcBorders>
            <w:vAlign w:val="center"/>
          </w:tcPr>
          <w:p>
            <w:pPr>
              <w:jc w:val="center"/>
              <w:rPr>
                <w:rFonts w:ascii="Courier New" w:hAnsi="Courier New" w:cs="Courier New"/>
                <w:color w:val="auto"/>
                <w:sz w:val="24"/>
                <w:highlight w:val="none"/>
              </w:rPr>
            </w:pPr>
          </w:p>
        </w:tc>
        <w:tc>
          <w:tcPr>
            <w:tcW w:w="4819" w:type="dxa"/>
            <w:tcBorders>
              <w:top w:val="single" w:color="auto" w:sz="4" w:space="0"/>
              <w:left w:val="nil"/>
              <w:bottom w:val="single" w:color="auto" w:sz="4" w:space="0"/>
              <w:right w:val="single" w:color="auto" w:sz="4" w:space="0"/>
            </w:tcBorders>
            <w:vAlign w:val="center"/>
          </w:tcPr>
          <w:p>
            <w:pPr>
              <w:rPr>
                <w:rFonts w:ascii="Courier New" w:hAnsi="Courier New" w:cs="Courier New"/>
                <w:color w:val="auto"/>
                <w:sz w:val="24"/>
                <w:highlight w:val="none"/>
              </w:rPr>
            </w:pPr>
          </w:p>
        </w:tc>
        <w:tc>
          <w:tcPr>
            <w:tcW w:w="1134" w:type="dxa"/>
            <w:tcBorders>
              <w:top w:val="single" w:color="auto" w:sz="4" w:space="0"/>
              <w:left w:val="nil"/>
              <w:bottom w:val="single" w:color="auto" w:sz="4" w:space="0"/>
              <w:right w:val="single" w:color="auto" w:sz="4" w:space="0"/>
            </w:tcBorders>
            <w:vAlign w:val="center"/>
          </w:tcPr>
          <w:p>
            <w:pPr>
              <w:jc w:val="center"/>
              <w:rPr>
                <w:rFonts w:ascii="Courier New" w:hAnsi="Courier New" w:cs="Courier New"/>
                <w:color w:val="auto"/>
                <w:sz w:val="24"/>
                <w:highlight w:val="none"/>
              </w:rPr>
            </w:pPr>
          </w:p>
        </w:tc>
        <w:tc>
          <w:tcPr>
            <w:tcW w:w="5539" w:type="dxa"/>
            <w:tcBorders>
              <w:top w:val="single" w:color="auto" w:sz="4" w:space="0"/>
              <w:left w:val="nil"/>
              <w:bottom w:val="single" w:color="auto" w:sz="4" w:space="0"/>
              <w:right w:val="single" w:color="auto" w:sz="4" w:space="0"/>
            </w:tcBorders>
            <w:vAlign w:val="center"/>
          </w:tcPr>
          <w:p>
            <w:pPr>
              <w:widowControl/>
              <w:jc w:val="left"/>
              <w:rPr>
                <w:rFonts w:ascii="Courier New" w:hAnsi="Courier New" w:cs="Courier New"/>
                <w:color w:val="auto"/>
                <w:sz w:val="24"/>
                <w:highlight w:val="none"/>
              </w:rPr>
            </w:pPr>
          </w:p>
        </w:tc>
        <w:tc>
          <w:tcPr>
            <w:tcW w:w="982" w:type="dxa"/>
            <w:tcBorders>
              <w:top w:val="single" w:color="auto" w:sz="4" w:space="0"/>
              <w:left w:val="nil"/>
              <w:bottom w:val="single" w:color="auto" w:sz="4" w:space="0"/>
              <w:right w:val="single" w:color="auto" w:sz="4" w:space="0"/>
            </w:tcBorders>
            <w:vAlign w:val="center"/>
          </w:tcPr>
          <w:p>
            <w:pPr>
              <w:jc w:val="center"/>
              <w:rPr>
                <w:rFonts w:ascii="Courier New" w:hAnsi="Courier New" w:cs="Courier New"/>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3" w:hRule="atLeast"/>
        </w:trPr>
        <w:tc>
          <w:tcPr>
            <w:tcW w:w="500" w:type="dxa"/>
            <w:tcBorders>
              <w:top w:val="single" w:color="auto" w:sz="4" w:space="0"/>
              <w:left w:val="single" w:color="auto" w:sz="4" w:space="0"/>
              <w:bottom w:val="single" w:color="auto" w:sz="4" w:space="0"/>
              <w:right w:val="single" w:color="auto" w:sz="4" w:space="0"/>
            </w:tcBorders>
            <w:vAlign w:val="center"/>
          </w:tcPr>
          <w:p>
            <w:pPr>
              <w:jc w:val="center"/>
              <w:rPr>
                <w:rFonts w:ascii="Courier New" w:hAnsi="Courier New" w:cs="Courier New"/>
                <w:color w:val="auto"/>
                <w:sz w:val="24"/>
                <w:highlight w:val="none"/>
              </w:rPr>
            </w:pPr>
          </w:p>
        </w:tc>
        <w:tc>
          <w:tcPr>
            <w:tcW w:w="1168" w:type="dxa"/>
            <w:tcBorders>
              <w:top w:val="single" w:color="auto" w:sz="4" w:space="0"/>
              <w:left w:val="nil"/>
              <w:bottom w:val="single" w:color="auto" w:sz="4" w:space="0"/>
              <w:right w:val="single" w:color="auto" w:sz="4" w:space="0"/>
            </w:tcBorders>
            <w:vAlign w:val="center"/>
          </w:tcPr>
          <w:p>
            <w:pPr>
              <w:jc w:val="center"/>
              <w:rPr>
                <w:rFonts w:ascii="Courier New" w:hAnsi="Courier New" w:cs="Courier New"/>
                <w:color w:val="auto"/>
                <w:sz w:val="24"/>
                <w:highlight w:val="none"/>
              </w:rPr>
            </w:pPr>
          </w:p>
        </w:tc>
        <w:tc>
          <w:tcPr>
            <w:tcW w:w="4819" w:type="dxa"/>
            <w:tcBorders>
              <w:top w:val="single" w:color="auto" w:sz="4" w:space="0"/>
              <w:left w:val="nil"/>
              <w:bottom w:val="single" w:color="auto" w:sz="4" w:space="0"/>
              <w:right w:val="single" w:color="auto" w:sz="4" w:space="0"/>
            </w:tcBorders>
            <w:vAlign w:val="center"/>
          </w:tcPr>
          <w:p>
            <w:pPr>
              <w:widowControl/>
              <w:spacing w:line="360" w:lineRule="auto"/>
              <w:jc w:val="left"/>
              <w:rPr>
                <w:rFonts w:ascii="Courier New" w:hAnsi="Courier New" w:cs="Courier New"/>
                <w:color w:val="auto"/>
                <w:sz w:val="24"/>
                <w:highlight w:val="none"/>
              </w:rPr>
            </w:pPr>
          </w:p>
        </w:tc>
        <w:tc>
          <w:tcPr>
            <w:tcW w:w="1134" w:type="dxa"/>
            <w:tcBorders>
              <w:top w:val="single" w:color="auto" w:sz="4" w:space="0"/>
              <w:left w:val="nil"/>
              <w:bottom w:val="single" w:color="auto" w:sz="4" w:space="0"/>
              <w:right w:val="single" w:color="auto" w:sz="4" w:space="0"/>
            </w:tcBorders>
            <w:vAlign w:val="center"/>
          </w:tcPr>
          <w:p>
            <w:pPr>
              <w:spacing w:line="360" w:lineRule="auto"/>
              <w:jc w:val="center"/>
              <w:rPr>
                <w:rFonts w:ascii="Courier New" w:hAnsi="Courier New" w:cs="Courier New"/>
                <w:color w:val="auto"/>
                <w:sz w:val="24"/>
                <w:highlight w:val="none"/>
              </w:rPr>
            </w:pPr>
          </w:p>
        </w:tc>
        <w:tc>
          <w:tcPr>
            <w:tcW w:w="5539" w:type="dxa"/>
            <w:tcBorders>
              <w:top w:val="single" w:color="auto" w:sz="4" w:space="0"/>
              <w:left w:val="nil"/>
              <w:bottom w:val="single" w:color="auto" w:sz="4" w:space="0"/>
              <w:right w:val="single" w:color="auto" w:sz="4" w:space="0"/>
            </w:tcBorders>
            <w:vAlign w:val="center"/>
          </w:tcPr>
          <w:p>
            <w:pPr>
              <w:widowControl/>
              <w:spacing w:line="360" w:lineRule="auto"/>
              <w:jc w:val="left"/>
              <w:rPr>
                <w:rFonts w:ascii="Courier New" w:hAnsi="Courier New" w:cs="Courier New"/>
                <w:color w:val="auto"/>
                <w:sz w:val="24"/>
                <w:highlight w:val="none"/>
              </w:rPr>
            </w:pPr>
          </w:p>
        </w:tc>
        <w:tc>
          <w:tcPr>
            <w:tcW w:w="982" w:type="dxa"/>
            <w:tcBorders>
              <w:top w:val="single" w:color="auto" w:sz="4" w:space="0"/>
              <w:left w:val="nil"/>
              <w:bottom w:val="single" w:color="auto" w:sz="4" w:space="0"/>
              <w:right w:val="single" w:color="auto" w:sz="4" w:space="0"/>
            </w:tcBorders>
            <w:vAlign w:val="center"/>
          </w:tcPr>
          <w:p>
            <w:pPr>
              <w:jc w:val="center"/>
              <w:rPr>
                <w:rFonts w:ascii="Courier New" w:hAnsi="Courier New" w:cs="Courier New"/>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3" w:hRule="atLeast"/>
        </w:trPr>
        <w:tc>
          <w:tcPr>
            <w:tcW w:w="500" w:type="dxa"/>
            <w:tcBorders>
              <w:top w:val="single" w:color="auto" w:sz="4" w:space="0"/>
              <w:left w:val="single" w:color="auto" w:sz="4" w:space="0"/>
              <w:bottom w:val="single" w:color="auto" w:sz="4" w:space="0"/>
              <w:right w:val="single" w:color="auto" w:sz="4" w:space="0"/>
            </w:tcBorders>
            <w:vAlign w:val="center"/>
          </w:tcPr>
          <w:p>
            <w:pPr>
              <w:jc w:val="center"/>
              <w:rPr>
                <w:rFonts w:ascii="Courier New" w:hAnsi="Courier New" w:cs="Courier New"/>
                <w:color w:val="auto"/>
                <w:szCs w:val="21"/>
                <w:highlight w:val="none"/>
              </w:rPr>
            </w:pPr>
          </w:p>
        </w:tc>
        <w:tc>
          <w:tcPr>
            <w:tcW w:w="1168" w:type="dxa"/>
            <w:tcBorders>
              <w:top w:val="single" w:color="auto" w:sz="4" w:space="0"/>
              <w:left w:val="nil"/>
              <w:bottom w:val="single" w:color="auto" w:sz="4" w:space="0"/>
              <w:right w:val="single" w:color="auto" w:sz="4" w:space="0"/>
            </w:tcBorders>
            <w:vAlign w:val="center"/>
          </w:tcPr>
          <w:p>
            <w:pPr>
              <w:jc w:val="center"/>
              <w:rPr>
                <w:rFonts w:ascii="Courier New" w:hAnsi="Courier New" w:cs="Courier New"/>
                <w:color w:val="auto"/>
                <w:szCs w:val="21"/>
                <w:highlight w:val="none"/>
              </w:rPr>
            </w:pPr>
          </w:p>
        </w:tc>
        <w:tc>
          <w:tcPr>
            <w:tcW w:w="4819" w:type="dxa"/>
            <w:tcBorders>
              <w:top w:val="single" w:color="auto" w:sz="4" w:space="0"/>
              <w:left w:val="nil"/>
              <w:bottom w:val="single" w:color="auto" w:sz="4" w:space="0"/>
              <w:right w:val="single" w:color="auto" w:sz="4" w:space="0"/>
            </w:tcBorders>
            <w:vAlign w:val="center"/>
          </w:tcPr>
          <w:p>
            <w:pPr>
              <w:widowControl/>
              <w:spacing w:line="360" w:lineRule="auto"/>
              <w:jc w:val="left"/>
              <w:rPr>
                <w:rFonts w:ascii="Courier New" w:hAnsi="Courier New" w:cs="Courier New"/>
                <w:color w:val="auto"/>
                <w:szCs w:val="21"/>
                <w:highlight w:val="none"/>
              </w:rPr>
            </w:pPr>
          </w:p>
        </w:tc>
        <w:tc>
          <w:tcPr>
            <w:tcW w:w="1134" w:type="dxa"/>
            <w:tcBorders>
              <w:top w:val="single" w:color="auto" w:sz="4" w:space="0"/>
              <w:left w:val="nil"/>
              <w:bottom w:val="single" w:color="auto" w:sz="4" w:space="0"/>
              <w:right w:val="single" w:color="auto" w:sz="4" w:space="0"/>
            </w:tcBorders>
            <w:vAlign w:val="center"/>
          </w:tcPr>
          <w:p>
            <w:pPr>
              <w:spacing w:line="360" w:lineRule="auto"/>
              <w:jc w:val="center"/>
              <w:rPr>
                <w:rFonts w:ascii="Courier New" w:hAnsi="Courier New" w:cs="Courier New"/>
                <w:color w:val="auto"/>
                <w:szCs w:val="21"/>
                <w:highlight w:val="none"/>
              </w:rPr>
            </w:pPr>
          </w:p>
        </w:tc>
        <w:tc>
          <w:tcPr>
            <w:tcW w:w="5539" w:type="dxa"/>
            <w:tcBorders>
              <w:top w:val="single" w:color="auto" w:sz="4" w:space="0"/>
              <w:left w:val="nil"/>
              <w:bottom w:val="single" w:color="auto" w:sz="4" w:space="0"/>
              <w:right w:val="single" w:color="auto" w:sz="4" w:space="0"/>
            </w:tcBorders>
            <w:vAlign w:val="center"/>
          </w:tcPr>
          <w:p>
            <w:pPr>
              <w:widowControl/>
              <w:spacing w:line="360" w:lineRule="auto"/>
              <w:jc w:val="left"/>
              <w:rPr>
                <w:rFonts w:ascii="Courier New" w:hAnsi="Courier New" w:cs="Courier New"/>
                <w:color w:val="auto"/>
                <w:szCs w:val="21"/>
                <w:highlight w:val="none"/>
              </w:rPr>
            </w:pPr>
          </w:p>
        </w:tc>
        <w:tc>
          <w:tcPr>
            <w:tcW w:w="982" w:type="dxa"/>
            <w:tcBorders>
              <w:top w:val="single" w:color="auto" w:sz="4" w:space="0"/>
              <w:left w:val="nil"/>
              <w:bottom w:val="single" w:color="auto" w:sz="4" w:space="0"/>
              <w:right w:val="single" w:color="auto" w:sz="4" w:space="0"/>
            </w:tcBorders>
          </w:tcPr>
          <w:p>
            <w:pPr>
              <w:rPr>
                <w:rFonts w:ascii="Courier New" w:hAnsi="Courier New" w:cs="Courier New"/>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3" w:hRule="atLeast"/>
        </w:trPr>
        <w:tc>
          <w:tcPr>
            <w:tcW w:w="500" w:type="dxa"/>
            <w:tcBorders>
              <w:top w:val="single" w:color="auto" w:sz="4" w:space="0"/>
              <w:left w:val="single" w:color="auto" w:sz="4" w:space="0"/>
              <w:bottom w:val="single" w:color="auto" w:sz="4" w:space="0"/>
              <w:right w:val="single" w:color="auto" w:sz="4" w:space="0"/>
            </w:tcBorders>
            <w:vAlign w:val="center"/>
          </w:tcPr>
          <w:p>
            <w:pPr>
              <w:jc w:val="center"/>
              <w:rPr>
                <w:rFonts w:ascii="Courier New" w:hAnsi="Courier New" w:cs="Courier New"/>
                <w:color w:val="auto"/>
                <w:szCs w:val="21"/>
                <w:highlight w:val="none"/>
              </w:rPr>
            </w:pPr>
          </w:p>
        </w:tc>
        <w:tc>
          <w:tcPr>
            <w:tcW w:w="1168" w:type="dxa"/>
            <w:tcBorders>
              <w:top w:val="single" w:color="auto" w:sz="4" w:space="0"/>
              <w:left w:val="nil"/>
              <w:bottom w:val="single" w:color="auto" w:sz="4" w:space="0"/>
              <w:right w:val="single" w:color="auto" w:sz="4" w:space="0"/>
            </w:tcBorders>
            <w:vAlign w:val="center"/>
          </w:tcPr>
          <w:p>
            <w:pPr>
              <w:jc w:val="center"/>
              <w:rPr>
                <w:rFonts w:ascii="Courier New" w:hAnsi="Courier New" w:cs="Courier New"/>
                <w:color w:val="auto"/>
                <w:szCs w:val="21"/>
                <w:highlight w:val="none"/>
              </w:rPr>
            </w:pPr>
          </w:p>
        </w:tc>
        <w:tc>
          <w:tcPr>
            <w:tcW w:w="4819" w:type="dxa"/>
            <w:tcBorders>
              <w:top w:val="single" w:color="auto" w:sz="4" w:space="0"/>
              <w:left w:val="nil"/>
              <w:bottom w:val="single" w:color="auto" w:sz="4" w:space="0"/>
              <w:right w:val="single" w:color="auto" w:sz="4" w:space="0"/>
            </w:tcBorders>
            <w:vAlign w:val="center"/>
          </w:tcPr>
          <w:p>
            <w:pPr>
              <w:widowControl/>
              <w:spacing w:line="360" w:lineRule="auto"/>
              <w:jc w:val="left"/>
              <w:rPr>
                <w:rFonts w:ascii="Courier New" w:hAnsi="Courier New" w:cs="Courier New"/>
                <w:color w:val="auto"/>
                <w:szCs w:val="21"/>
                <w:highlight w:val="none"/>
              </w:rPr>
            </w:pPr>
          </w:p>
        </w:tc>
        <w:tc>
          <w:tcPr>
            <w:tcW w:w="1134" w:type="dxa"/>
            <w:tcBorders>
              <w:top w:val="single" w:color="auto" w:sz="4" w:space="0"/>
              <w:left w:val="nil"/>
              <w:bottom w:val="single" w:color="auto" w:sz="4" w:space="0"/>
              <w:right w:val="single" w:color="auto" w:sz="4" w:space="0"/>
            </w:tcBorders>
            <w:vAlign w:val="center"/>
          </w:tcPr>
          <w:p>
            <w:pPr>
              <w:spacing w:line="360" w:lineRule="auto"/>
              <w:jc w:val="center"/>
              <w:rPr>
                <w:rFonts w:ascii="Courier New" w:hAnsi="Courier New" w:cs="Courier New"/>
                <w:color w:val="auto"/>
                <w:szCs w:val="21"/>
                <w:highlight w:val="none"/>
              </w:rPr>
            </w:pPr>
          </w:p>
        </w:tc>
        <w:tc>
          <w:tcPr>
            <w:tcW w:w="5539" w:type="dxa"/>
            <w:tcBorders>
              <w:top w:val="single" w:color="auto" w:sz="4" w:space="0"/>
              <w:left w:val="nil"/>
              <w:bottom w:val="single" w:color="auto" w:sz="4" w:space="0"/>
              <w:right w:val="single" w:color="auto" w:sz="4" w:space="0"/>
            </w:tcBorders>
            <w:vAlign w:val="center"/>
          </w:tcPr>
          <w:p>
            <w:pPr>
              <w:widowControl/>
              <w:spacing w:line="360" w:lineRule="auto"/>
              <w:jc w:val="left"/>
              <w:rPr>
                <w:rFonts w:ascii="Courier New" w:hAnsi="Courier New" w:cs="Courier New"/>
                <w:color w:val="auto"/>
                <w:szCs w:val="21"/>
                <w:highlight w:val="none"/>
              </w:rPr>
            </w:pPr>
          </w:p>
        </w:tc>
        <w:tc>
          <w:tcPr>
            <w:tcW w:w="982" w:type="dxa"/>
            <w:tcBorders>
              <w:top w:val="single" w:color="auto" w:sz="4" w:space="0"/>
              <w:left w:val="nil"/>
              <w:bottom w:val="single" w:color="auto" w:sz="4" w:space="0"/>
              <w:right w:val="single" w:color="auto" w:sz="4" w:space="0"/>
            </w:tcBorders>
          </w:tcPr>
          <w:p>
            <w:pPr>
              <w:rPr>
                <w:rFonts w:ascii="Courier New" w:hAnsi="Courier New" w:cs="Courier New"/>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trPr>
        <w:tc>
          <w:tcPr>
            <w:tcW w:w="500" w:type="dxa"/>
            <w:tcBorders>
              <w:top w:val="single" w:color="auto" w:sz="4" w:space="0"/>
              <w:left w:val="single" w:color="auto" w:sz="4" w:space="0"/>
              <w:bottom w:val="single" w:color="auto" w:sz="4" w:space="0"/>
              <w:right w:val="single" w:color="auto" w:sz="4" w:space="0"/>
            </w:tcBorders>
            <w:vAlign w:val="center"/>
          </w:tcPr>
          <w:p>
            <w:pPr>
              <w:jc w:val="center"/>
              <w:rPr>
                <w:rFonts w:ascii="Courier New" w:hAnsi="Courier New" w:cs="Courier New"/>
                <w:color w:val="auto"/>
                <w:szCs w:val="21"/>
                <w:highlight w:val="none"/>
              </w:rPr>
            </w:pPr>
          </w:p>
        </w:tc>
        <w:tc>
          <w:tcPr>
            <w:tcW w:w="1168" w:type="dxa"/>
            <w:tcBorders>
              <w:top w:val="single" w:color="auto" w:sz="4" w:space="0"/>
              <w:left w:val="nil"/>
              <w:bottom w:val="single" w:color="auto" w:sz="4" w:space="0"/>
              <w:right w:val="single" w:color="auto" w:sz="4" w:space="0"/>
            </w:tcBorders>
            <w:vAlign w:val="center"/>
          </w:tcPr>
          <w:p>
            <w:pPr>
              <w:jc w:val="center"/>
              <w:rPr>
                <w:rFonts w:ascii="Courier New" w:hAnsi="Courier New" w:cs="Courier New"/>
                <w:color w:val="auto"/>
                <w:szCs w:val="21"/>
                <w:highlight w:val="none"/>
              </w:rPr>
            </w:pPr>
          </w:p>
        </w:tc>
        <w:tc>
          <w:tcPr>
            <w:tcW w:w="4819" w:type="dxa"/>
            <w:tcBorders>
              <w:top w:val="single" w:color="auto" w:sz="4" w:space="0"/>
              <w:left w:val="nil"/>
              <w:bottom w:val="single" w:color="auto" w:sz="4" w:space="0"/>
              <w:right w:val="single" w:color="auto" w:sz="4" w:space="0"/>
            </w:tcBorders>
            <w:vAlign w:val="center"/>
          </w:tcPr>
          <w:p>
            <w:pPr>
              <w:widowControl/>
              <w:spacing w:line="360" w:lineRule="auto"/>
              <w:jc w:val="left"/>
              <w:rPr>
                <w:rFonts w:ascii="Courier New" w:hAnsi="Courier New" w:cs="Courier New"/>
                <w:color w:val="auto"/>
                <w:szCs w:val="21"/>
                <w:highlight w:val="none"/>
              </w:rPr>
            </w:pPr>
          </w:p>
        </w:tc>
        <w:tc>
          <w:tcPr>
            <w:tcW w:w="1134" w:type="dxa"/>
            <w:tcBorders>
              <w:top w:val="single" w:color="auto" w:sz="4" w:space="0"/>
              <w:left w:val="nil"/>
              <w:bottom w:val="single" w:color="auto" w:sz="4" w:space="0"/>
              <w:right w:val="single" w:color="auto" w:sz="4" w:space="0"/>
            </w:tcBorders>
            <w:vAlign w:val="center"/>
          </w:tcPr>
          <w:p>
            <w:pPr>
              <w:spacing w:line="360" w:lineRule="auto"/>
              <w:jc w:val="center"/>
              <w:rPr>
                <w:rFonts w:ascii="Courier New" w:hAnsi="Courier New" w:cs="Courier New"/>
                <w:color w:val="auto"/>
                <w:szCs w:val="21"/>
                <w:highlight w:val="none"/>
              </w:rPr>
            </w:pPr>
          </w:p>
        </w:tc>
        <w:tc>
          <w:tcPr>
            <w:tcW w:w="5539" w:type="dxa"/>
            <w:tcBorders>
              <w:top w:val="single" w:color="auto" w:sz="4" w:space="0"/>
              <w:left w:val="nil"/>
              <w:bottom w:val="single" w:color="auto" w:sz="4" w:space="0"/>
              <w:right w:val="single" w:color="auto" w:sz="4" w:space="0"/>
            </w:tcBorders>
            <w:vAlign w:val="center"/>
          </w:tcPr>
          <w:p>
            <w:pPr>
              <w:widowControl/>
              <w:spacing w:line="360" w:lineRule="auto"/>
              <w:jc w:val="left"/>
              <w:rPr>
                <w:rFonts w:ascii="Courier New" w:hAnsi="Courier New" w:cs="Courier New"/>
                <w:color w:val="auto"/>
                <w:szCs w:val="21"/>
                <w:highlight w:val="none"/>
              </w:rPr>
            </w:pPr>
          </w:p>
        </w:tc>
        <w:tc>
          <w:tcPr>
            <w:tcW w:w="982" w:type="dxa"/>
            <w:tcBorders>
              <w:top w:val="single" w:color="auto" w:sz="4" w:space="0"/>
              <w:left w:val="nil"/>
              <w:bottom w:val="single" w:color="auto" w:sz="4" w:space="0"/>
              <w:right w:val="single" w:color="auto" w:sz="4" w:space="0"/>
            </w:tcBorders>
            <w:vAlign w:val="center"/>
          </w:tcPr>
          <w:p>
            <w:pPr>
              <w:jc w:val="center"/>
              <w:rPr>
                <w:rFonts w:ascii="Courier New" w:hAnsi="Courier New" w:cs="Courier New"/>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trPr>
        <w:tc>
          <w:tcPr>
            <w:tcW w:w="500" w:type="dxa"/>
            <w:tcBorders>
              <w:top w:val="single" w:color="auto" w:sz="4" w:space="0"/>
              <w:left w:val="single" w:color="auto" w:sz="4" w:space="0"/>
              <w:bottom w:val="single" w:color="auto" w:sz="4" w:space="0"/>
              <w:right w:val="single" w:color="auto" w:sz="4" w:space="0"/>
            </w:tcBorders>
            <w:vAlign w:val="center"/>
          </w:tcPr>
          <w:p>
            <w:pPr>
              <w:jc w:val="center"/>
              <w:rPr>
                <w:rFonts w:ascii="Courier New" w:hAnsi="Courier New" w:cs="Courier New"/>
                <w:color w:val="auto"/>
                <w:szCs w:val="21"/>
                <w:highlight w:val="none"/>
              </w:rPr>
            </w:pPr>
          </w:p>
        </w:tc>
        <w:tc>
          <w:tcPr>
            <w:tcW w:w="1168" w:type="dxa"/>
            <w:tcBorders>
              <w:top w:val="single" w:color="auto" w:sz="4" w:space="0"/>
              <w:left w:val="nil"/>
              <w:bottom w:val="single" w:color="auto" w:sz="4" w:space="0"/>
              <w:right w:val="single" w:color="auto" w:sz="4" w:space="0"/>
            </w:tcBorders>
            <w:vAlign w:val="center"/>
          </w:tcPr>
          <w:p>
            <w:pPr>
              <w:jc w:val="center"/>
              <w:rPr>
                <w:rFonts w:ascii="Courier New" w:hAnsi="Courier New" w:cs="Courier New"/>
                <w:color w:val="auto"/>
                <w:szCs w:val="21"/>
                <w:highlight w:val="none"/>
              </w:rPr>
            </w:pPr>
          </w:p>
        </w:tc>
        <w:tc>
          <w:tcPr>
            <w:tcW w:w="4819" w:type="dxa"/>
            <w:tcBorders>
              <w:top w:val="single" w:color="auto" w:sz="4" w:space="0"/>
              <w:left w:val="nil"/>
              <w:bottom w:val="single" w:color="auto" w:sz="4" w:space="0"/>
              <w:right w:val="single" w:color="auto" w:sz="4" w:space="0"/>
            </w:tcBorders>
            <w:vAlign w:val="center"/>
          </w:tcPr>
          <w:p>
            <w:pPr>
              <w:widowControl/>
              <w:spacing w:line="360" w:lineRule="auto"/>
              <w:jc w:val="left"/>
              <w:rPr>
                <w:rFonts w:ascii="Courier New" w:hAnsi="Courier New" w:cs="Courier New"/>
                <w:color w:val="auto"/>
                <w:szCs w:val="21"/>
                <w:highlight w:val="none"/>
              </w:rPr>
            </w:pPr>
          </w:p>
        </w:tc>
        <w:tc>
          <w:tcPr>
            <w:tcW w:w="1134" w:type="dxa"/>
            <w:tcBorders>
              <w:top w:val="single" w:color="auto" w:sz="4" w:space="0"/>
              <w:left w:val="nil"/>
              <w:bottom w:val="single" w:color="auto" w:sz="4" w:space="0"/>
              <w:right w:val="single" w:color="auto" w:sz="4" w:space="0"/>
            </w:tcBorders>
            <w:vAlign w:val="center"/>
          </w:tcPr>
          <w:p>
            <w:pPr>
              <w:spacing w:line="360" w:lineRule="auto"/>
              <w:jc w:val="center"/>
              <w:rPr>
                <w:rFonts w:ascii="Courier New" w:hAnsi="Courier New" w:cs="Courier New"/>
                <w:color w:val="auto"/>
                <w:szCs w:val="21"/>
                <w:highlight w:val="none"/>
              </w:rPr>
            </w:pPr>
          </w:p>
        </w:tc>
        <w:tc>
          <w:tcPr>
            <w:tcW w:w="5539" w:type="dxa"/>
            <w:tcBorders>
              <w:top w:val="single" w:color="auto" w:sz="4" w:space="0"/>
              <w:left w:val="nil"/>
              <w:bottom w:val="single" w:color="auto" w:sz="4" w:space="0"/>
              <w:right w:val="single" w:color="auto" w:sz="4" w:space="0"/>
            </w:tcBorders>
            <w:vAlign w:val="center"/>
          </w:tcPr>
          <w:p>
            <w:pPr>
              <w:widowControl/>
              <w:spacing w:line="360" w:lineRule="auto"/>
              <w:jc w:val="left"/>
              <w:rPr>
                <w:rFonts w:ascii="Courier New" w:hAnsi="Courier New" w:cs="Courier New"/>
                <w:color w:val="auto"/>
                <w:szCs w:val="21"/>
                <w:highlight w:val="none"/>
              </w:rPr>
            </w:pPr>
          </w:p>
        </w:tc>
        <w:tc>
          <w:tcPr>
            <w:tcW w:w="982" w:type="dxa"/>
            <w:tcBorders>
              <w:top w:val="single" w:color="auto" w:sz="4" w:space="0"/>
              <w:left w:val="nil"/>
              <w:bottom w:val="single" w:color="auto" w:sz="4" w:space="0"/>
              <w:right w:val="single" w:color="auto" w:sz="4" w:space="0"/>
            </w:tcBorders>
            <w:vAlign w:val="center"/>
          </w:tcPr>
          <w:p>
            <w:pPr>
              <w:jc w:val="center"/>
              <w:rPr>
                <w:rFonts w:ascii="Courier New" w:hAnsi="Courier New" w:cs="Courier New"/>
                <w:color w:val="auto"/>
                <w:szCs w:val="21"/>
                <w:highlight w:val="none"/>
              </w:rPr>
            </w:pPr>
          </w:p>
        </w:tc>
      </w:tr>
    </w:tbl>
    <w:p>
      <w:pPr>
        <w:rPr>
          <w:rFonts w:ascii="Courier New" w:hAnsi="Courier New" w:cs="Courier New"/>
          <w:color w:val="auto"/>
          <w:szCs w:val="21"/>
          <w:highlight w:val="none"/>
        </w:rPr>
      </w:pPr>
    </w:p>
    <w:p>
      <w:pPr>
        <w:widowControl/>
        <w:jc w:val="left"/>
        <w:rPr>
          <w:rFonts w:ascii="宋体" w:hAnsi="宋体" w:cs="宋体"/>
          <w:color w:val="auto"/>
          <w:sz w:val="44"/>
          <w:szCs w:val="44"/>
          <w:highlight w:val="none"/>
        </w:rPr>
        <w:sectPr>
          <w:pgSz w:w="16838" w:h="11906" w:orient="landscape"/>
          <w:pgMar w:top="1786" w:right="1440" w:bottom="1786" w:left="1440" w:header="720" w:footer="720" w:gutter="0"/>
          <w:cols w:space="720" w:num="1"/>
          <w:docGrid w:type="lines" w:linePitch="312" w:charSpace="0"/>
        </w:sectPr>
      </w:pPr>
    </w:p>
    <w:p>
      <w:pPr>
        <w:widowControl/>
        <w:spacing w:line="360" w:lineRule="auto"/>
        <w:jc w:val="left"/>
        <w:rPr>
          <w:rFonts w:ascii="宋体" w:hAnsi="宋体"/>
          <w:b/>
          <w:color w:val="auto"/>
          <w:sz w:val="40"/>
          <w:szCs w:val="40"/>
          <w:highlight w:val="none"/>
        </w:rPr>
      </w:pPr>
      <w:r>
        <w:rPr>
          <w:rFonts w:hint="eastAsia" w:ascii="宋体" w:hAnsi="宋体"/>
          <w:b/>
          <w:color w:val="auto"/>
          <w:sz w:val="40"/>
          <w:szCs w:val="40"/>
          <w:highlight w:val="none"/>
        </w:rPr>
        <w:t>1.4  交货批次及进度</w:t>
      </w:r>
    </w:p>
    <w:p>
      <w:pPr>
        <w:widowControl/>
        <w:spacing w:line="360" w:lineRule="auto"/>
        <w:outlineLvl w:val="0"/>
        <w:rPr>
          <w:rFonts w:ascii="宋体" w:hAnsi="宋体"/>
          <w:b/>
          <w:bCs/>
          <w:color w:val="auto"/>
          <w:sz w:val="28"/>
          <w:szCs w:val="28"/>
          <w:highlight w:val="none"/>
        </w:rPr>
      </w:pPr>
      <w:bookmarkStart w:id="268" w:name="_Toc19258"/>
      <w:bookmarkStart w:id="269" w:name="_Toc11402"/>
      <w:bookmarkStart w:id="270" w:name="_Toc29568"/>
      <w:bookmarkStart w:id="271" w:name="_Toc26194"/>
      <w:r>
        <w:rPr>
          <w:rFonts w:hint="eastAsia" w:ascii="宋体" w:hAnsi="宋体"/>
          <w:b/>
          <w:bCs/>
          <w:color w:val="auto"/>
          <w:sz w:val="28"/>
          <w:szCs w:val="28"/>
          <w:highlight w:val="none"/>
        </w:rPr>
        <w:t>1.概述</w:t>
      </w:r>
      <w:bookmarkEnd w:id="268"/>
      <w:bookmarkEnd w:id="269"/>
      <w:bookmarkEnd w:id="270"/>
      <w:bookmarkEnd w:id="271"/>
    </w:p>
    <w:p>
      <w:pPr>
        <w:pStyle w:val="21"/>
        <w:spacing w:line="360" w:lineRule="auto"/>
        <w:ind w:left="1"/>
        <w:rPr>
          <w:rFonts w:hAnsi="宋体"/>
          <w:color w:val="auto"/>
          <w:sz w:val="24"/>
          <w:szCs w:val="24"/>
          <w:highlight w:val="none"/>
        </w:rPr>
      </w:pPr>
      <w:r>
        <w:rPr>
          <w:rFonts w:hint="eastAsia" w:hAnsi="宋体"/>
          <w:color w:val="auto"/>
          <w:sz w:val="24"/>
          <w:szCs w:val="24"/>
          <w:highlight w:val="none"/>
        </w:rPr>
        <w:t>1.1 本到货进度表的到货日期为合同设备实际到达规定到货地点的时间。</w:t>
      </w:r>
    </w:p>
    <w:p>
      <w:pPr>
        <w:pStyle w:val="21"/>
        <w:spacing w:line="360" w:lineRule="auto"/>
        <w:rPr>
          <w:rFonts w:hAnsi="宋体"/>
          <w:color w:val="auto"/>
          <w:sz w:val="24"/>
          <w:szCs w:val="24"/>
          <w:highlight w:val="none"/>
        </w:rPr>
      </w:pPr>
      <w:r>
        <w:rPr>
          <w:rFonts w:hint="eastAsia" w:hAnsi="宋体"/>
          <w:color w:val="auto"/>
          <w:sz w:val="24"/>
          <w:szCs w:val="24"/>
          <w:highlight w:val="none"/>
        </w:rPr>
        <w:t>1.2 为了使到货与工地的现场实际协调，除非得到买方的批准，所有的到货不得早于规定的到货日期前30天。</w:t>
      </w:r>
    </w:p>
    <w:p>
      <w:pPr>
        <w:widowControl/>
        <w:spacing w:line="360" w:lineRule="auto"/>
        <w:outlineLvl w:val="0"/>
        <w:rPr>
          <w:rFonts w:ascii="宋体" w:hAnsi="宋体"/>
          <w:b/>
          <w:bCs/>
          <w:color w:val="auto"/>
          <w:sz w:val="28"/>
          <w:szCs w:val="28"/>
          <w:highlight w:val="none"/>
        </w:rPr>
      </w:pPr>
      <w:bookmarkStart w:id="272" w:name="_Toc28006"/>
      <w:bookmarkStart w:id="273" w:name="_Toc5583"/>
      <w:bookmarkStart w:id="274" w:name="_Toc20377"/>
      <w:bookmarkStart w:id="275" w:name="_Toc1064"/>
      <w:r>
        <w:rPr>
          <w:rFonts w:hint="eastAsia" w:ascii="宋体" w:hAnsi="宋体"/>
          <w:b/>
          <w:bCs/>
          <w:color w:val="auto"/>
          <w:sz w:val="28"/>
          <w:szCs w:val="28"/>
          <w:highlight w:val="none"/>
        </w:rPr>
        <w:t>2.到货、安装进度表</w:t>
      </w:r>
      <w:bookmarkEnd w:id="272"/>
      <w:bookmarkEnd w:id="273"/>
      <w:bookmarkEnd w:id="274"/>
      <w:bookmarkEnd w:id="275"/>
    </w:p>
    <w:p>
      <w:pPr>
        <w:pStyle w:val="21"/>
        <w:adjustRightInd w:val="0"/>
        <w:snapToGrid w:val="0"/>
        <w:spacing w:line="360" w:lineRule="auto"/>
        <w:jc w:val="center"/>
        <w:rPr>
          <w:rFonts w:hAnsi="宋体"/>
          <w:b/>
          <w:bCs/>
          <w:color w:val="auto"/>
          <w:sz w:val="28"/>
          <w:szCs w:val="28"/>
          <w:highlight w:val="none"/>
        </w:rPr>
      </w:pPr>
      <w:r>
        <w:rPr>
          <w:rFonts w:hint="eastAsia" w:hAnsi="宋体"/>
          <w:b/>
          <w:bCs/>
          <w:color w:val="auto"/>
          <w:sz w:val="28"/>
          <w:szCs w:val="28"/>
          <w:highlight w:val="none"/>
        </w:rPr>
        <w:t>设备到货安装进度表</w:t>
      </w:r>
    </w:p>
    <w:tbl>
      <w:tblPr>
        <w:tblStyle w:val="36"/>
        <w:tblW w:w="89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80"/>
        <w:gridCol w:w="3402"/>
        <w:gridCol w:w="29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jc w:val="center"/>
        </w:trPr>
        <w:tc>
          <w:tcPr>
            <w:tcW w:w="2580" w:type="dxa"/>
            <w:tcBorders>
              <w:top w:val="single" w:color="auto" w:sz="4" w:space="0"/>
              <w:left w:val="single" w:color="auto" w:sz="4" w:space="0"/>
              <w:bottom w:val="single" w:color="auto" w:sz="4" w:space="0"/>
              <w:right w:val="single" w:color="auto" w:sz="4" w:space="0"/>
            </w:tcBorders>
            <w:vAlign w:val="center"/>
          </w:tcPr>
          <w:p>
            <w:pPr>
              <w:pStyle w:val="21"/>
              <w:adjustRightInd w:val="0"/>
              <w:snapToGrid w:val="0"/>
              <w:jc w:val="center"/>
              <w:rPr>
                <w:rFonts w:hAnsi="宋体" w:cs="Courier New"/>
                <w:color w:val="auto"/>
                <w:sz w:val="24"/>
                <w:szCs w:val="24"/>
                <w:highlight w:val="none"/>
              </w:rPr>
            </w:pPr>
            <w:r>
              <w:rPr>
                <w:rFonts w:hint="eastAsia" w:ascii="Times New Roman" w:hAnsi="Times New Roman" w:cs="Courier New"/>
                <w:color w:val="auto"/>
                <w:sz w:val="24"/>
                <w:szCs w:val="24"/>
                <w:highlight w:val="none"/>
              </w:rPr>
              <w:t>合同设备到货批次</w:t>
            </w:r>
          </w:p>
        </w:tc>
        <w:tc>
          <w:tcPr>
            <w:tcW w:w="3402" w:type="dxa"/>
            <w:tcBorders>
              <w:top w:val="single" w:color="auto" w:sz="4" w:space="0"/>
              <w:left w:val="nil"/>
              <w:bottom w:val="single" w:color="auto" w:sz="4" w:space="0"/>
              <w:right w:val="single" w:color="auto" w:sz="4" w:space="0"/>
            </w:tcBorders>
            <w:vAlign w:val="center"/>
          </w:tcPr>
          <w:p>
            <w:pPr>
              <w:pStyle w:val="21"/>
              <w:adjustRightInd w:val="0"/>
              <w:snapToGrid w:val="0"/>
              <w:jc w:val="center"/>
              <w:rPr>
                <w:rFonts w:hAnsi="宋体" w:cs="Courier New"/>
                <w:color w:val="auto"/>
                <w:sz w:val="24"/>
                <w:szCs w:val="24"/>
                <w:highlight w:val="none"/>
              </w:rPr>
            </w:pPr>
            <w:r>
              <w:rPr>
                <w:rFonts w:hint="eastAsia" w:ascii="Times New Roman" w:hAnsi="Times New Roman" w:cs="Courier New"/>
                <w:color w:val="auto"/>
                <w:sz w:val="24"/>
                <w:szCs w:val="24"/>
                <w:highlight w:val="none"/>
              </w:rPr>
              <w:t>到货时间</w:t>
            </w:r>
          </w:p>
        </w:tc>
        <w:tc>
          <w:tcPr>
            <w:tcW w:w="2976" w:type="dxa"/>
            <w:tcBorders>
              <w:top w:val="single" w:color="auto" w:sz="4" w:space="0"/>
              <w:left w:val="nil"/>
              <w:bottom w:val="single" w:color="auto" w:sz="4" w:space="0"/>
              <w:right w:val="single" w:color="auto" w:sz="4" w:space="0"/>
            </w:tcBorders>
            <w:vAlign w:val="center"/>
          </w:tcPr>
          <w:p>
            <w:pPr>
              <w:pStyle w:val="21"/>
              <w:adjustRightInd w:val="0"/>
              <w:snapToGrid w:val="0"/>
              <w:jc w:val="center"/>
              <w:rPr>
                <w:rFonts w:hAnsi="宋体" w:cs="Courier New"/>
                <w:color w:val="auto"/>
                <w:sz w:val="24"/>
                <w:szCs w:val="24"/>
                <w:highlight w:val="none"/>
              </w:rPr>
            </w:pPr>
            <w:r>
              <w:rPr>
                <w:rFonts w:hint="eastAsia" w:ascii="Times New Roman" w:hAnsi="Times New Roman" w:cs="Courier New"/>
                <w:color w:val="auto"/>
                <w:sz w:val="24"/>
                <w:szCs w:val="24"/>
                <w:highlight w:val="none"/>
              </w:rPr>
              <w:t>备 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8" w:hRule="atLeast"/>
          <w:jc w:val="center"/>
        </w:trPr>
        <w:tc>
          <w:tcPr>
            <w:tcW w:w="2580" w:type="dxa"/>
            <w:tcBorders>
              <w:top w:val="single" w:color="auto" w:sz="4" w:space="0"/>
              <w:left w:val="single" w:color="auto" w:sz="4" w:space="0"/>
              <w:bottom w:val="single" w:color="auto" w:sz="4" w:space="0"/>
              <w:right w:val="single" w:color="auto" w:sz="4" w:space="0"/>
            </w:tcBorders>
            <w:vAlign w:val="center"/>
          </w:tcPr>
          <w:p>
            <w:pPr>
              <w:pStyle w:val="21"/>
              <w:adjustRightInd w:val="0"/>
              <w:snapToGrid w:val="0"/>
              <w:spacing w:line="460" w:lineRule="exact"/>
              <w:jc w:val="center"/>
              <w:rPr>
                <w:rFonts w:hAnsi="宋体" w:cs="Courier New"/>
                <w:color w:val="auto"/>
                <w:sz w:val="24"/>
                <w:szCs w:val="24"/>
                <w:highlight w:val="none"/>
              </w:rPr>
            </w:pPr>
          </w:p>
        </w:tc>
        <w:tc>
          <w:tcPr>
            <w:tcW w:w="3402" w:type="dxa"/>
            <w:tcBorders>
              <w:top w:val="single" w:color="auto" w:sz="4" w:space="0"/>
              <w:left w:val="nil"/>
              <w:bottom w:val="single" w:color="auto" w:sz="4" w:space="0"/>
              <w:right w:val="single" w:color="auto" w:sz="4" w:space="0"/>
            </w:tcBorders>
            <w:vAlign w:val="center"/>
          </w:tcPr>
          <w:p>
            <w:pPr>
              <w:pStyle w:val="21"/>
              <w:adjustRightInd w:val="0"/>
              <w:spacing w:line="460" w:lineRule="exact"/>
              <w:jc w:val="center"/>
              <w:rPr>
                <w:rFonts w:hAnsi="宋体" w:cs="Courier New"/>
                <w:color w:val="auto"/>
                <w:sz w:val="24"/>
                <w:szCs w:val="24"/>
                <w:highlight w:val="none"/>
              </w:rPr>
            </w:pPr>
          </w:p>
        </w:tc>
        <w:tc>
          <w:tcPr>
            <w:tcW w:w="2976" w:type="dxa"/>
            <w:tcBorders>
              <w:top w:val="single" w:color="auto" w:sz="4" w:space="0"/>
              <w:left w:val="nil"/>
              <w:bottom w:val="single" w:color="auto" w:sz="4" w:space="0"/>
              <w:right w:val="single" w:color="auto" w:sz="4" w:space="0"/>
            </w:tcBorders>
            <w:vAlign w:val="center"/>
          </w:tcPr>
          <w:p>
            <w:pPr>
              <w:pStyle w:val="21"/>
              <w:adjustRightInd w:val="0"/>
              <w:spacing w:line="460" w:lineRule="exact"/>
              <w:jc w:val="center"/>
              <w:rPr>
                <w:rFonts w:hAnsi="宋体" w:cs="Courier New"/>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6" w:hRule="atLeast"/>
          <w:jc w:val="center"/>
        </w:trPr>
        <w:tc>
          <w:tcPr>
            <w:tcW w:w="2580" w:type="dxa"/>
            <w:tcBorders>
              <w:top w:val="single" w:color="auto" w:sz="4" w:space="0"/>
              <w:left w:val="single" w:color="auto" w:sz="4" w:space="0"/>
              <w:bottom w:val="single" w:color="auto" w:sz="4" w:space="0"/>
              <w:right w:val="single" w:color="auto" w:sz="4" w:space="0"/>
            </w:tcBorders>
            <w:vAlign w:val="center"/>
          </w:tcPr>
          <w:p>
            <w:pPr>
              <w:pStyle w:val="21"/>
              <w:adjustRightInd w:val="0"/>
              <w:snapToGrid w:val="0"/>
              <w:spacing w:line="460" w:lineRule="exact"/>
              <w:jc w:val="center"/>
              <w:rPr>
                <w:rFonts w:hAnsi="宋体" w:cs="Courier New"/>
                <w:color w:val="auto"/>
                <w:sz w:val="24"/>
                <w:szCs w:val="24"/>
                <w:highlight w:val="none"/>
              </w:rPr>
            </w:pPr>
          </w:p>
        </w:tc>
        <w:tc>
          <w:tcPr>
            <w:tcW w:w="3402" w:type="dxa"/>
            <w:tcBorders>
              <w:top w:val="single" w:color="auto" w:sz="4" w:space="0"/>
              <w:left w:val="nil"/>
              <w:bottom w:val="single" w:color="auto" w:sz="4" w:space="0"/>
              <w:right w:val="single" w:color="auto" w:sz="4" w:space="0"/>
            </w:tcBorders>
            <w:vAlign w:val="center"/>
          </w:tcPr>
          <w:p>
            <w:pPr>
              <w:pStyle w:val="21"/>
              <w:adjustRightInd w:val="0"/>
              <w:spacing w:line="460" w:lineRule="exact"/>
              <w:jc w:val="center"/>
              <w:rPr>
                <w:rFonts w:hAnsi="宋体" w:cs="Courier New"/>
                <w:color w:val="auto"/>
                <w:sz w:val="24"/>
                <w:szCs w:val="24"/>
                <w:highlight w:val="none"/>
              </w:rPr>
            </w:pPr>
          </w:p>
        </w:tc>
        <w:tc>
          <w:tcPr>
            <w:tcW w:w="2976" w:type="dxa"/>
            <w:tcBorders>
              <w:top w:val="single" w:color="auto" w:sz="4" w:space="0"/>
              <w:left w:val="nil"/>
              <w:bottom w:val="single" w:color="auto" w:sz="4" w:space="0"/>
              <w:right w:val="single" w:color="auto" w:sz="4" w:space="0"/>
            </w:tcBorders>
            <w:vAlign w:val="center"/>
          </w:tcPr>
          <w:p>
            <w:pPr>
              <w:pStyle w:val="21"/>
              <w:adjustRightInd w:val="0"/>
              <w:spacing w:line="460" w:lineRule="exact"/>
              <w:jc w:val="center"/>
              <w:rPr>
                <w:rFonts w:hAnsi="宋体" w:cs="Courier New"/>
                <w:color w:val="auto"/>
                <w:sz w:val="24"/>
                <w:szCs w:val="24"/>
                <w:highlight w:val="none"/>
              </w:rPr>
            </w:pPr>
          </w:p>
        </w:tc>
      </w:tr>
    </w:tbl>
    <w:p>
      <w:pPr>
        <w:pStyle w:val="24"/>
        <w:adjustRightInd w:val="0"/>
        <w:snapToGrid w:val="0"/>
        <w:spacing w:after="0" w:line="360" w:lineRule="auto"/>
        <w:ind w:left="0" w:leftChars="0"/>
        <w:rPr>
          <w:rFonts w:ascii="宋体" w:hAnsi="宋体"/>
          <w:color w:val="auto"/>
          <w:sz w:val="28"/>
          <w:szCs w:val="28"/>
          <w:highlight w:val="none"/>
        </w:rPr>
      </w:pPr>
    </w:p>
    <w:p>
      <w:pPr>
        <w:pStyle w:val="24"/>
        <w:adjustRightInd w:val="0"/>
        <w:snapToGrid w:val="0"/>
        <w:spacing w:after="0" w:line="360" w:lineRule="auto"/>
        <w:ind w:left="0" w:leftChars="0"/>
        <w:rPr>
          <w:rFonts w:ascii="宋体" w:hAnsi="宋体" w:cs="Courier New"/>
          <w:color w:val="auto"/>
          <w:sz w:val="28"/>
          <w:szCs w:val="28"/>
          <w:highlight w:val="none"/>
        </w:rPr>
      </w:pPr>
      <w:r>
        <w:rPr>
          <w:rFonts w:hint="eastAsia" w:ascii="宋体" w:hAnsi="宋体"/>
          <w:b/>
          <w:bCs/>
          <w:color w:val="auto"/>
          <w:sz w:val="28"/>
          <w:szCs w:val="28"/>
          <w:highlight w:val="none"/>
        </w:rPr>
        <w:t>3.到货地点及方式</w:t>
      </w:r>
    </w:p>
    <w:p>
      <w:pPr>
        <w:spacing w:line="360" w:lineRule="auto"/>
        <w:rPr>
          <w:rFonts w:ascii="Courier New" w:hAnsi="Courier New"/>
          <w:color w:val="auto"/>
          <w:sz w:val="24"/>
          <w:szCs w:val="28"/>
          <w:highlight w:val="none"/>
        </w:rPr>
      </w:pPr>
      <w:r>
        <w:rPr>
          <w:rFonts w:hint="eastAsia" w:ascii="宋体" w:hAnsi="宋体"/>
          <w:color w:val="auto"/>
          <w:sz w:val="24"/>
          <w:szCs w:val="28"/>
          <w:highlight w:val="none"/>
        </w:rPr>
        <w:t>（</w:t>
      </w:r>
      <w:r>
        <w:rPr>
          <w:color w:val="auto"/>
          <w:sz w:val="24"/>
          <w:szCs w:val="28"/>
          <w:highlight w:val="none"/>
        </w:rPr>
        <w:t>1</w:t>
      </w:r>
      <w:r>
        <w:rPr>
          <w:rFonts w:hint="eastAsia" w:ascii="宋体" w:hAnsi="宋体"/>
          <w:color w:val="auto"/>
          <w:sz w:val="24"/>
          <w:szCs w:val="28"/>
          <w:highlight w:val="none"/>
        </w:rPr>
        <w:t>）所有合同设备的到货地点为</w:t>
      </w:r>
      <w:r>
        <w:rPr>
          <w:rFonts w:hint="eastAsia" w:ascii="宋体" w:hAnsi="宋体"/>
          <w:color w:val="auto"/>
          <w:sz w:val="24"/>
          <w:szCs w:val="28"/>
          <w:highlight w:val="none"/>
          <w:u w:val="single"/>
        </w:rPr>
        <w:t>乌兰县</w:t>
      </w:r>
      <w:r>
        <w:rPr>
          <w:rFonts w:hint="eastAsia" w:ascii="宋体" w:hAnsi="宋体"/>
          <w:color w:val="auto"/>
          <w:sz w:val="24"/>
          <w:szCs w:val="28"/>
          <w:highlight w:val="none"/>
        </w:rPr>
        <w:t>，车下交货。设备安装调试完成前，发生的一切费用由卖方承担。</w:t>
      </w:r>
    </w:p>
    <w:p>
      <w:pPr>
        <w:spacing w:line="360" w:lineRule="auto"/>
        <w:rPr>
          <w:color w:val="auto"/>
          <w:sz w:val="24"/>
          <w:szCs w:val="28"/>
          <w:highlight w:val="none"/>
        </w:rPr>
      </w:pPr>
      <w:r>
        <w:rPr>
          <w:rFonts w:hint="eastAsia" w:ascii="宋体" w:hAnsi="宋体"/>
          <w:color w:val="auto"/>
          <w:sz w:val="24"/>
          <w:szCs w:val="28"/>
          <w:highlight w:val="none"/>
        </w:rPr>
        <w:t>（</w:t>
      </w:r>
      <w:r>
        <w:rPr>
          <w:color w:val="auto"/>
          <w:sz w:val="24"/>
          <w:szCs w:val="28"/>
          <w:highlight w:val="none"/>
        </w:rPr>
        <w:t>2</w:t>
      </w:r>
      <w:r>
        <w:rPr>
          <w:rFonts w:hint="eastAsia" w:ascii="宋体" w:hAnsi="宋体"/>
          <w:color w:val="auto"/>
          <w:sz w:val="24"/>
          <w:szCs w:val="28"/>
          <w:highlight w:val="none"/>
        </w:rPr>
        <w:t>）买方对合同货物进行最终安装及试运行验收。</w:t>
      </w:r>
    </w:p>
    <w:p>
      <w:pPr>
        <w:spacing w:line="360" w:lineRule="auto"/>
        <w:rPr>
          <w:color w:val="auto"/>
          <w:sz w:val="24"/>
          <w:szCs w:val="28"/>
          <w:highlight w:val="none"/>
        </w:rPr>
      </w:pPr>
      <w:r>
        <w:rPr>
          <w:rFonts w:hint="eastAsia" w:ascii="宋体" w:hAnsi="宋体"/>
          <w:color w:val="auto"/>
          <w:sz w:val="24"/>
          <w:szCs w:val="28"/>
          <w:highlight w:val="none"/>
        </w:rPr>
        <w:t>（3）卖方交货前货物的一切毁损、灭失风险等由卖方承担。</w:t>
      </w:r>
    </w:p>
    <w:p>
      <w:pPr>
        <w:adjustRightInd w:val="0"/>
        <w:snapToGrid w:val="0"/>
        <w:spacing w:line="360" w:lineRule="auto"/>
        <w:ind w:firstLine="480" w:firstLineChars="200"/>
        <w:rPr>
          <w:rFonts w:ascii="宋体" w:hAnsi="宋体"/>
          <w:color w:val="auto"/>
          <w:sz w:val="24"/>
          <w:highlight w:val="none"/>
        </w:rPr>
      </w:pPr>
    </w:p>
    <w:p>
      <w:pPr>
        <w:pStyle w:val="21"/>
        <w:spacing w:line="360" w:lineRule="auto"/>
        <w:rPr>
          <w:rFonts w:hAnsi="宋体"/>
          <w:color w:val="auto"/>
          <w:sz w:val="24"/>
          <w:szCs w:val="24"/>
          <w:highlight w:val="none"/>
        </w:rPr>
      </w:pPr>
    </w:p>
    <w:p>
      <w:pPr>
        <w:widowControl/>
        <w:spacing w:line="360" w:lineRule="auto"/>
        <w:jc w:val="left"/>
        <w:rPr>
          <w:rFonts w:ascii="宋体" w:hAnsi="宋体"/>
          <w:b/>
          <w:color w:val="auto"/>
          <w:sz w:val="40"/>
          <w:szCs w:val="40"/>
          <w:highlight w:val="none"/>
        </w:rPr>
      </w:pPr>
      <w:r>
        <w:rPr>
          <w:rFonts w:hint="eastAsia" w:ascii="宋体" w:hAnsi="宋体"/>
          <w:color w:val="auto"/>
          <w:sz w:val="24"/>
          <w:highlight w:val="none"/>
        </w:rPr>
        <w:br w:type="page"/>
      </w:r>
      <w:r>
        <w:rPr>
          <w:rFonts w:hint="eastAsia" w:ascii="宋体" w:hAnsi="宋体"/>
          <w:b/>
          <w:color w:val="auto"/>
          <w:sz w:val="40"/>
          <w:szCs w:val="40"/>
          <w:highlight w:val="none"/>
        </w:rPr>
        <w:t>1.5  合同条款</w:t>
      </w:r>
    </w:p>
    <w:p>
      <w:pPr>
        <w:spacing w:line="360" w:lineRule="auto"/>
        <w:contextualSpacing/>
        <w:outlineLvl w:val="0"/>
        <w:rPr>
          <w:rFonts w:ascii="宋体" w:hAnsi="宋体"/>
          <w:b/>
          <w:bCs/>
          <w:color w:val="auto"/>
          <w:sz w:val="24"/>
          <w:highlight w:val="none"/>
        </w:rPr>
      </w:pPr>
      <w:bookmarkStart w:id="276" w:name="_Toc20126"/>
      <w:bookmarkStart w:id="277" w:name="_Toc14207"/>
      <w:bookmarkStart w:id="278" w:name="_Toc24591"/>
      <w:bookmarkStart w:id="279" w:name="_Toc19169"/>
      <w:r>
        <w:rPr>
          <w:rFonts w:hint="eastAsia" w:ascii="宋体" w:hAnsi="宋体"/>
          <w:b/>
          <w:bCs/>
          <w:color w:val="auto"/>
          <w:sz w:val="24"/>
          <w:highlight w:val="none"/>
        </w:rPr>
        <w:t>1定义</w:t>
      </w:r>
      <w:bookmarkEnd w:id="276"/>
      <w:bookmarkEnd w:id="277"/>
      <w:bookmarkEnd w:id="278"/>
      <w:bookmarkEnd w:id="279"/>
    </w:p>
    <w:p>
      <w:pPr>
        <w:spacing w:line="360" w:lineRule="auto"/>
        <w:contextualSpacing/>
        <w:rPr>
          <w:rFonts w:ascii="宋体" w:hAnsi="宋体"/>
          <w:b/>
          <w:bCs/>
          <w:color w:val="auto"/>
          <w:sz w:val="24"/>
          <w:highlight w:val="none"/>
        </w:rPr>
      </w:pPr>
      <w:r>
        <w:rPr>
          <w:rFonts w:hint="eastAsia" w:ascii="宋体" w:hAnsi="宋体"/>
          <w:b/>
          <w:bCs/>
          <w:color w:val="auto"/>
          <w:sz w:val="24"/>
          <w:highlight w:val="none"/>
        </w:rPr>
        <w:t>1.1合同中的术语解释</w:t>
      </w:r>
    </w:p>
    <w:p>
      <w:pPr>
        <w:pStyle w:val="47"/>
        <w:spacing w:before="0" w:after="0" w:line="360" w:lineRule="auto"/>
        <w:ind w:left="0" w:firstLine="0"/>
        <w:contextualSpacing/>
        <w:rPr>
          <w:rFonts w:hAnsi="宋体"/>
          <w:color w:val="auto"/>
          <w:szCs w:val="24"/>
          <w:highlight w:val="none"/>
        </w:rPr>
      </w:pPr>
      <w:r>
        <w:rPr>
          <w:rFonts w:hint="eastAsia" w:hAnsi="宋体"/>
          <w:color w:val="auto"/>
          <w:highlight w:val="none"/>
        </w:rPr>
        <w:t>1.1.1 买方----是指</w:t>
      </w:r>
      <w:r>
        <w:rPr>
          <w:rFonts w:hint="eastAsia" w:hAnsi="宋体"/>
          <w:color w:val="auto"/>
          <w:szCs w:val="28"/>
          <w:highlight w:val="none"/>
          <w:u w:val="single"/>
          <w:lang w:eastAsia="zh-CN"/>
        </w:rPr>
        <w:t xml:space="preserve">乌兰县恒信国有资产投资管理有限公司 </w:t>
      </w:r>
      <w:r>
        <w:rPr>
          <w:rFonts w:hint="eastAsia" w:hAnsi="宋体"/>
          <w:color w:val="auto"/>
          <w:highlight w:val="none"/>
        </w:rPr>
        <w:t>,其为本合同项下合同设备最终的用户。</w:t>
      </w:r>
    </w:p>
    <w:p>
      <w:pPr>
        <w:pStyle w:val="66"/>
        <w:spacing w:before="0" w:after="0" w:line="360" w:lineRule="auto"/>
        <w:ind w:left="0" w:firstLine="0"/>
        <w:rPr>
          <w:rFonts w:ascii="宋体" w:hAnsi="宋体"/>
          <w:color w:val="auto"/>
          <w:highlight w:val="none"/>
        </w:rPr>
      </w:pPr>
      <w:r>
        <w:rPr>
          <w:rFonts w:hint="eastAsia" w:ascii="宋体" w:hAnsi="宋体"/>
          <w:color w:val="auto"/>
          <w:highlight w:val="none"/>
        </w:rPr>
        <w:t>1.1.2 卖方----是指</w:t>
      </w:r>
      <w:r>
        <w:rPr>
          <w:rFonts w:hint="eastAsia" w:ascii="宋体" w:hAnsi="宋体"/>
          <w:b/>
          <w:bCs/>
          <w:color w:val="auto"/>
          <w:highlight w:val="none"/>
        </w:rPr>
        <w:t xml:space="preserve">  ________________</w:t>
      </w:r>
      <w:r>
        <w:rPr>
          <w:rFonts w:hint="eastAsia" w:ascii="宋体" w:hAnsi="宋体"/>
          <w:color w:val="auto"/>
          <w:highlight w:val="none"/>
        </w:rPr>
        <w:t>，为本合同提供合同设备（含备品备件及易耗件）、安装、技术服务的中标人。</w:t>
      </w:r>
    </w:p>
    <w:p>
      <w:pPr>
        <w:pStyle w:val="47"/>
        <w:spacing w:before="0" w:after="0" w:line="360" w:lineRule="auto"/>
        <w:ind w:left="0" w:firstLine="0"/>
        <w:contextualSpacing/>
        <w:rPr>
          <w:rFonts w:hAnsi="宋体"/>
          <w:color w:val="auto"/>
          <w:highlight w:val="none"/>
        </w:rPr>
      </w:pPr>
      <w:r>
        <w:rPr>
          <w:rFonts w:hint="eastAsia" w:hAnsi="宋体"/>
          <w:color w:val="auto"/>
          <w:highlight w:val="none"/>
        </w:rPr>
        <w:t>1.1.3 合同----是指买方和卖方（下称“合同双方”）之间经双方法定代表人（负责人）或其书面授权代表签署的书面文件，包括所有组成合同的文件、附件和其它经双方书面确认的文件。</w:t>
      </w:r>
    </w:p>
    <w:p>
      <w:pPr>
        <w:pStyle w:val="47"/>
        <w:spacing w:before="0" w:after="0" w:line="360" w:lineRule="auto"/>
        <w:ind w:left="0" w:firstLine="0"/>
        <w:contextualSpacing/>
        <w:rPr>
          <w:rFonts w:hAnsi="宋体"/>
          <w:color w:val="auto"/>
          <w:highlight w:val="none"/>
        </w:rPr>
      </w:pPr>
      <w:r>
        <w:rPr>
          <w:rFonts w:hint="eastAsia" w:hAnsi="宋体"/>
          <w:color w:val="auto"/>
          <w:highlight w:val="none"/>
        </w:rPr>
        <w:t>1.1.4 合同总价----是指卖方按照合同全面而正确地履行合同规定的义务，买方应支付给卖方的合同金额。</w:t>
      </w:r>
    </w:p>
    <w:p>
      <w:pPr>
        <w:pStyle w:val="47"/>
        <w:spacing w:before="0" w:after="0" w:line="360" w:lineRule="auto"/>
        <w:ind w:left="0" w:firstLine="0"/>
        <w:contextualSpacing/>
        <w:rPr>
          <w:rFonts w:hAnsi="宋体"/>
          <w:color w:val="auto"/>
          <w:highlight w:val="none"/>
        </w:rPr>
      </w:pPr>
      <w:r>
        <w:rPr>
          <w:rFonts w:hint="eastAsia" w:hAnsi="宋体"/>
          <w:color w:val="auto"/>
          <w:highlight w:val="none"/>
        </w:rPr>
        <w:t>1.1.5 合同设备----指卖方按照合同规定的义务应当给买方提供的设备（含备品备件及易耗件）。</w:t>
      </w:r>
    </w:p>
    <w:p>
      <w:pPr>
        <w:pStyle w:val="47"/>
        <w:spacing w:before="0" w:after="0" w:line="360" w:lineRule="auto"/>
        <w:ind w:left="0" w:firstLine="0"/>
        <w:contextualSpacing/>
        <w:rPr>
          <w:rFonts w:hAnsi="宋体"/>
          <w:color w:val="auto"/>
          <w:highlight w:val="none"/>
        </w:rPr>
      </w:pPr>
      <w:r>
        <w:rPr>
          <w:rFonts w:hint="eastAsia" w:hAnsi="宋体"/>
          <w:color w:val="auto"/>
          <w:highlight w:val="none"/>
        </w:rPr>
        <w:t>1.1.6 技术文件----指卖方按照合同规定的义务应当给买方提供的与合同设备的设计、制造、工厂试验、检验、安装、调试、试运行、验收试验、商业运行、培训、操作和维护保养相关的所有的数据、图纸、各种正式的文字资料、电子文件及其载体、以及生产过程的照片和录相等。</w:t>
      </w:r>
    </w:p>
    <w:p>
      <w:pPr>
        <w:pStyle w:val="47"/>
        <w:spacing w:before="0" w:after="0" w:line="360" w:lineRule="auto"/>
        <w:ind w:left="0" w:firstLine="0"/>
        <w:contextualSpacing/>
        <w:rPr>
          <w:rFonts w:hAnsi="宋体"/>
          <w:color w:val="auto"/>
          <w:highlight w:val="none"/>
        </w:rPr>
      </w:pPr>
      <w:r>
        <w:rPr>
          <w:rFonts w:hint="eastAsia" w:hAnsi="宋体"/>
          <w:color w:val="auto"/>
          <w:highlight w:val="none"/>
        </w:rPr>
        <w:t>1.1.7 技术条款----指协议书中技术条款的全部内容及合同技术部分组成的，以及合同执行过程中买方和卖方双方确认的技术文件和图纸、资料等。</w:t>
      </w:r>
    </w:p>
    <w:p>
      <w:pPr>
        <w:pStyle w:val="47"/>
        <w:spacing w:before="0" w:after="0" w:line="360" w:lineRule="auto"/>
        <w:ind w:left="0" w:firstLine="0"/>
        <w:contextualSpacing/>
        <w:rPr>
          <w:rFonts w:hAnsi="宋体"/>
          <w:color w:val="auto"/>
          <w:highlight w:val="none"/>
        </w:rPr>
      </w:pPr>
      <w:r>
        <w:rPr>
          <w:rFonts w:hint="eastAsia" w:hAnsi="宋体"/>
          <w:color w:val="auto"/>
          <w:highlight w:val="none"/>
        </w:rPr>
        <w:t>1.1.8 “日”、“周”、“月”、“年”和“日期”----指公历的日、周、月、年和日期。</w:t>
      </w:r>
    </w:p>
    <w:p>
      <w:pPr>
        <w:pStyle w:val="47"/>
        <w:spacing w:before="0" w:after="0" w:line="360" w:lineRule="auto"/>
        <w:ind w:left="0" w:firstLine="0"/>
        <w:contextualSpacing/>
        <w:rPr>
          <w:rFonts w:hAnsi="宋体"/>
          <w:b/>
          <w:bCs/>
          <w:color w:val="auto"/>
          <w:highlight w:val="none"/>
          <w:u w:val="single"/>
        </w:rPr>
      </w:pPr>
      <w:r>
        <w:rPr>
          <w:rFonts w:hint="eastAsia" w:hAnsi="宋体"/>
          <w:color w:val="auto"/>
          <w:highlight w:val="none"/>
        </w:rPr>
        <w:t>1.1.9 “现场”-----指合同设备安装和运行的项目所在地：</w:t>
      </w:r>
    </w:p>
    <w:p>
      <w:pPr>
        <w:pStyle w:val="47"/>
        <w:spacing w:before="0" w:after="0" w:line="360" w:lineRule="auto"/>
        <w:ind w:left="0" w:firstLine="0"/>
        <w:contextualSpacing/>
        <w:rPr>
          <w:rFonts w:hAnsi="宋体"/>
          <w:color w:val="auto"/>
          <w:highlight w:val="none"/>
        </w:rPr>
      </w:pPr>
      <w:r>
        <w:rPr>
          <w:rFonts w:hint="eastAsia" w:hAnsi="宋体"/>
          <w:color w:val="auto"/>
          <w:highlight w:val="none"/>
        </w:rPr>
        <w:t>1.1.10“到货验收”----即开箱验收，指合同设备到达安装现场后，买方组织开箱检验，检查合同设备的包装、外观、数量、规格和质量等的验收。</w:t>
      </w:r>
    </w:p>
    <w:p>
      <w:pPr>
        <w:pStyle w:val="47"/>
        <w:spacing w:before="0" w:after="0" w:line="360" w:lineRule="auto"/>
        <w:ind w:left="0" w:firstLine="0"/>
        <w:contextualSpacing/>
        <w:rPr>
          <w:rFonts w:hAnsi="宋体"/>
          <w:color w:val="auto"/>
          <w:highlight w:val="none"/>
        </w:rPr>
      </w:pPr>
      <w:r>
        <w:rPr>
          <w:rFonts w:hint="eastAsia" w:hAnsi="宋体"/>
          <w:color w:val="auto"/>
          <w:highlight w:val="none"/>
        </w:rPr>
        <w:t>1.1.11“初步验收”----指设备到货开箱验收合格后进行安装，在安装调试完毕后，按照合同要求对合同设备投入运行连续30日的验收。</w:t>
      </w:r>
    </w:p>
    <w:p>
      <w:pPr>
        <w:pStyle w:val="47"/>
        <w:spacing w:before="0" w:after="0" w:line="360" w:lineRule="auto"/>
        <w:ind w:left="0" w:firstLine="0"/>
        <w:contextualSpacing/>
        <w:rPr>
          <w:rFonts w:hAnsi="宋体"/>
          <w:color w:val="auto"/>
          <w:highlight w:val="none"/>
        </w:rPr>
      </w:pPr>
      <w:r>
        <w:rPr>
          <w:rFonts w:hint="eastAsia" w:hAnsi="宋体"/>
          <w:color w:val="auto"/>
          <w:highlight w:val="none"/>
        </w:rPr>
        <w:t>1.1.12 “最终验收”----指从初步验收合格证书签发之日起合同设备按合同约定通过了质量保证期后的验收。</w:t>
      </w:r>
    </w:p>
    <w:p>
      <w:pPr>
        <w:pStyle w:val="47"/>
        <w:spacing w:before="0" w:after="0" w:line="360" w:lineRule="auto"/>
        <w:ind w:left="0" w:firstLine="0"/>
        <w:contextualSpacing/>
        <w:rPr>
          <w:rFonts w:hAnsi="宋体"/>
          <w:color w:val="auto"/>
          <w:highlight w:val="none"/>
        </w:rPr>
      </w:pPr>
      <w:r>
        <w:rPr>
          <w:rFonts w:hint="eastAsia" w:hAnsi="宋体"/>
          <w:color w:val="auto"/>
          <w:highlight w:val="none"/>
        </w:rPr>
        <w:t>1.1.13 潜在缺陷----是指由于卖方在设计、制造和技术指导及培训等方面的疏忽、过错而造成的，使设备有可能在各种运行条件下出现的设备缺陷。</w:t>
      </w:r>
    </w:p>
    <w:p>
      <w:pPr>
        <w:pStyle w:val="47"/>
        <w:spacing w:before="0" w:after="0" w:line="360" w:lineRule="auto"/>
        <w:ind w:left="0" w:firstLine="0"/>
        <w:contextualSpacing/>
        <w:rPr>
          <w:rFonts w:hAnsi="宋体"/>
          <w:color w:val="auto"/>
          <w:highlight w:val="none"/>
        </w:rPr>
      </w:pPr>
      <w:r>
        <w:rPr>
          <w:rFonts w:hint="eastAsia" w:hAnsi="宋体"/>
          <w:color w:val="auto"/>
          <w:highlight w:val="none"/>
        </w:rPr>
        <w:t>1.1.14书面形式----根据合同发生的手写、打印、复写、印刷等任何方式形成的各种通知、任命、委托、证书、签证、备忘录、会议纪要、函件及经过双方确认的电报、电传等。</w:t>
      </w:r>
    </w:p>
    <w:p>
      <w:pPr>
        <w:spacing w:line="360" w:lineRule="auto"/>
        <w:contextualSpacing/>
        <w:outlineLvl w:val="0"/>
        <w:rPr>
          <w:rFonts w:ascii="宋体" w:hAnsi="宋体"/>
          <w:b/>
          <w:bCs/>
          <w:color w:val="auto"/>
          <w:sz w:val="24"/>
          <w:highlight w:val="none"/>
        </w:rPr>
      </w:pPr>
      <w:bookmarkStart w:id="280" w:name="_Toc9854"/>
      <w:bookmarkStart w:id="281" w:name="_Toc7017"/>
      <w:bookmarkStart w:id="282" w:name="_Toc29212"/>
      <w:bookmarkStart w:id="283" w:name="_Toc9497"/>
      <w:r>
        <w:rPr>
          <w:rFonts w:hint="eastAsia" w:ascii="宋体" w:hAnsi="宋体"/>
          <w:b/>
          <w:bCs/>
          <w:color w:val="auto"/>
          <w:sz w:val="24"/>
          <w:highlight w:val="none"/>
        </w:rPr>
        <w:t>2.适用性</w:t>
      </w:r>
      <w:bookmarkEnd w:id="280"/>
      <w:bookmarkEnd w:id="281"/>
      <w:bookmarkEnd w:id="282"/>
      <w:bookmarkEnd w:id="283"/>
    </w:p>
    <w:p>
      <w:pPr>
        <w:pStyle w:val="48"/>
        <w:spacing w:line="360" w:lineRule="auto"/>
        <w:contextualSpacing/>
        <w:rPr>
          <w:rFonts w:ascii="宋体" w:hAnsi="宋体"/>
          <w:color w:val="auto"/>
          <w:sz w:val="24"/>
          <w:szCs w:val="24"/>
          <w:highlight w:val="none"/>
        </w:rPr>
      </w:pPr>
      <w:r>
        <w:rPr>
          <w:rFonts w:hint="eastAsia" w:ascii="宋体" w:hAnsi="宋体"/>
          <w:color w:val="auto"/>
          <w:sz w:val="24"/>
          <w:szCs w:val="24"/>
          <w:highlight w:val="none"/>
        </w:rPr>
        <w:t>所有各条款的标题只是为了便于查阅，不具有解释或理解本合同的意义。</w:t>
      </w:r>
    </w:p>
    <w:p>
      <w:pPr>
        <w:spacing w:line="360" w:lineRule="auto"/>
        <w:contextualSpacing/>
        <w:outlineLvl w:val="0"/>
        <w:rPr>
          <w:rFonts w:ascii="宋体" w:hAnsi="宋体"/>
          <w:b/>
          <w:bCs/>
          <w:color w:val="auto"/>
          <w:sz w:val="24"/>
          <w:highlight w:val="none"/>
        </w:rPr>
      </w:pPr>
      <w:bookmarkStart w:id="284" w:name="_Toc14195"/>
      <w:bookmarkStart w:id="285" w:name="_Toc18543"/>
      <w:bookmarkStart w:id="286" w:name="_Toc7323"/>
      <w:bookmarkStart w:id="287" w:name="_Toc17013"/>
      <w:r>
        <w:rPr>
          <w:rFonts w:hint="eastAsia" w:ascii="宋体" w:hAnsi="宋体"/>
          <w:b/>
          <w:bCs/>
          <w:color w:val="auto"/>
          <w:sz w:val="24"/>
          <w:highlight w:val="none"/>
        </w:rPr>
        <w:t>3.资金来源和原产地</w:t>
      </w:r>
      <w:bookmarkEnd w:id="284"/>
      <w:bookmarkEnd w:id="285"/>
      <w:bookmarkEnd w:id="286"/>
      <w:bookmarkEnd w:id="287"/>
    </w:p>
    <w:p>
      <w:pPr>
        <w:pStyle w:val="48"/>
        <w:autoSpaceDE w:val="0"/>
        <w:autoSpaceDN w:val="0"/>
        <w:spacing w:line="360" w:lineRule="auto"/>
        <w:ind w:left="105" w:leftChars="50" w:firstLine="0"/>
        <w:contextualSpacing/>
        <w:rPr>
          <w:rFonts w:ascii="宋体" w:hAnsi="宋体"/>
          <w:color w:val="auto"/>
          <w:sz w:val="24"/>
          <w:szCs w:val="24"/>
          <w:highlight w:val="none"/>
        </w:rPr>
      </w:pPr>
      <w:r>
        <w:rPr>
          <w:rFonts w:hint="eastAsia" w:ascii="宋体" w:hAnsi="宋体"/>
          <w:color w:val="auto"/>
          <w:sz w:val="24"/>
          <w:szCs w:val="24"/>
          <w:highlight w:val="none"/>
        </w:rPr>
        <w:t>3.1 买方将使用</w:t>
      </w:r>
      <w:r>
        <w:rPr>
          <w:rFonts w:hint="eastAsia" w:ascii="宋体" w:hAnsi="宋体" w:cs="宋体"/>
          <w:color w:val="auto"/>
          <w:kern w:val="0"/>
          <w:sz w:val="24"/>
          <w:highlight w:val="none"/>
          <w:lang w:val="zh-CN"/>
        </w:rPr>
        <w:t>中央义教提升专项资金及地方配套</w:t>
      </w:r>
      <w:r>
        <w:rPr>
          <w:rFonts w:hint="eastAsia" w:ascii="宋体" w:hAnsi="宋体"/>
          <w:color w:val="auto"/>
          <w:sz w:val="24"/>
          <w:szCs w:val="24"/>
          <w:highlight w:val="none"/>
        </w:rPr>
        <w:t>用于本合同规定的合同设备、技术服务和培训款项的支付。</w:t>
      </w:r>
    </w:p>
    <w:p>
      <w:pPr>
        <w:pStyle w:val="48"/>
        <w:autoSpaceDE w:val="0"/>
        <w:autoSpaceDN w:val="0"/>
        <w:spacing w:line="360" w:lineRule="auto"/>
        <w:ind w:left="105" w:leftChars="50" w:firstLine="0"/>
        <w:contextualSpacing/>
        <w:rPr>
          <w:rFonts w:ascii="宋体" w:hAnsi="宋体"/>
          <w:color w:val="auto"/>
          <w:sz w:val="24"/>
          <w:szCs w:val="24"/>
          <w:highlight w:val="none"/>
        </w:rPr>
      </w:pPr>
      <w:r>
        <w:rPr>
          <w:rFonts w:hint="eastAsia" w:ascii="宋体" w:hAnsi="宋体"/>
          <w:color w:val="auto"/>
          <w:sz w:val="24"/>
          <w:szCs w:val="24"/>
          <w:highlight w:val="none"/>
        </w:rPr>
        <w:t>3.2 本合同提供的所有合同设备、原材料和部件、技术服务和培训应来自符合合同规定的产地国和地区。</w:t>
      </w:r>
    </w:p>
    <w:p>
      <w:pPr>
        <w:pStyle w:val="48"/>
        <w:autoSpaceDE w:val="0"/>
        <w:autoSpaceDN w:val="0"/>
        <w:spacing w:line="360" w:lineRule="auto"/>
        <w:ind w:left="105" w:leftChars="50" w:firstLine="0"/>
        <w:contextualSpacing/>
        <w:rPr>
          <w:rFonts w:ascii="宋体" w:hAnsi="宋体"/>
          <w:color w:val="auto"/>
          <w:sz w:val="24"/>
          <w:szCs w:val="24"/>
          <w:highlight w:val="none"/>
        </w:rPr>
      </w:pPr>
      <w:r>
        <w:rPr>
          <w:rFonts w:hint="eastAsia" w:ascii="宋体" w:hAnsi="宋体"/>
          <w:color w:val="auto"/>
          <w:sz w:val="24"/>
          <w:szCs w:val="24"/>
          <w:highlight w:val="none"/>
        </w:rPr>
        <w:t>3.3 本合同中所述的“原产地”指合同设备的生产地点。合同设备的生产是指通过设计、试验、制造、加工或由许多主要部件组装而成的从商业角度上公认的新产品，其在基本特性或功能上已与原部件有本质差别。</w:t>
      </w:r>
    </w:p>
    <w:p>
      <w:pPr>
        <w:pStyle w:val="60"/>
        <w:spacing w:line="360" w:lineRule="auto"/>
        <w:contextualSpacing/>
        <w:outlineLvl w:val="0"/>
        <w:rPr>
          <w:rFonts w:ascii="宋体" w:hAnsi="宋体"/>
          <w:b/>
          <w:bCs/>
          <w:color w:val="auto"/>
          <w:sz w:val="24"/>
          <w:highlight w:val="none"/>
        </w:rPr>
      </w:pPr>
      <w:bookmarkStart w:id="288" w:name="_Toc199"/>
      <w:bookmarkStart w:id="289" w:name="_Toc23551"/>
      <w:bookmarkStart w:id="290" w:name="_Toc14939"/>
      <w:bookmarkStart w:id="291" w:name="_Toc22854"/>
      <w:r>
        <w:rPr>
          <w:rFonts w:hint="eastAsia" w:ascii="宋体" w:hAnsi="宋体"/>
          <w:b/>
          <w:bCs/>
          <w:color w:val="auto"/>
          <w:sz w:val="24"/>
          <w:highlight w:val="none"/>
        </w:rPr>
        <w:t>4.合同标的</w:t>
      </w:r>
      <w:bookmarkEnd w:id="288"/>
      <w:bookmarkEnd w:id="289"/>
      <w:bookmarkEnd w:id="290"/>
      <w:bookmarkEnd w:id="291"/>
    </w:p>
    <w:p>
      <w:pPr>
        <w:pStyle w:val="48"/>
        <w:autoSpaceDE w:val="0"/>
        <w:autoSpaceDN w:val="0"/>
        <w:spacing w:line="360" w:lineRule="auto"/>
        <w:ind w:left="105" w:leftChars="50" w:firstLine="0"/>
        <w:contextualSpacing/>
        <w:rPr>
          <w:rFonts w:ascii="宋体" w:hAnsi="宋体"/>
          <w:color w:val="auto"/>
          <w:sz w:val="24"/>
          <w:szCs w:val="24"/>
          <w:highlight w:val="none"/>
        </w:rPr>
      </w:pPr>
      <w:r>
        <w:rPr>
          <w:rFonts w:hint="eastAsia" w:ascii="宋体" w:hAnsi="宋体"/>
          <w:color w:val="auto"/>
          <w:sz w:val="24"/>
          <w:szCs w:val="24"/>
          <w:highlight w:val="none"/>
        </w:rPr>
        <w:t>4.1 买方同意从卖方购买，卖方同意向买方出售本合同规定的合同设备。卖方应提供的合同设备的供货范围列在协议书1.3中，其技术经济指标和有关技术条件的内容列在协议书1.6中。到货批次和进度应符合协议书1.4的要求。相应的合同范围还包括完成合同设备的设计、制造、工厂试验、供货、安装、调试、培训、技术资料的提供、现场服务以及合同中规定的所有义务。</w:t>
      </w:r>
    </w:p>
    <w:p>
      <w:pPr>
        <w:pStyle w:val="48"/>
        <w:autoSpaceDE w:val="0"/>
        <w:autoSpaceDN w:val="0"/>
        <w:spacing w:line="360" w:lineRule="auto"/>
        <w:ind w:left="105" w:leftChars="50" w:firstLine="0"/>
        <w:contextualSpacing/>
        <w:rPr>
          <w:rFonts w:ascii="宋体" w:hAnsi="宋体"/>
          <w:color w:val="auto"/>
          <w:sz w:val="24"/>
          <w:szCs w:val="24"/>
          <w:highlight w:val="none"/>
        </w:rPr>
      </w:pPr>
      <w:r>
        <w:rPr>
          <w:rFonts w:hint="eastAsia" w:ascii="宋体" w:hAnsi="宋体"/>
          <w:color w:val="auto"/>
          <w:sz w:val="24"/>
          <w:szCs w:val="24"/>
          <w:highlight w:val="none"/>
        </w:rPr>
        <w:t xml:space="preserve">4.2 卖方必须按本合同条款和技术条款对合同设备的性能、设计制造质量及使用寿命提供保证。卖方所提供的所有合同设备的技术性能和技术保证详见协议书技术条款。 </w:t>
      </w:r>
    </w:p>
    <w:p>
      <w:pPr>
        <w:pStyle w:val="48"/>
        <w:autoSpaceDE w:val="0"/>
        <w:autoSpaceDN w:val="0"/>
        <w:spacing w:line="360" w:lineRule="auto"/>
        <w:ind w:left="1273" w:leftChars="67" w:hanging="1132" w:hangingChars="472"/>
        <w:contextualSpacing/>
        <w:rPr>
          <w:rFonts w:ascii="宋体" w:hAnsi="宋体"/>
          <w:color w:val="auto"/>
          <w:sz w:val="24"/>
          <w:szCs w:val="24"/>
          <w:highlight w:val="none"/>
        </w:rPr>
      </w:pPr>
      <w:r>
        <w:rPr>
          <w:rFonts w:hint="eastAsia" w:ascii="宋体" w:hAnsi="宋体"/>
          <w:color w:val="auto"/>
          <w:sz w:val="24"/>
          <w:szCs w:val="24"/>
          <w:highlight w:val="none"/>
        </w:rPr>
        <w:t>4.3 卖方必须根据技术条款的规定向买方提供技术文件。</w:t>
      </w:r>
    </w:p>
    <w:p>
      <w:pPr>
        <w:pStyle w:val="48"/>
        <w:autoSpaceDE w:val="0"/>
        <w:autoSpaceDN w:val="0"/>
        <w:spacing w:line="360" w:lineRule="auto"/>
        <w:ind w:left="105" w:leftChars="50" w:firstLine="0"/>
        <w:contextualSpacing/>
        <w:rPr>
          <w:rFonts w:ascii="宋体" w:hAnsi="宋体"/>
          <w:color w:val="auto"/>
          <w:sz w:val="24"/>
          <w:szCs w:val="24"/>
          <w:highlight w:val="none"/>
        </w:rPr>
      </w:pPr>
      <w:r>
        <w:rPr>
          <w:rFonts w:hint="eastAsia" w:ascii="宋体" w:hAnsi="宋体"/>
          <w:color w:val="auto"/>
          <w:sz w:val="24"/>
          <w:szCs w:val="24"/>
          <w:highlight w:val="none"/>
        </w:rPr>
        <w:t>4.4 卖方必须及时向买方传递合同设备的设计、制造、试验、检验、运输、安装及调试等方面的信息。有关信息传递的方式和要求见本合同技术条款。卖方所传递的这些信息仅供买方在执行合同时参考。</w:t>
      </w:r>
    </w:p>
    <w:p>
      <w:pPr>
        <w:pStyle w:val="48"/>
        <w:autoSpaceDE w:val="0"/>
        <w:autoSpaceDN w:val="0"/>
        <w:spacing w:line="360" w:lineRule="auto"/>
        <w:ind w:left="105" w:leftChars="50" w:firstLine="0"/>
        <w:contextualSpacing/>
        <w:rPr>
          <w:rFonts w:ascii="宋体" w:hAnsi="宋体"/>
          <w:color w:val="auto"/>
          <w:sz w:val="24"/>
          <w:szCs w:val="24"/>
          <w:highlight w:val="none"/>
        </w:rPr>
      </w:pPr>
      <w:r>
        <w:rPr>
          <w:rFonts w:hint="eastAsia" w:ascii="宋体" w:hAnsi="宋体"/>
          <w:color w:val="auto"/>
          <w:sz w:val="24"/>
          <w:szCs w:val="24"/>
          <w:highlight w:val="none"/>
        </w:rPr>
        <w:t>4.5 卖方必须派遣数量足够的、有经验的、健康的和称职的并且具有3 年以上相关专业工作经验的技术人员到现场，负责合同设备的安装、试运行、验收试验和投入商业运行，以及在安装现场对买方人员进行运行和维护的技术培训。卖方应对在其下的设备安装、试运行和验收试验的质量负责，使其符合技术条款和有关标准的要求。其人数、技术服务范围等详见协议书1.3及1.5、1.6。</w:t>
      </w:r>
    </w:p>
    <w:p>
      <w:pPr>
        <w:pStyle w:val="48"/>
        <w:autoSpaceDE w:val="0"/>
        <w:autoSpaceDN w:val="0"/>
        <w:spacing w:line="360" w:lineRule="auto"/>
        <w:ind w:left="105" w:leftChars="50" w:firstLine="0"/>
        <w:contextualSpacing/>
        <w:rPr>
          <w:rFonts w:ascii="宋体" w:hAnsi="宋体"/>
          <w:color w:val="auto"/>
          <w:sz w:val="24"/>
          <w:szCs w:val="24"/>
          <w:highlight w:val="none"/>
        </w:rPr>
      </w:pPr>
      <w:r>
        <w:rPr>
          <w:rFonts w:hint="eastAsia" w:ascii="宋体" w:hAnsi="宋体"/>
          <w:color w:val="auto"/>
          <w:sz w:val="24"/>
          <w:szCs w:val="24"/>
          <w:highlight w:val="none"/>
        </w:rPr>
        <w:t>4.6 卖方负责合同设备的设计、制造、安装、调试、试验、试运行，并对设备调试的质量负责，并按买方工程管理的有关规定给买方提交合格的调试资料。</w:t>
      </w:r>
    </w:p>
    <w:p>
      <w:pPr>
        <w:pStyle w:val="48"/>
        <w:autoSpaceDE w:val="0"/>
        <w:autoSpaceDN w:val="0"/>
        <w:spacing w:line="360" w:lineRule="auto"/>
        <w:ind w:left="105" w:leftChars="50" w:firstLine="0"/>
        <w:contextualSpacing/>
        <w:rPr>
          <w:rFonts w:ascii="宋体" w:hAnsi="宋体"/>
          <w:color w:val="auto"/>
          <w:sz w:val="24"/>
          <w:szCs w:val="24"/>
          <w:highlight w:val="none"/>
        </w:rPr>
      </w:pPr>
      <w:r>
        <w:rPr>
          <w:rFonts w:hint="eastAsia" w:ascii="宋体" w:hAnsi="宋体"/>
          <w:color w:val="auto"/>
          <w:sz w:val="24"/>
          <w:szCs w:val="24"/>
          <w:highlight w:val="none"/>
        </w:rPr>
        <w:t>4.7 卖方负责培训买方技术人员。培训人数、培训地点、培训范围等详见技术条款。</w:t>
      </w:r>
    </w:p>
    <w:p>
      <w:pPr>
        <w:pStyle w:val="48"/>
        <w:autoSpaceDE w:val="0"/>
        <w:autoSpaceDN w:val="0"/>
        <w:spacing w:line="360" w:lineRule="auto"/>
        <w:ind w:left="105" w:leftChars="50" w:firstLine="0"/>
        <w:contextualSpacing/>
        <w:rPr>
          <w:rFonts w:ascii="宋体" w:hAnsi="宋体"/>
          <w:color w:val="auto"/>
          <w:sz w:val="24"/>
          <w:szCs w:val="24"/>
          <w:highlight w:val="none"/>
        </w:rPr>
      </w:pPr>
      <w:r>
        <w:rPr>
          <w:rFonts w:hint="eastAsia" w:ascii="宋体" w:hAnsi="宋体"/>
          <w:color w:val="auto"/>
          <w:sz w:val="24"/>
          <w:szCs w:val="24"/>
          <w:highlight w:val="none"/>
        </w:rPr>
        <w:t>4.8 在全部合同设备通过最终验收后的五年内，卖方有义务随时继续以不高于本合同约定的价格向买方供应买方为维护合同设备正常运行所需的备品备件，如在此期间卖方预停止或不能制造某些备品备件，卖方应提前半年书面通知买方，以便买方有足够时间可以最后选购一些备品备件。</w:t>
      </w:r>
    </w:p>
    <w:p>
      <w:pPr>
        <w:pStyle w:val="48"/>
        <w:autoSpaceDE w:val="0"/>
        <w:autoSpaceDN w:val="0"/>
        <w:spacing w:line="360" w:lineRule="auto"/>
        <w:ind w:left="105" w:leftChars="50" w:firstLine="0"/>
        <w:contextualSpacing/>
        <w:rPr>
          <w:rFonts w:ascii="宋体" w:hAnsi="宋体"/>
          <w:color w:val="auto"/>
          <w:sz w:val="24"/>
          <w:szCs w:val="24"/>
          <w:highlight w:val="none"/>
        </w:rPr>
      </w:pPr>
      <w:r>
        <w:rPr>
          <w:rFonts w:hint="eastAsia" w:ascii="宋体" w:hAnsi="宋体"/>
          <w:color w:val="auto"/>
          <w:sz w:val="24"/>
          <w:szCs w:val="24"/>
          <w:highlight w:val="none"/>
        </w:rPr>
        <w:t>4.9 在本合同有效期内，卖方有义务向买方免费提供与本合同设备有关的最新运行经验及技术和安全方面的改进资料，提供这些资料不构成任何专利转让和技术转让。</w:t>
      </w:r>
    </w:p>
    <w:p>
      <w:pPr>
        <w:pStyle w:val="48"/>
        <w:autoSpaceDE w:val="0"/>
        <w:autoSpaceDN w:val="0"/>
        <w:spacing w:line="360" w:lineRule="auto"/>
        <w:ind w:left="105" w:leftChars="50" w:firstLine="0"/>
        <w:contextualSpacing/>
        <w:rPr>
          <w:rFonts w:ascii="宋体" w:hAnsi="宋体"/>
          <w:color w:val="auto"/>
          <w:sz w:val="24"/>
          <w:szCs w:val="24"/>
          <w:highlight w:val="none"/>
        </w:rPr>
      </w:pPr>
      <w:r>
        <w:rPr>
          <w:rFonts w:hint="eastAsia" w:ascii="宋体" w:hAnsi="宋体"/>
          <w:color w:val="auto"/>
          <w:sz w:val="24"/>
          <w:szCs w:val="24"/>
          <w:highlight w:val="none"/>
        </w:rPr>
        <w:t>4.10 卖方应按最新的技术标准和规范进行设计、制造和提供合同设备并负责软件版本的免费升级，且这种变化不会带来合同价格的增加。</w:t>
      </w:r>
    </w:p>
    <w:p>
      <w:pPr>
        <w:pStyle w:val="48"/>
        <w:autoSpaceDE w:val="0"/>
        <w:autoSpaceDN w:val="0"/>
        <w:spacing w:line="360" w:lineRule="auto"/>
        <w:ind w:left="105" w:leftChars="50" w:firstLine="0"/>
        <w:contextualSpacing/>
        <w:rPr>
          <w:rFonts w:ascii="宋体" w:hAnsi="宋体"/>
          <w:color w:val="auto"/>
          <w:sz w:val="24"/>
          <w:szCs w:val="24"/>
          <w:highlight w:val="none"/>
        </w:rPr>
      </w:pPr>
      <w:r>
        <w:rPr>
          <w:rFonts w:hint="eastAsia" w:ascii="宋体" w:hAnsi="宋体"/>
          <w:color w:val="auto"/>
          <w:sz w:val="24"/>
          <w:szCs w:val="24"/>
          <w:highlight w:val="none"/>
        </w:rPr>
        <w:t>4.11 卖方应负责协调有关外购件制造厂商的接口工作，包括供货、性能参数匹配和本合同项目管理等，具体内容详见技术条款。</w:t>
      </w:r>
    </w:p>
    <w:p>
      <w:pPr>
        <w:pStyle w:val="48"/>
        <w:autoSpaceDE w:val="0"/>
        <w:autoSpaceDN w:val="0"/>
        <w:spacing w:line="360" w:lineRule="auto"/>
        <w:ind w:left="105" w:leftChars="50" w:firstLine="0"/>
        <w:contextualSpacing/>
        <w:rPr>
          <w:rFonts w:ascii="宋体" w:hAnsi="宋体"/>
          <w:color w:val="auto"/>
          <w:sz w:val="24"/>
          <w:szCs w:val="24"/>
          <w:highlight w:val="none"/>
        </w:rPr>
      </w:pPr>
      <w:r>
        <w:rPr>
          <w:rFonts w:hint="eastAsia" w:ascii="宋体" w:hAnsi="宋体"/>
          <w:color w:val="auto"/>
          <w:sz w:val="24"/>
          <w:szCs w:val="24"/>
          <w:highlight w:val="none"/>
        </w:rPr>
        <w:t>4.12 卖方负责合同设备与设计、安装、调试、试运行中有关系统和部件接口的协调。</w:t>
      </w:r>
    </w:p>
    <w:p>
      <w:pPr>
        <w:pStyle w:val="48"/>
        <w:autoSpaceDE w:val="0"/>
        <w:autoSpaceDN w:val="0"/>
        <w:spacing w:line="360" w:lineRule="auto"/>
        <w:ind w:left="105" w:leftChars="50" w:firstLine="0"/>
        <w:contextualSpacing/>
        <w:rPr>
          <w:rFonts w:ascii="宋体" w:hAnsi="宋体"/>
          <w:color w:val="auto"/>
          <w:sz w:val="24"/>
          <w:szCs w:val="24"/>
          <w:highlight w:val="none"/>
        </w:rPr>
      </w:pPr>
      <w:r>
        <w:rPr>
          <w:rFonts w:hint="eastAsia" w:ascii="宋体" w:hAnsi="宋体"/>
          <w:color w:val="auto"/>
          <w:sz w:val="24"/>
          <w:szCs w:val="24"/>
          <w:highlight w:val="none"/>
        </w:rPr>
        <w:t>4.13 设备投入运行前，卖方负责在买方所在地办理特种设备使用证等设备投入运行必需的所有使用证，所有仪器仪表、安全阀需经过买方所在地相关部门校验。</w:t>
      </w:r>
    </w:p>
    <w:p>
      <w:pPr>
        <w:pStyle w:val="48"/>
        <w:autoSpaceDE w:val="0"/>
        <w:autoSpaceDN w:val="0"/>
        <w:spacing w:line="360" w:lineRule="auto"/>
        <w:contextualSpacing/>
        <w:jc w:val="left"/>
        <w:rPr>
          <w:rFonts w:ascii="宋体" w:hAnsi="宋体"/>
          <w:b/>
          <w:bCs/>
          <w:color w:val="auto"/>
          <w:sz w:val="24"/>
          <w:szCs w:val="24"/>
          <w:highlight w:val="none"/>
        </w:rPr>
      </w:pPr>
      <w:r>
        <w:rPr>
          <w:rFonts w:hint="eastAsia" w:ascii="宋体" w:hAnsi="宋体"/>
          <w:b/>
          <w:bCs/>
          <w:color w:val="auto"/>
          <w:sz w:val="24"/>
          <w:szCs w:val="24"/>
          <w:highlight w:val="none"/>
        </w:rPr>
        <w:t>5.合同总价</w:t>
      </w:r>
    </w:p>
    <w:p>
      <w:pPr>
        <w:pStyle w:val="48"/>
        <w:autoSpaceDE w:val="0"/>
        <w:autoSpaceDN w:val="0"/>
        <w:spacing w:line="360" w:lineRule="auto"/>
        <w:ind w:left="283" w:leftChars="135" w:firstLine="0"/>
        <w:contextualSpacing/>
        <w:jc w:val="left"/>
        <w:rPr>
          <w:rFonts w:ascii="宋体" w:hAnsi="宋体"/>
          <w:color w:val="auto"/>
          <w:sz w:val="24"/>
          <w:szCs w:val="24"/>
          <w:highlight w:val="none"/>
        </w:rPr>
      </w:pPr>
      <w:r>
        <w:rPr>
          <w:rFonts w:hint="eastAsia" w:ascii="宋体" w:hAnsi="宋体"/>
          <w:color w:val="auto"/>
          <w:sz w:val="24"/>
          <w:szCs w:val="24"/>
          <w:highlight w:val="none"/>
        </w:rPr>
        <w:t>5.1 在卖方全面履行本合同项下规定的义务时，其合同总价为人民币：</w:t>
      </w:r>
    </w:p>
    <w:p>
      <w:pPr>
        <w:pStyle w:val="48"/>
        <w:autoSpaceDE w:val="0"/>
        <w:autoSpaceDN w:val="0"/>
        <w:spacing w:line="360" w:lineRule="auto"/>
        <w:ind w:left="105" w:leftChars="50" w:firstLine="0"/>
        <w:contextualSpacing/>
        <w:jc w:val="left"/>
        <w:rPr>
          <w:rFonts w:ascii="宋体" w:hAnsi="宋体"/>
          <w:color w:val="auto"/>
          <w:sz w:val="24"/>
          <w:szCs w:val="24"/>
          <w:highlight w:val="none"/>
        </w:rPr>
      </w:pPr>
      <w:r>
        <w:rPr>
          <w:rFonts w:hint="eastAsia" w:ascii="宋体" w:hAnsi="宋体"/>
          <w:b/>
          <w:bCs/>
          <w:color w:val="auto"/>
          <w:sz w:val="24"/>
          <w:szCs w:val="24"/>
          <w:highlight w:val="none"/>
        </w:rPr>
        <w:t>大写∶___________________ ___，（￥：__________元）</w:t>
      </w:r>
      <w:r>
        <w:rPr>
          <w:rFonts w:hint="eastAsia" w:ascii="宋体" w:hAnsi="宋体"/>
          <w:color w:val="auto"/>
          <w:sz w:val="24"/>
          <w:szCs w:val="24"/>
          <w:highlight w:val="none"/>
        </w:rPr>
        <w:t>。包含设备费、设备的运杂费、保险费、人员培训费及安装调试所需人工、材料、机械等为完成安装调试所必须发生的全部费用。</w:t>
      </w:r>
    </w:p>
    <w:p>
      <w:pPr>
        <w:pStyle w:val="48"/>
        <w:autoSpaceDE w:val="0"/>
        <w:autoSpaceDN w:val="0"/>
        <w:spacing w:line="360" w:lineRule="auto"/>
        <w:ind w:left="124" w:leftChars="59" w:firstLine="0"/>
        <w:contextualSpacing/>
        <w:jc w:val="left"/>
        <w:rPr>
          <w:rFonts w:ascii="宋体" w:hAnsi="宋体"/>
          <w:color w:val="auto"/>
          <w:sz w:val="24"/>
          <w:szCs w:val="24"/>
          <w:highlight w:val="none"/>
        </w:rPr>
      </w:pPr>
      <w:r>
        <w:rPr>
          <w:rFonts w:hint="eastAsia" w:ascii="宋体" w:hAnsi="宋体"/>
          <w:color w:val="auto"/>
          <w:sz w:val="24"/>
          <w:szCs w:val="24"/>
          <w:highlight w:val="none"/>
        </w:rPr>
        <w:t>5.2 合同分项价格表见协议书1.3 合同价格表。</w:t>
      </w:r>
    </w:p>
    <w:p>
      <w:pPr>
        <w:pStyle w:val="48"/>
        <w:autoSpaceDE w:val="0"/>
        <w:autoSpaceDN w:val="0"/>
        <w:spacing w:line="360" w:lineRule="auto"/>
        <w:ind w:left="105" w:leftChars="50" w:firstLine="0"/>
        <w:contextualSpacing/>
        <w:jc w:val="left"/>
        <w:rPr>
          <w:rFonts w:ascii="宋体" w:hAnsi="宋体"/>
          <w:color w:val="auto"/>
          <w:sz w:val="24"/>
          <w:szCs w:val="24"/>
          <w:highlight w:val="none"/>
        </w:rPr>
      </w:pPr>
      <w:r>
        <w:rPr>
          <w:rFonts w:hint="eastAsia" w:ascii="宋体" w:hAnsi="宋体"/>
          <w:color w:val="auto"/>
          <w:sz w:val="24"/>
          <w:szCs w:val="24"/>
          <w:highlight w:val="none"/>
        </w:rPr>
        <w:t>5.3 在合同履行期间，本合同采用固定总价的承包方式，此价格在合同履行期间不受市场因素和局部变更而改变。</w:t>
      </w:r>
    </w:p>
    <w:p>
      <w:pPr>
        <w:spacing w:line="360" w:lineRule="auto"/>
        <w:contextualSpacing/>
        <w:outlineLvl w:val="0"/>
        <w:rPr>
          <w:rFonts w:ascii="宋体" w:hAnsi="宋体"/>
          <w:b/>
          <w:bCs/>
          <w:color w:val="auto"/>
          <w:sz w:val="24"/>
          <w:highlight w:val="none"/>
        </w:rPr>
      </w:pPr>
      <w:bookmarkStart w:id="292" w:name="_Toc8856"/>
      <w:bookmarkStart w:id="293" w:name="_Toc23144"/>
      <w:bookmarkStart w:id="294" w:name="_Toc3024"/>
      <w:bookmarkStart w:id="295" w:name="_Toc29524"/>
      <w:r>
        <w:rPr>
          <w:rFonts w:hint="eastAsia" w:ascii="宋体" w:hAnsi="宋体"/>
          <w:b/>
          <w:bCs/>
          <w:color w:val="auto"/>
          <w:sz w:val="24"/>
          <w:highlight w:val="none"/>
        </w:rPr>
        <w:t>6.支付</w:t>
      </w:r>
      <w:bookmarkEnd w:id="292"/>
      <w:bookmarkEnd w:id="293"/>
      <w:bookmarkEnd w:id="294"/>
      <w:bookmarkEnd w:id="295"/>
    </w:p>
    <w:p>
      <w:pPr>
        <w:spacing w:line="360" w:lineRule="auto"/>
        <w:contextualSpacing/>
        <w:rPr>
          <w:rFonts w:ascii="宋体" w:hAnsi="宋体"/>
          <w:b/>
          <w:bCs/>
          <w:color w:val="auto"/>
          <w:sz w:val="24"/>
          <w:highlight w:val="none"/>
        </w:rPr>
      </w:pPr>
      <w:r>
        <w:rPr>
          <w:rFonts w:hint="eastAsia" w:ascii="宋体" w:hAnsi="宋体"/>
          <w:b/>
          <w:bCs/>
          <w:color w:val="auto"/>
          <w:sz w:val="24"/>
          <w:highlight w:val="none"/>
        </w:rPr>
        <w:t>6.1支付方式</w:t>
      </w:r>
    </w:p>
    <w:p>
      <w:pPr>
        <w:pStyle w:val="48"/>
        <w:autoSpaceDE w:val="0"/>
        <w:autoSpaceDN w:val="0"/>
        <w:spacing w:line="360" w:lineRule="auto"/>
        <w:ind w:left="1168" w:leftChars="16"/>
        <w:contextualSpacing/>
        <w:rPr>
          <w:rFonts w:ascii="宋体" w:hAnsi="宋体"/>
          <w:color w:val="auto"/>
          <w:sz w:val="24"/>
          <w:szCs w:val="24"/>
          <w:highlight w:val="none"/>
        </w:rPr>
      </w:pPr>
      <w:r>
        <w:rPr>
          <w:rFonts w:hint="eastAsia" w:ascii="宋体" w:hAnsi="宋体"/>
          <w:color w:val="auto"/>
          <w:sz w:val="24"/>
          <w:szCs w:val="24"/>
          <w:highlight w:val="none"/>
        </w:rPr>
        <w:t>6.1.1 合同采用电汇方式或银行承兑汇票方式支付。</w:t>
      </w:r>
    </w:p>
    <w:p>
      <w:pPr>
        <w:pStyle w:val="48"/>
        <w:spacing w:line="360" w:lineRule="auto"/>
        <w:ind w:left="14" w:firstLine="0"/>
        <w:contextualSpacing/>
        <w:rPr>
          <w:rFonts w:ascii="宋体" w:hAnsi="宋体"/>
          <w:color w:val="auto"/>
          <w:sz w:val="24"/>
          <w:szCs w:val="24"/>
          <w:highlight w:val="none"/>
        </w:rPr>
      </w:pPr>
      <w:r>
        <w:rPr>
          <w:rFonts w:hint="eastAsia" w:ascii="宋体" w:hAnsi="宋体"/>
          <w:color w:val="auto"/>
          <w:sz w:val="24"/>
          <w:szCs w:val="24"/>
          <w:highlight w:val="none"/>
        </w:rPr>
        <w:t>6.1.2合同金额按表6-1的比例支付，在执行付款前，卖方应给买方提出书面申请，买方在对卖方提交的有关资料审核无误后付款；在卖方提交货款支付申请时，卖方应同时向买方正式提供相应合同价全额的增值税专用发票。</w:t>
      </w:r>
    </w:p>
    <w:p>
      <w:pPr>
        <w:pStyle w:val="48"/>
        <w:spacing w:line="360" w:lineRule="auto"/>
        <w:contextualSpacing/>
        <w:jc w:val="center"/>
        <w:rPr>
          <w:rFonts w:ascii="宋体" w:hAnsi="宋体"/>
          <w:color w:val="auto"/>
          <w:sz w:val="24"/>
          <w:szCs w:val="30"/>
          <w:highlight w:val="none"/>
        </w:rPr>
      </w:pPr>
      <w:r>
        <w:rPr>
          <w:rFonts w:hint="eastAsia" w:ascii="宋体" w:hAnsi="宋体"/>
          <w:color w:val="auto"/>
          <w:sz w:val="24"/>
          <w:szCs w:val="30"/>
          <w:highlight w:val="none"/>
        </w:rPr>
        <w:t>表6-1  合同金额支付方式和比例</w:t>
      </w:r>
    </w:p>
    <w:tbl>
      <w:tblPr>
        <w:tblStyle w:val="36"/>
        <w:tblW w:w="88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9"/>
        <w:gridCol w:w="1715"/>
        <w:gridCol w:w="1984"/>
        <w:gridCol w:w="44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2" w:hRule="atLeast"/>
          <w:jc w:val="center"/>
        </w:trPr>
        <w:tc>
          <w:tcPr>
            <w:tcW w:w="689" w:type="dxa"/>
            <w:tcBorders>
              <w:top w:val="single" w:color="auto" w:sz="4" w:space="0"/>
              <w:left w:val="single" w:color="auto" w:sz="4" w:space="0"/>
              <w:bottom w:val="single" w:color="auto" w:sz="4" w:space="0"/>
              <w:right w:val="single" w:color="auto" w:sz="4" w:space="0"/>
            </w:tcBorders>
            <w:vAlign w:val="center"/>
          </w:tcPr>
          <w:p>
            <w:pPr>
              <w:autoSpaceDE w:val="0"/>
              <w:autoSpaceDN w:val="0"/>
              <w:jc w:val="center"/>
              <w:rPr>
                <w:rFonts w:ascii="宋体" w:hAnsi="宋体" w:cs="Courier New"/>
                <w:color w:val="auto"/>
                <w:kern w:val="0"/>
                <w:sz w:val="24"/>
                <w:szCs w:val="21"/>
                <w:highlight w:val="none"/>
              </w:rPr>
            </w:pPr>
            <w:r>
              <w:rPr>
                <w:rFonts w:hint="eastAsia" w:ascii="宋体" w:hAnsi="宋体"/>
                <w:color w:val="auto"/>
                <w:kern w:val="0"/>
                <w:sz w:val="24"/>
                <w:highlight w:val="none"/>
              </w:rPr>
              <w:t>序号</w:t>
            </w:r>
          </w:p>
        </w:tc>
        <w:tc>
          <w:tcPr>
            <w:tcW w:w="1715" w:type="dxa"/>
            <w:tcBorders>
              <w:top w:val="single" w:color="auto" w:sz="4" w:space="0"/>
              <w:left w:val="nil"/>
              <w:bottom w:val="single" w:color="auto" w:sz="4" w:space="0"/>
              <w:right w:val="single" w:color="auto" w:sz="4" w:space="0"/>
            </w:tcBorders>
            <w:vAlign w:val="center"/>
          </w:tcPr>
          <w:p>
            <w:pPr>
              <w:autoSpaceDE w:val="0"/>
              <w:autoSpaceDN w:val="0"/>
              <w:jc w:val="center"/>
              <w:rPr>
                <w:rFonts w:ascii="宋体" w:hAnsi="宋体" w:cs="Courier New"/>
                <w:color w:val="auto"/>
                <w:kern w:val="0"/>
                <w:sz w:val="24"/>
                <w:szCs w:val="21"/>
                <w:highlight w:val="none"/>
              </w:rPr>
            </w:pPr>
            <w:r>
              <w:rPr>
                <w:rFonts w:hint="eastAsia" w:ascii="宋体" w:hAnsi="宋体"/>
                <w:color w:val="auto"/>
                <w:kern w:val="0"/>
                <w:sz w:val="24"/>
                <w:highlight w:val="none"/>
              </w:rPr>
              <w:t>支付项目</w:t>
            </w:r>
          </w:p>
          <w:p>
            <w:pPr>
              <w:autoSpaceDE w:val="0"/>
              <w:autoSpaceDN w:val="0"/>
              <w:jc w:val="center"/>
              <w:rPr>
                <w:rFonts w:ascii="宋体" w:hAnsi="宋体" w:cs="Courier New"/>
                <w:color w:val="auto"/>
                <w:kern w:val="0"/>
                <w:sz w:val="24"/>
                <w:szCs w:val="21"/>
                <w:highlight w:val="none"/>
              </w:rPr>
            </w:pPr>
            <w:r>
              <w:rPr>
                <w:rFonts w:hint="eastAsia" w:ascii="宋体" w:hAnsi="宋体"/>
                <w:color w:val="auto"/>
                <w:kern w:val="0"/>
                <w:sz w:val="24"/>
                <w:highlight w:val="none"/>
              </w:rPr>
              <w:t>名称</w:t>
            </w:r>
          </w:p>
        </w:tc>
        <w:tc>
          <w:tcPr>
            <w:tcW w:w="1984" w:type="dxa"/>
            <w:tcBorders>
              <w:top w:val="single" w:color="auto" w:sz="4" w:space="0"/>
              <w:left w:val="nil"/>
              <w:bottom w:val="single" w:color="auto" w:sz="4" w:space="0"/>
              <w:right w:val="single" w:color="auto" w:sz="4" w:space="0"/>
            </w:tcBorders>
            <w:vAlign w:val="center"/>
          </w:tcPr>
          <w:p>
            <w:pPr>
              <w:pStyle w:val="51"/>
              <w:autoSpaceDE w:val="0"/>
              <w:autoSpaceDN w:val="0"/>
              <w:ind w:left="-225" w:leftChars="-107"/>
              <w:jc w:val="center"/>
              <w:rPr>
                <w:color w:val="auto"/>
                <w:kern w:val="0"/>
                <w:sz w:val="24"/>
                <w:highlight w:val="none"/>
              </w:rPr>
            </w:pPr>
            <w:r>
              <w:rPr>
                <w:rFonts w:hint="eastAsia"/>
                <w:color w:val="auto"/>
                <w:kern w:val="0"/>
                <w:sz w:val="24"/>
                <w:highlight w:val="none"/>
              </w:rPr>
              <w:t>支付比例和金额</w:t>
            </w:r>
          </w:p>
        </w:tc>
        <w:tc>
          <w:tcPr>
            <w:tcW w:w="4499" w:type="dxa"/>
            <w:tcBorders>
              <w:top w:val="single" w:color="auto" w:sz="4" w:space="0"/>
              <w:left w:val="nil"/>
              <w:bottom w:val="single" w:color="auto" w:sz="4" w:space="0"/>
              <w:right w:val="single" w:color="auto" w:sz="4" w:space="0"/>
            </w:tcBorders>
            <w:vAlign w:val="center"/>
          </w:tcPr>
          <w:p>
            <w:pPr>
              <w:autoSpaceDE w:val="0"/>
              <w:autoSpaceDN w:val="0"/>
              <w:jc w:val="center"/>
              <w:rPr>
                <w:rFonts w:ascii="宋体" w:hAnsi="宋体" w:cs="Courier New"/>
                <w:color w:val="auto"/>
                <w:kern w:val="0"/>
                <w:sz w:val="24"/>
                <w:szCs w:val="21"/>
                <w:highlight w:val="none"/>
              </w:rPr>
            </w:pPr>
            <w:r>
              <w:rPr>
                <w:rFonts w:hint="eastAsia" w:ascii="宋体" w:hAnsi="宋体"/>
                <w:color w:val="auto"/>
                <w:kern w:val="0"/>
                <w:sz w:val="24"/>
                <w:highlight w:val="none"/>
              </w:rPr>
              <w:t>支付时间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2" w:hRule="atLeast"/>
          <w:jc w:val="center"/>
        </w:trPr>
        <w:tc>
          <w:tcPr>
            <w:tcW w:w="689" w:type="dxa"/>
            <w:tcBorders>
              <w:top w:val="single" w:color="auto" w:sz="4" w:space="0"/>
              <w:left w:val="single" w:color="auto" w:sz="4" w:space="0"/>
              <w:bottom w:val="single" w:color="auto" w:sz="4" w:space="0"/>
              <w:right w:val="single" w:color="auto" w:sz="4" w:space="0"/>
            </w:tcBorders>
            <w:vAlign w:val="center"/>
          </w:tcPr>
          <w:p>
            <w:pPr>
              <w:autoSpaceDE w:val="0"/>
              <w:autoSpaceDN w:val="0"/>
              <w:jc w:val="center"/>
              <w:rPr>
                <w:rFonts w:ascii="宋体" w:hAnsi="宋体" w:cs="Courier New"/>
                <w:color w:val="auto"/>
                <w:kern w:val="0"/>
                <w:sz w:val="24"/>
                <w:szCs w:val="21"/>
                <w:highlight w:val="none"/>
              </w:rPr>
            </w:pPr>
            <w:r>
              <w:rPr>
                <w:rFonts w:hint="eastAsia" w:ascii="宋体" w:hAnsi="宋体"/>
                <w:color w:val="auto"/>
                <w:kern w:val="0"/>
                <w:sz w:val="24"/>
                <w:highlight w:val="none"/>
              </w:rPr>
              <w:t>1</w:t>
            </w:r>
          </w:p>
        </w:tc>
        <w:tc>
          <w:tcPr>
            <w:tcW w:w="1715" w:type="dxa"/>
            <w:tcBorders>
              <w:top w:val="single" w:color="auto" w:sz="4" w:space="0"/>
              <w:left w:val="nil"/>
              <w:bottom w:val="single" w:color="auto" w:sz="4" w:space="0"/>
              <w:right w:val="single" w:color="auto" w:sz="4" w:space="0"/>
            </w:tcBorders>
            <w:vAlign w:val="center"/>
          </w:tcPr>
          <w:p>
            <w:pPr>
              <w:autoSpaceDE w:val="0"/>
              <w:autoSpaceDN w:val="0"/>
              <w:jc w:val="center"/>
              <w:rPr>
                <w:rFonts w:ascii="宋体" w:hAnsi="宋体" w:cs="Courier New"/>
                <w:color w:val="auto"/>
                <w:kern w:val="0"/>
                <w:sz w:val="24"/>
                <w:szCs w:val="21"/>
                <w:highlight w:val="none"/>
              </w:rPr>
            </w:pPr>
          </w:p>
        </w:tc>
        <w:tc>
          <w:tcPr>
            <w:tcW w:w="1984" w:type="dxa"/>
            <w:tcBorders>
              <w:top w:val="single" w:color="auto" w:sz="4" w:space="0"/>
              <w:left w:val="nil"/>
              <w:bottom w:val="single" w:color="auto" w:sz="4" w:space="0"/>
              <w:right w:val="single" w:color="auto" w:sz="4" w:space="0"/>
            </w:tcBorders>
            <w:vAlign w:val="center"/>
          </w:tcPr>
          <w:p>
            <w:pPr>
              <w:autoSpaceDE w:val="0"/>
              <w:autoSpaceDN w:val="0"/>
              <w:jc w:val="center"/>
              <w:rPr>
                <w:rFonts w:ascii="宋体" w:hAnsi="宋体" w:cs="Courier New"/>
                <w:color w:val="auto"/>
                <w:kern w:val="0"/>
                <w:sz w:val="24"/>
                <w:szCs w:val="21"/>
                <w:highlight w:val="none"/>
              </w:rPr>
            </w:pPr>
          </w:p>
        </w:tc>
        <w:tc>
          <w:tcPr>
            <w:tcW w:w="4499" w:type="dxa"/>
            <w:tcBorders>
              <w:top w:val="single" w:color="auto" w:sz="4" w:space="0"/>
              <w:left w:val="nil"/>
              <w:bottom w:val="single" w:color="auto" w:sz="4" w:space="0"/>
              <w:right w:val="single" w:color="auto" w:sz="4" w:space="0"/>
            </w:tcBorders>
            <w:vAlign w:val="center"/>
          </w:tcPr>
          <w:p>
            <w:pPr>
              <w:autoSpaceDE w:val="0"/>
              <w:autoSpaceDN w:val="0"/>
              <w:rPr>
                <w:rFonts w:ascii="宋体" w:hAnsi="宋体" w:cs="Courier New"/>
                <w:color w:val="auto"/>
                <w:kern w:val="0"/>
                <w:sz w:val="24"/>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2" w:hRule="atLeast"/>
          <w:jc w:val="center"/>
        </w:trPr>
        <w:tc>
          <w:tcPr>
            <w:tcW w:w="689" w:type="dxa"/>
            <w:tcBorders>
              <w:top w:val="single" w:color="auto" w:sz="4" w:space="0"/>
              <w:left w:val="single" w:color="auto" w:sz="4" w:space="0"/>
              <w:bottom w:val="single" w:color="auto" w:sz="4" w:space="0"/>
              <w:right w:val="single" w:color="auto" w:sz="4" w:space="0"/>
            </w:tcBorders>
            <w:vAlign w:val="center"/>
          </w:tcPr>
          <w:p>
            <w:pPr>
              <w:autoSpaceDE w:val="0"/>
              <w:autoSpaceDN w:val="0"/>
              <w:jc w:val="center"/>
              <w:rPr>
                <w:rFonts w:ascii="宋体" w:hAnsi="宋体" w:cs="Courier New"/>
                <w:color w:val="auto"/>
                <w:kern w:val="0"/>
                <w:sz w:val="24"/>
                <w:szCs w:val="21"/>
                <w:highlight w:val="none"/>
              </w:rPr>
            </w:pPr>
            <w:r>
              <w:rPr>
                <w:rFonts w:hint="eastAsia" w:ascii="宋体" w:hAnsi="宋体"/>
                <w:color w:val="auto"/>
                <w:kern w:val="0"/>
                <w:sz w:val="24"/>
                <w:highlight w:val="none"/>
              </w:rPr>
              <w:t>2</w:t>
            </w:r>
          </w:p>
        </w:tc>
        <w:tc>
          <w:tcPr>
            <w:tcW w:w="1715" w:type="dxa"/>
            <w:tcBorders>
              <w:top w:val="single" w:color="auto" w:sz="4" w:space="0"/>
              <w:left w:val="nil"/>
              <w:bottom w:val="single" w:color="auto" w:sz="4" w:space="0"/>
              <w:right w:val="single" w:color="auto" w:sz="4" w:space="0"/>
            </w:tcBorders>
            <w:vAlign w:val="center"/>
          </w:tcPr>
          <w:p>
            <w:pPr>
              <w:autoSpaceDE w:val="0"/>
              <w:autoSpaceDN w:val="0"/>
              <w:jc w:val="center"/>
              <w:rPr>
                <w:rFonts w:ascii="宋体" w:hAnsi="宋体" w:cs="Courier New"/>
                <w:color w:val="auto"/>
                <w:kern w:val="0"/>
                <w:sz w:val="24"/>
                <w:szCs w:val="21"/>
                <w:highlight w:val="none"/>
              </w:rPr>
            </w:pPr>
          </w:p>
        </w:tc>
        <w:tc>
          <w:tcPr>
            <w:tcW w:w="1984" w:type="dxa"/>
            <w:tcBorders>
              <w:top w:val="single" w:color="auto" w:sz="4" w:space="0"/>
              <w:left w:val="nil"/>
              <w:bottom w:val="single" w:color="auto" w:sz="4" w:space="0"/>
              <w:right w:val="single" w:color="auto" w:sz="4" w:space="0"/>
            </w:tcBorders>
            <w:vAlign w:val="center"/>
          </w:tcPr>
          <w:p>
            <w:pPr>
              <w:autoSpaceDE w:val="0"/>
              <w:autoSpaceDN w:val="0"/>
              <w:jc w:val="center"/>
              <w:rPr>
                <w:rFonts w:ascii="宋体" w:hAnsi="宋体" w:cs="Courier New"/>
                <w:color w:val="auto"/>
                <w:kern w:val="0"/>
                <w:sz w:val="24"/>
                <w:szCs w:val="21"/>
                <w:highlight w:val="none"/>
              </w:rPr>
            </w:pPr>
          </w:p>
        </w:tc>
        <w:tc>
          <w:tcPr>
            <w:tcW w:w="4499" w:type="dxa"/>
            <w:tcBorders>
              <w:top w:val="single" w:color="auto" w:sz="4" w:space="0"/>
              <w:left w:val="nil"/>
              <w:bottom w:val="single" w:color="auto" w:sz="4" w:space="0"/>
              <w:right w:val="single" w:color="auto" w:sz="4" w:space="0"/>
            </w:tcBorders>
            <w:vAlign w:val="center"/>
          </w:tcPr>
          <w:p>
            <w:pPr>
              <w:autoSpaceDE w:val="0"/>
              <w:autoSpaceDN w:val="0"/>
              <w:rPr>
                <w:rFonts w:ascii="宋体" w:hAnsi="宋体" w:cs="Courier New"/>
                <w:color w:val="auto"/>
                <w:kern w:val="0"/>
                <w:sz w:val="24"/>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1" w:hRule="atLeast"/>
          <w:jc w:val="center"/>
        </w:trPr>
        <w:tc>
          <w:tcPr>
            <w:tcW w:w="689" w:type="dxa"/>
            <w:tcBorders>
              <w:top w:val="single" w:color="auto" w:sz="4" w:space="0"/>
              <w:left w:val="single" w:color="auto" w:sz="4" w:space="0"/>
              <w:bottom w:val="single" w:color="auto" w:sz="4" w:space="0"/>
              <w:right w:val="single" w:color="auto" w:sz="4" w:space="0"/>
            </w:tcBorders>
            <w:vAlign w:val="center"/>
          </w:tcPr>
          <w:p>
            <w:pPr>
              <w:autoSpaceDE w:val="0"/>
              <w:autoSpaceDN w:val="0"/>
              <w:jc w:val="center"/>
              <w:rPr>
                <w:rFonts w:ascii="宋体" w:hAnsi="宋体" w:cs="Courier New"/>
                <w:color w:val="auto"/>
                <w:kern w:val="0"/>
                <w:sz w:val="24"/>
                <w:szCs w:val="21"/>
                <w:highlight w:val="none"/>
              </w:rPr>
            </w:pPr>
            <w:r>
              <w:rPr>
                <w:rFonts w:hint="eastAsia" w:ascii="宋体" w:hAnsi="宋体"/>
                <w:color w:val="auto"/>
                <w:kern w:val="0"/>
                <w:sz w:val="24"/>
                <w:highlight w:val="none"/>
              </w:rPr>
              <w:t>3</w:t>
            </w:r>
          </w:p>
        </w:tc>
        <w:tc>
          <w:tcPr>
            <w:tcW w:w="1715" w:type="dxa"/>
            <w:tcBorders>
              <w:top w:val="single" w:color="auto" w:sz="4" w:space="0"/>
              <w:left w:val="nil"/>
              <w:bottom w:val="single" w:color="auto" w:sz="4" w:space="0"/>
              <w:right w:val="single" w:color="auto" w:sz="4" w:space="0"/>
            </w:tcBorders>
            <w:vAlign w:val="center"/>
          </w:tcPr>
          <w:p>
            <w:pPr>
              <w:pStyle w:val="50"/>
              <w:autoSpaceDE w:val="0"/>
              <w:autoSpaceDN w:val="0"/>
              <w:rPr>
                <w:color w:val="auto"/>
                <w:kern w:val="0"/>
                <w:sz w:val="24"/>
                <w:highlight w:val="none"/>
              </w:rPr>
            </w:pPr>
          </w:p>
        </w:tc>
        <w:tc>
          <w:tcPr>
            <w:tcW w:w="1984" w:type="dxa"/>
            <w:tcBorders>
              <w:top w:val="single" w:color="auto" w:sz="4" w:space="0"/>
              <w:left w:val="nil"/>
              <w:bottom w:val="single" w:color="auto" w:sz="4" w:space="0"/>
              <w:right w:val="single" w:color="auto" w:sz="4" w:space="0"/>
            </w:tcBorders>
            <w:vAlign w:val="center"/>
          </w:tcPr>
          <w:p>
            <w:pPr>
              <w:autoSpaceDE w:val="0"/>
              <w:autoSpaceDN w:val="0"/>
              <w:jc w:val="center"/>
              <w:rPr>
                <w:rFonts w:ascii="宋体" w:hAnsi="宋体" w:cs="Courier New"/>
                <w:color w:val="auto"/>
                <w:kern w:val="0"/>
                <w:sz w:val="24"/>
                <w:szCs w:val="21"/>
                <w:highlight w:val="none"/>
              </w:rPr>
            </w:pPr>
          </w:p>
        </w:tc>
        <w:tc>
          <w:tcPr>
            <w:tcW w:w="4499" w:type="dxa"/>
            <w:tcBorders>
              <w:top w:val="single" w:color="auto" w:sz="4" w:space="0"/>
              <w:left w:val="nil"/>
              <w:bottom w:val="single" w:color="auto" w:sz="4" w:space="0"/>
              <w:right w:val="single" w:color="auto" w:sz="4" w:space="0"/>
            </w:tcBorders>
            <w:vAlign w:val="center"/>
          </w:tcPr>
          <w:p>
            <w:pPr>
              <w:autoSpaceDE w:val="0"/>
              <w:autoSpaceDN w:val="0"/>
              <w:rPr>
                <w:rFonts w:ascii="宋体" w:hAnsi="宋体" w:cs="Courier New"/>
                <w:color w:val="auto"/>
                <w:kern w:val="0"/>
                <w:sz w:val="24"/>
                <w:szCs w:val="21"/>
                <w:highlight w:val="none"/>
              </w:rPr>
            </w:pPr>
          </w:p>
        </w:tc>
      </w:tr>
    </w:tbl>
    <w:p>
      <w:pPr>
        <w:spacing w:line="360" w:lineRule="auto"/>
        <w:rPr>
          <w:rFonts w:ascii="宋体" w:hAnsi="宋体"/>
          <w:color w:val="auto"/>
          <w:kern w:val="0"/>
          <w:sz w:val="24"/>
          <w:highlight w:val="none"/>
        </w:rPr>
      </w:pPr>
      <w:r>
        <w:rPr>
          <w:rFonts w:hint="eastAsia" w:ascii="宋体" w:hAnsi="宋体"/>
          <w:color w:val="auto"/>
          <w:kern w:val="0"/>
          <w:sz w:val="24"/>
          <w:highlight w:val="none"/>
        </w:rPr>
        <w:t>6.1.3 甲乙双方因履行本合同而发生的银行费用，买方发生的由买方负担，卖方发生的由卖方负担。</w:t>
      </w:r>
    </w:p>
    <w:p>
      <w:pPr>
        <w:spacing w:line="360" w:lineRule="auto"/>
        <w:rPr>
          <w:rFonts w:ascii="宋体" w:hAnsi="宋体"/>
          <w:color w:val="auto"/>
          <w:kern w:val="0"/>
          <w:sz w:val="24"/>
          <w:highlight w:val="none"/>
        </w:rPr>
      </w:pPr>
      <w:r>
        <w:rPr>
          <w:rFonts w:hint="eastAsia" w:ascii="宋体" w:hAnsi="宋体"/>
          <w:color w:val="auto"/>
          <w:kern w:val="0"/>
          <w:sz w:val="24"/>
          <w:highlight w:val="none"/>
        </w:rPr>
        <w:t>6.1.4 买方对支付单据的审核应在收到卖方有关单据后10日内完成，如单据有误，也应在10日内向卖方发出书面通知。</w:t>
      </w:r>
    </w:p>
    <w:p>
      <w:pPr>
        <w:spacing w:line="360" w:lineRule="auto"/>
        <w:rPr>
          <w:rFonts w:ascii="宋体" w:hAnsi="宋体"/>
          <w:color w:val="auto"/>
          <w:kern w:val="0"/>
          <w:sz w:val="24"/>
          <w:highlight w:val="none"/>
        </w:rPr>
      </w:pPr>
      <w:r>
        <w:rPr>
          <w:rFonts w:hint="eastAsia" w:ascii="宋体" w:hAnsi="宋体"/>
          <w:color w:val="auto"/>
          <w:kern w:val="0"/>
          <w:sz w:val="24"/>
          <w:highlight w:val="none"/>
        </w:rPr>
        <w:t>6.1.5 卖方应在每次收款后7日内办理收款确认手续。</w:t>
      </w:r>
    </w:p>
    <w:p>
      <w:pPr>
        <w:spacing w:line="360" w:lineRule="auto"/>
        <w:rPr>
          <w:rFonts w:ascii="宋体" w:hAnsi="宋体"/>
          <w:b/>
          <w:bCs/>
          <w:color w:val="auto"/>
          <w:sz w:val="24"/>
          <w:highlight w:val="none"/>
        </w:rPr>
      </w:pPr>
      <w:r>
        <w:rPr>
          <w:rFonts w:hint="eastAsia" w:ascii="宋体" w:hAnsi="宋体"/>
          <w:b/>
          <w:bCs/>
          <w:color w:val="auto"/>
          <w:sz w:val="24"/>
          <w:highlight w:val="none"/>
        </w:rPr>
        <w:t>6.2支付方法</w:t>
      </w:r>
    </w:p>
    <w:p>
      <w:pPr>
        <w:rPr>
          <w:rFonts w:ascii="宋体" w:hAnsi="宋体"/>
          <w:color w:val="auto"/>
          <w:sz w:val="24"/>
          <w:highlight w:val="none"/>
        </w:rPr>
      </w:pPr>
      <w:r>
        <w:rPr>
          <w:rFonts w:hint="eastAsia" w:ascii="宋体" w:hAnsi="宋体"/>
          <w:color w:val="auto"/>
          <w:sz w:val="24"/>
          <w:highlight w:val="none"/>
        </w:rPr>
        <w:t>验收合格后支付97%，留3%质保金至质保期结束后支付。</w:t>
      </w:r>
    </w:p>
    <w:p>
      <w:pPr>
        <w:spacing w:line="360" w:lineRule="auto"/>
        <w:contextualSpacing/>
        <w:outlineLvl w:val="0"/>
        <w:rPr>
          <w:rFonts w:ascii="宋体" w:hAnsi="宋体"/>
          <w:b/>
          <w:bCs/>
          <w:color w:val="auto"/>
          <w:sz w:val="24"/>
          <w:highlight w:val="none"/>
        </w:rPr>
      </w:pPr>
      <w:bookmarkStart w:id="296" w:name="_Toc13598"/>
      <w:bookmarkStart w:id="297" w:name="_Toc5987"/>
      <w:bookmarkStart w:id="298" w:name="_Toc20478"/>
      <w:bookmarkStart w:id="299" w:name="_Toc275"/>
      <w:r>
        <w:rPr>
          <w:rFonts w:hint="eastAsia" w:ascii="宋体" w:hAnsi="宋体"/>
          <w:b/>
          <w:bCs/>
          <w:color w:val="auto"/>
          <w:sz w:val="24"/>
          <w:highlight w:val="none"/>
        </w:rPr>
        <w:t>7.装运、交货及交货检验</w:t>
      </w:r>
      <w:bookmarkEnd w:id="296"/>
      <w:bookmarkEnd w:id="297"/>
      <w:bookmarkEnd w:id="298"/>
      <w:bookmarkEnd w:id="299"/>
    </w:p>
    <w:p>
      <w:pPr>
        <w:pStyle w:val="48"/>
        <w:autoSpaceDE w:val="0"/>
        <w:autoSpaceDN w:val="0"/>
        <w:spacing w:line="360" w:lineRule="auto"/>
        <w:contextualSpacing/>
        <w:rPr>
          <w:rFonts w:ascii="宋体" w:hAnsi="宋体"/>
          <w:b/>
          <w:bCs/>
          <w:color w:val="auto"/>
          <w:sz w:val="24"/>
          <w:szCs w:val="24"/>
          <w:highlight w:val="none"/>
        </w:rPr>
      </w:pPr>
      <w:r>
        <w:rPr>
          <w:rFonts w:hint="eastAsia" w:ascii="宋体" w:hAnsi="宋体"/>
          <w:b/>
          <w:bCs/>
          <w:color w:val="auto"/>
          <w:sz w:val="24"/>
          <w:szCs w:val="24"/>
          <w:highlight w:val="none"/>
        </w:rPr>
        <w:t>7.1 交货批次/交货时间/交货地点及方式的规定</w:t>
      </w:r>
    </w:p>
    <w:p>
      <w:pPr>
        <w:pStyle w:val="48"/>
        <w:autoSpaceDE w:val="0"/>
        <w:autoSpaceDN w:val="0"/>
        <w:spacing w:line="360" w:lineRule="auto"/>
        <w:ind w:left="105" w:leftChars="50" w:firstLine="0"/>
        <w:contextualSpacing/>
        <w:rPr>
          <w:rFonts w:ascii="宋体" w:hAnsi="宋体"/>
          <w:color w:val="auto"/>
          <w:sz w:val="24"/>
          <w:szCs w:val="24"/>
          <w:highlight w:val="none"/>
        </w:rPr>
      </w:pPr>
      <w:r>
        <w:rPr>
          <w:rFonts w:hint="eastAsia" w:ascii="宋体" w:hAnsi="宋体"/>
          <w:color w:val="auto"/>
          <w:sz w:val="24"/>
          <w:szCs w:val="24"/>
          <w:highlight w:val="none"/>
        </w:rPr>
        <w:t>7.1.1 卖方应根据合同组成文件1.5规定交货批次和交货时间及本合同条款7条的约定进行交货。</w:t>
      </w:r>
    </w:p>
    <w:p>
      <w:pPr>
        <w:pStyle w:val="48"/>
        <w:autoSpaceDE w:val="0"/>
        <w:autoSpaceDN w:val="0"/>
        <w:spacing w:line="360" w:lineRule="auto"/>
        <w:ind w:left="105" w:leftChars="50" w:firstLine="120" w:firstLineChars="50"/>
        <w:contextualSpacing/>
        <w:rPr>
          <w:rFonts w:ascii="宋体" w:hAnsi="宋体"/>
          <w:color w:val="auto"/>
          <w:sz w:val="24"/>
          <w:szCs w:val="24"/>
          <w:highlight w:val="none"/>
        </w:rPr>
      </w:pPr>
      <w:r>
        <w:rPr>
          <w:rFonts w:hint="eastAsia" w:ascii="宋体" w:hAnsi="宋体"/>
          <w:b/>
          <w:bCs/>
          <w:color w:val="auto"/>
          <w:sz w:val="24"/>
          <w:szCs w:val="24"/>
          <w:highlight w:val="none"/>
        </w:rPr>
        <w:t>交货地点及方式</w:t>
      </w:r>
      <w:r>
        <w:rPr>
          <w:rFonts w:hint="eastAsia" w:ascii="宋体" w:hAnsi="宋体"/>
          <w:color w:val="auto"/>
          <w:sz w:val="24"/>
          <w:szCs w:val="24"/>
          <w:highlight w:val="none"/>
        </w:rPr>
        <w:t>：</w:t>
      </w:r>
    </w:p>
    <w:p>
      <w:pPr>
        <w:pStyle w:val="48"/>
        <w:autoSpaceDE w:val="0"/>
        <w:autoSpaceDN w:val="0"/>
        <w:spacing w:line="360" w:lineRule="auto"/>
        <w:ind w:left="105" w:leftChars="50" w:firstLine="120" w:firstLineChars="50"/>
        <w:contextualSpacing/>
        <w:rPr>
          <w:rFonts w:ascii="宋体" w:hAnsi="宋体"/>
          <w:color w:val="auto"/>
          <w:sz w:val="24"/>
          <w:szCs w:val="24"/>
          <w:highlight w:val="none"/>
        </w:rPr>
      </w:pPr>
      <w:r>
        <w:rPr>
          <w:rFonts w:hint="eastAsia" w:ascii="宋体" w:hAnsi="宋体"/>
          <w:color w:val="auto"/>
          <w:sz w:val="24"/>
          <w:szCs w:val="24"/>
          <w:highlight w:val="none"/>
        </w:rPr>
        <w:t>指合同设备安装和运行的项目所在地：乌兰县，车下交货。</w:t>
      </w:r>
    </w:p>
    <w:p>
      <w:pPr>
        <w:pStyle w:val="48"/>
        <w:autoSpaceDE w:val="0"/>
        <w:autoSpaceDN w:val="0"/>
        <w:spacing w:line="360" w:lineRule="auto"/>
        <w:ind w:left="105" w:leftChars="50" w:firstLine="0"/>
        <w:contextualSpacing/>
        <w:rPr>
          <w:rFonts w:ascii="宋体" w:hAnsi="宋体"/>
          <w:color w:val="auto"/>
          <w:sz w:val="24"/>
          <w:szCs w:val="24"/>
          <w:highlight w:val="none"/>
        </w:rPr>
      </w:pPr>
      <w:r>
        <w:rPr>
          <w:rFonts w:hint="eastAsia" w:ascii="宋体" w:hAnsi="宋体"/>
          <w:color w:val="auto"/>
          <w:sz w:val="24"/>
          <w:szCs w:val="24"/>
          <w:highlight w:val="none"/>
        </w:rPr>
        <w:t>7.1.2 所有合同设备的到货应以合同分项编号下的分项部件（包括附件）一起成套提供，相同的仪器、材料、安装维修工具应与相关的设备一批装运。</w:t>
      </w:r>
    </w:p>
    <w:p>
      <w:pPr>
        <w:pStyle w:val="48"/>
        <w:autoSpaceDE w:val="0"/>
        <w:autoSpaceDN w:val="0"/>
        <w:spacing w:line="360" w:lineRule="auto"/>
        <w:ind w:left="105" w:leftChars="50" w:firstLine="0"/>
        <w:contextualSpacing/>
        <w:rPr>
          <w:rFonts w:ascii="宋体" w:hAnsi="宋体"/>
          <w:color w:val="auto"/>
          <w:sz w:val="24"/>
          <w:szCs w:val="24"/>
          <w:highlight w:val="none"/>
        </w:rPr>
      </w:pPr>
      <w:r>
        <w:rPr>
          <w:rFonts w:hint="eastAsia" w:ascii="宋体" w:hAnsi="宋体"/>
          <w:color w:val="auto"/>
          <w:sz w:val="24"/>
          <w:szCs w:val="24"/>
          <w:highlight w:val="none"/>
        </w:rPr>
        <w:t>7.1.3对要求整批到货的合同设备和按合同7.1.2款要求成套提供合同设备，如晚于合同规定到货时间，卖方将按本合同规定向买方支付延期到货违约金。</w:t>
      </w:r>
    </w:p>
    <w:p>
      <w:pPr>
        <w:pStyle w:val="48"/>
        <w:autoSpaceDE w:val="0"/>
        <w:autoSpaceDN w:val="0"/>
        <w:spacing w:line="360" w:lineRule="auto"/>
        <w:contextualSpacing/>
        <w:rPr>
          <w:rFonts w:ascii="宋体" w:hAnsi="宋体"/>
          <w:b/>
          <w:bCs/>
          <w:color w:val="auto"/>
          <w:sz w:val="24"/>
          <w:szCs w:val="24"/>
          <w:highlight w:val="none"/>
        </w:rPr>
      </w:pPr>
      <w:r>
        <w:rPr>
          <w:rFonts w:hint="eastAsia" w:ascii="宋体" w:hAnsi="宋体"/>
          <w:b/>
          <w:bCs/>
          <w:color w:val="auto"/>
          <w:sz w:val="24"/>
          <w:szCs w:val="24"/>
          <w:highlight w:val="none"/>
        </w:rPr>
        <w:t>7.2 卖方应给买方提交的设备明细表。</w:t>
      </w:r>
    </w:p>
    <w:p>
      <w:pPr>
        <w:pStyle w:val="48"/>
        <w:autoSpaceDE w:val="0"/>
        <w:autoSpaceDN w:val="0"/>
        <w:spacing w:line="360" w:lineRule="auto"/>
        <w:ind w:left="105" w:leftChars="50" w:firstLine="0"/>
        <w:contextualSpacing/>
        <w:rPr>
          <w:rFonts w:ascii="宋体" w:hAnsi="宋体"/>
          <w:color w:val="auto"/>
          <w:sz w:val="24"/>
          <w:szCs w:val="24"/>
          <w:highlight w:val="none"/>
        </w:rPr>
      </w:pPr>
      <w:r>
        <w:rPr>
          <w:rFonts w:hint="eastAsia" w:ascii="宋体" w:hAnsi="宋体"/>
          <w:color w:val="auto"/>
          <w:sz w:val="24"/>
          <w:szCs w:val="24"/>
          <w:highlight w:val="none"/>
        </w:rPr>
        <w:t>7.2.1在合同设备开始装运前15天，卖方应向买方提交1份到货设备的价目明细表，即到货设备的明细项目及其每个明细项的价格表。</w:t>
      </w:r>
    </w:p>
    <w:p>
      <w:pPr>
        <w:pStyle w:val="48"/>
        <w:autoSpaceDE w:val="0"/>
        <w:autoSpaceDN w:val="0"/>
        <w:spacing w:line="360" w:lineRule="auto"/>
        <w:ind w:left="105" w:leftChars="50" w:firstLine="0"/>
        <w:contextualSpacing/>
        <w:rPr>
          <w:rFonts w:ascii="宋体" w:hAnsi="宋体"/>
          <w:color w:val="auto"/>
          <w:sz w:val="24"/>
          <w:szCs w:val="24"/>
          <w:highlight w:val="none"/>
        </w:rPr>
      </w:pPr>
      <w:r>
        <w:rPr>
          <w:rFonts w:hint="eastAsia" w:ascii="宋体" w:hAnsi="宋体"/>
          <w:color w:val="auto"/>
          <w:sz w:val="24"/>
          <w:szCs w:val="24"/>
          <w:highlight w:val="none"/>
        </w:rPr>
        <w:t>7.2.2 所有交货的明细价格总和，应与协议书1.3中的合同设备总价一致。</w:t>
      </w:r>
    </w:p>
    <w:p>
      <w:pPr>
        <w:pStyle w:val="48"/>
        <w:autoSpaceDE w:val="0"/>
        <w:autoSpaceDN w:val="0"/>
        <w:spacing w:line="360" w:lineRule="auto"/>
        <w:contextualSpacing/>
        <w:rPr>
          <w:rFonts w:ascii="宋体" w:hAnsi="宋体"/>
          <w:b/>
          <w:bCs/>
          <w:color w:val="auto"/>
          <w:sz w:val="24"/>
          <w:szCs w:val="24"/>
          <w:highlight w:val="none"/>
        </w:rPr>
      </w:pPr>
      <w:r>
        <w:rPr>
          <w:rFonts w:hint="eastAsia" w:ascii="宋体" w:hAnsi="宋体"/>
          <w:b/>
          <w:bCs/>
          <w:color w:val="auto"/>
          <w:sz w:val="24"/>
          <w:szCs w:val="24"/>
          <w:highlight w:val="none"/>
        </w:rPr>
        <w:t>7.3 对交货文件的要求</w:t>
      </w:r>
    </w:p>
    <w:p>
      <w:pPr>
        <w:pStyle w:val="48"/>
        <w:autoSpaceDE w:val="0"/>
        <w:autoSpaceDN w:val="0"/>
        <w:spacing w:line="360" w:lineRule="auto"/>
        <w:ind w:left="105" w:leftChars="50" w:firstLine="0"/>
        <w:contextualSpacing/>
        <w:rPr>
          <w:rFonts w:ascii="宋体" w:hAnsi="宋体"/>
          <w:color w:val="auto"/>
          <w:sz w:val="24"/>
          <w:szCs w:val="24"/>
          <w:highlight w:val="none"/>
        </w:rPr>
      </w:pPr>
      <w:r>
        <w:rPr>
          <w:rFonts w:hint="eastAsia" w:ascii="宋体" w:hAnsi="宋体"/>
          <w:color w:val="auto"/>
          <w:sz w:val="24"/>
          <w:szCs w:val="24"/>
          <w:highlight w:val="none"/>
        </w:rPr>
        <w:t>7.3.1 卖方应编制装箱清单并在发货前15日以书面形式提供给买方，清单应分为装箱总清单和详细装箱清单，并提供相应电子文档。装箱总清单应描述该批交货设备名称、和总体情况，内容应包括此批次的交货设备或部件的名称、编号、重量、体积、箱件数和每个箱件的编号、体积、重量等。详细装箱清单应描述每个箱件里的设备零部件信息，内容包括零部件名称、规格型号、图号、对应的部件号、计量单位、数量、重量及所属部件名称（或编号）等。</w:t>
      </w:r>
    </w:p>
    <w:p>
      <w:pPr>
        <w:pStyle w:val="48"/>
        <w:spacing w:line="360" w:lineRule="auto"/>
        <w:ind w:left="1153" w:leftChars="46" w:hanging="1056" w:hangingChars="440"/>
        <w:contextualSpacing/>
        <w:rPr>
          <w:rFonts w:ascii="宋体" w:hAnsi="宋体"/>
          <w:color w:val="auto"/>
          <w:sz w:val="24"/>
          <w:szCs w:val="24"/>
          <w:highlight w:val="none"/>
        </w:rPr>
      </w:pPr>
      <w:r>
        <w:rPr>
          <w:rFonts w:hint="eastAsia" w:ascii="宋体" w:hAnsi="宋体"/>
          <w:color w:val="auto"/>
          <w:sz w:val="24"/>
          <w:szCs w:val="24"/>
          <w:highlight w:val="none"/>
        </w:rPr>
        <w:t>卖方应按照买方要求、认可、规定的装箱单标准格式进行填写。</w:t>
      </w:r>
    </w:p>
    <w:p>
      <w:pPr>
        <w:pStyle w:val="48"/>
        <w:autoSpaceDE w:val="0"/>
        <w:autoSpaceDN w:val="0"/>
        <w:spacing w:line="360" w:lineRule="auto"/>
        <w:ind w:left="105" w:leftChars="50" w:firstLine="0"/>
        <w:contextualSpacing/>
        <w:rPr>
          <w:rFonts w:ascii="宋体" w:hAnsi="宋体"/>
          <w:color w:val="auto"/>
          <w:sz w:val="24"/>
          <w:szCs w:val="24"/>
          <w:highlight w:val="none"/>
        </w:rPr>
      </w:pPr>
      <w:r>
        <w:rPr>
          <w:rFonts w:hint="eastAsia" w:ascii="宋体" w:hAnsi="宋体"/>
          <w:color w:val="auto"/>
          <w:sz w:val="24"/>
          <w:szCs w:val="24"/>
          <w:highlight w:val="none"/>
        </w:rPr>
        <w:t>7.3.2 卖方应保证提供的交货文件（包括但不限于如货运单、发票、装箱单等）的数据（包括但不限于如数量、重量、金额等）前后一致；收款收据必须标明价格要素如名称、金额、价格术语、对应的合同设备价格表项目、序号、编号与价格等，不同货物价格需分列；对合同供货的任何变更（包括但不限于如补发、漏发、产地变更等）都需提供书面说明，并经买方确认后方可实施，否则视为卖方违约；如货物中有油漆、化工用品等危险品，应有明显的危险品标记，同时卖方应给买方提供仓储与事故处理方式的详细书面说明。</w:t>
      </w:r>
    </w:p>
    <w:p>
      <w:pPr>
        <w:pStyle w:val="48"/>
        <w:autoSpaceDE w:val="0"/>
        <w:autoSpaceDN w:val="0"/>
        <w:spacing w:line="360" w:lineRule="auto"/>
        <w:contextualSpacing/>
        <w:rPr>
          <w:rFonts w:ascii="宋体" w:hAnsi="宋体"/>
          <w:b/>
          <w:bCs/>
          <w:color w:val="auto"/>
          <w:sz w:val="24"/>
          <w:szCs w:val="24"/>
          <w:highlight w:val="none"/>
        </w:rPr>
      </w:pPr>
      <w:r>
        <w:rPr>
          <w:rFonts w:hint="eastAsia" w:ascii="宋体" w:hAnsi="宋体"/>
          <w:b/>
          <w:bCs/>
          <w:color w:val="auto"/>
          <w:sz w:val="24"/>
          <w:szCs w:val="24"/>
          <w:highlight w:val="none"/>
        </w:rPr>
        <w:t>7.4 合同设备运输装卸、贮存和运输方案说明书的提交</w:t>
      </w:r>
    </w:p>
    <w:p>
      <w:pPr>
        <w:pStyle w:val="48"/>
        <w:autoSpaceDE w:val="0"/>
        <w:autoSpaceDN w:val="0"/>
        <w:spacing w:line="360" w:lineRule="auto"/>
        <w:ind w:left="105" w:leftChars="50" w:firstLine="0"/>
        <w:contextualSpacing/>
        <w:rPr>
          <w:rFonts w:ascii="宋体" w:hAnsi="宋体"/>
          <w:color w:val="auto"/>
          <w:sz w:val="24"/>
          <w:szCs w:val="24"/>
          <w:highlight w:val="none"/>
        </w:rPr>
      </w:pPr>
      <w:r>
        <w:rPr>
          <w:rFonts w:hint="eastAsia" w:ascii="宋体" w:hAnsi="宋体"/>
          <w:color w:val="auto"/>
          <w:sz w:val="24"/>
          <w:szCs w:val="24"/>
          <w:highlight w:val="none"/>
        </w:rPr>
        <w:t>7.4.1 卖方应在发货前45日内，给买方提交合同设备的运输装卸、贮存和运输方案说明书，买方如有异议应在30日内书面通知卖方。</w:t>
      </w:r>
    </w:p>
    <w:p>
      <w:pPr>
        <w:pStyle w:val="48"/>
        <w:autoSpaceDE w:val="0"/>
        <w:autoSpaceDN w:val="0"/>
        <w:spacing w:line="360" w:lineRule="auto"/>
        <w:ind w:left="105" w:leftChars="50" w:firstLine="0"/>
        <w:contextualSpacing/>
        <w:rPr>
          <w:rFonts w:ascii="宋体" w:hAnsi="宋体"/>
          <w:color w:val="auto"/>
          <w:sz w:val="24"/>
          <w:szCs w:val="24"/>
          <w:highlight w:val="none"/>
        </w:rPr>
      </w:pPr>
      <w:r>
        <w:rPr>
          <w:rFonts w:hint="eastAsia" w:ascii="宋体" w:hAnsi="宋体"/>
          <w:color w:val="auto"/>
          <w:sz w:val="24"/>
          <w:szCs w:val="24"/>
          <w:highlight w:val="none"/>
        </w:rPr>
        <w:t>7.4.2 如果合同设备中有特殊物品（包括但不限于：易燃品、易爆、有毒物品及其他危险品和运输过程中对温度等环境因素和震动有特殊要求的设备或物品等），卖方必须在装运前30日将标有合同设备名称、仓储措施、保存方法和事故处理方法等内容的详细说明书一式十二份提交买方。</w:t>
      </w:r>
    </w:p>
    <w:p>
      <w:pPr>
        <w:pStyle w:val="48"/>
        <w:autoSpaceDE w:val="0"/>
        <w:autoSpaceDN w:val="0"/>
        <w:spacing w:line="360" w:lineRule="auto"/>
        <w:ind w:left="105" w:leftChars="50" w:firstLine="0"/>
        <w:contextualSpacing/>
        <w:rPr>
          <w:rFonts w:ascii="宋体" w:hAnsi="宋体"/>
          <w:color w:val="auto"/>
          <w:sz w:val="24"/>
          <w:szCs w:val="24"/>
          <w:highlight w:val="none"/>
        </w:rPr>
      </w:pPr>
      <w:r>
        <w:rPr>
          <w:rFonts w:hint="eastAsia" w:ascii="宋体" w:hAnsi="宋体"/>
          <w:color w:val="auto"/>
          <w:sz w:val="24"/>
          <w:szCs w:val="24"/>
          <w:highlight w:val="none"/>
        </w:rPr>
        <w:t>7.4.3 合同设备在运输和仓储时，如对温度、湿度、重心及震动等方面有特殊要求，卖方应在装运前30日将标有合同设备名称和注意事项的说明书一式八份提交买方。该说明书及装运布置图将作为买方安排运输及保管的基础。</w:t>
      </w:r>
    </w:p>
    <w:p>
      <w:pPr>
        <w:pStyle w:val="48"/>
        <w:autoSpaceDE w:val="0"/>
        <w:autoSpaceDN w:val="0"/>
        <w:spacing w:line="360" w:lineRule="auto"/>
        <w:ind w:left="105" w:leftChars="50" w:firstLine="0"/>
        <w:contextualSpacing/>
        <w:rPr>
          <w:rFonts w:ascii="宋体" w:hAnsi="宋体"/>
          <w:color w:val="auto"/>
          <w:sz w:val="24"/>
          <w:szCs w:val="24"/>
          <w:highlight w:val="none"/>
        </w:rPr>
      </w:pPr>
      <w:r>
        <w:rPr>
          <w:rFonts w:hint="eastAsia" w:ascii="宋体" w:hAnsi="宋体"/>
          <w:color w:val="auto"/>
          <w:sz w:val="24"/>
          <w:szCs w:val="24"/>
          <w:highlight w:val="none"/>
        </w:rPr>
        <w:t>7.4.4 对重量超过20T、外形尺寸大于9 m×3 m×3m的大件或特殊外形的运输件，卖方应在合同设备装运前30日，将注明合同设备重心、吊点等的包装草图和捆绑示意图一式十二份，以快寄方式提交买方。</w:t>
      </w:r>
    </w:p>
    <w:p>
      <w:pPr>
        <w:pStyle w:val="48"/>
        <w:autoSpaceDE w:val="0"/>
        <w:autoSpaceDN w:val="0"/>
        <w:spacing w:line="360" w:lineRule="auto"/>
        <w:contextualSpacing/>
        <w:rPr>
          <w:rFonts w:ascii="宋体" w:hAnsi="宋体"/>
          <w:b/>
          <w:bCs/>
          <w:color w:val="auto"/>
          <w:sz w:val="24"/>
          <w:szCs w:val="24"/>
          <w:highlight w:val="none"/>
        </w:rPr>
      </w:pPr>
      <w:r>
        <w:rPr>
          <w:rFonts w:hint="eastAsia" w:ascii="宋体" w:hAnsi="宋体"/>
          <w:b/>
          <w:bCs/>
          <w:color w:val="auto"/>
          <w:sz w:val="24"/>
          <w:szCs w:val="24"/>
          <w:highlight w:val="none"/>
        </w:rPr>
        <w:t>7.5 合同设备装运通知</w:t>
      </w:r>
    </w:p>
    <w:p>
      <w:pPr>
        <w:pStyle w:val="48"/>
        <w:autoSpaceDE w:val="0"/>
        <w:autoSpaceDN w:val="0"/>
        <w:spacing w:line="360" w:lineRule="auto"/>
        <w:ind w:left="1133" w:hanging="1132" w:hangingChars="472"/>
        <w:contextualSpacing/>
        <w:rPr>
          <w:rFonts w:ascii="宋体" w:hAnsi="宋体"/>
          <w:color w:val="auto"/>
          <w:sz w:val="24"/>
          <w:szCs w:val="24"/>
          <w:highlight w:val="none"/>
        </w:rPr>
      </w:pPr>
      <w:r>
        <w:rPr>
          <w:rFonts w:hint="eastAsia" w:ascii="宋体" w:hAnsi="宋体"/>
          <w:color w:val="auto"/>
          <w:sz w:val="24"/>
          <w:szCs w:val="24"/>
          <w:highlight w:val="none"/>
        </w:rPr>
        <w:t>卖方应在合同设备交货前30日，用传真通知买方如下内容∶</w:t>
      </w:r>
    </w:p>
    <w:p>
      <w:pPr>
        <w:spacing w:line="360" w:lineRule="auto"/>
        <w:rPr>
          <w:rFonts w:ascii="宋体" w:hAnsi="宋体"/>
          <w:color w:val="auto"/>
          <w:kern w:val="0"/>
          <w:sz w:val="24"/>
          <w:highlight w:val="none"/>
        </w:rPr>
      </w:pPr>
      <w:r>
        <w:rPr>
          <w:rFonts w:hint="eastAsia" w:ascii="宋体" w:hAnsi="宋体"/>
          <w:color w:val="auto"/>
          <w:kern w:val="0"/>
          <w:sz w:val="24"/>
          <w:highlight w:val="none"/>
        </w:rPr>
        <w:t>（1） 合同号</w:t>
      </w:r>
      <w:r>
        <w:rPr>
          <w:rFonts w:hint="eastAsia" w:ascii="宋体" w:hAnsi="宋体"/>
          <w:color w:val="auto"/>
          <w:kern w:val="0"/>
          <w:sz w:val="24"/>
          <w:highlight w:val="none"/>
        </w:rPr>
        <w:tab/>
      </w:r>
    </w:p>
    <w:p>
      <w:pPr>
        <w:spacing w:line="360" w:lineRule="auto"/>
        <w:rPr>
          <w:rFonts w:ascii="宋体" w:hAnsi="宋体"/>
          <w:color w:val="auto"/>
          <w:kern w:val="0"/>
          <w:sz w:val="24"/>
          <w:highlight w:val="none"/>
        </w:rPr>
      </w:pPr>
      <w:r>
        <w:rPr>
          <w:rFonts w:hint="eastAsia" w:ascii="宋体" w:hAnsi="宋体"/>
          <w:color w:val="auto"/>
          <w:kern w:val="0"/>
          <w:sz w:val="24"/>
          <w:highlight w:val="none"/>
        </w:rPr>
        <w:t>（2） 合同设备名称、设备编号和部件号</w:t>
      </w:r>
    </w:p>
    <w:p>
      <w:pPr>
        <w:spacing w:line="360" w:lineRule="auto"/>
        <w:rPr>
          <w:rFonts w:ascii="宋体" w:hAnsi="宋体"/>
          <w:color w:val="auto"/>
          <w:kern w:val="0"/>
          <w:sz w:val="24"/>
          <w:highlight w:val="none"/>
        </w:rPr>
      </w:pPr>
      <w:r>
        <w:rPr>
          <w:rFonts w:hint="eastAsia" w:ascii="宋体" w:hAnsi="宋体"/>
          <w:color w:val="auto"/>
          <w:kern w:val="0"/>
          <w:sz w:val="24"/>
          <w:highlight w:val="none"/>
        </w:rPr>
        <w:t>（3） 数量</w:t>
      </w:r>
    </w:p>
    <w:p>
      <w:pPr>
        <w:spacing w:line="360" w:lineRule="auto"/>
        <w:rPr>
          <w:rFonts w:ascii="宋体" w:hAnsi="宋体"/>
          <w:color w:val="auto"/>
          <w:kern w:val="0"/>
          <w:sz w:val="24"/>
          <w:highlight w:val="none"/>
        </w:rPr>
      </w:pPr>
      <w:r>
        <w:rPr>
          <w:rFonts w:hint="eastAsia" w:ascii="宋体" w:hAnsi="宋体"/>
          <w:color w:val="auto"/>
          <w:kern w:val="0"/>
          <w:sz w:val="24"/>
          <w:highlight w:val="none"/>
        </w:rPr>
        <w:t>（4） 包装数量</w:t>
      </w:r>
    </w:p>
    <w:p>
      <w:pPr>
        <w:spacing w:line="360" w:lineRule="auto"/>
        <w:rPr>
          <w:rFonts w:ascii="宋体" w:hAnsi="宋体"/>
          <w:color w:val="auto"/>
          <w:kern w:val="0"/>
          <w:sz w:val="24"/>
          <w:highlight w:val="none"/>
        </w:rPr>
      </w:pPr>
      <w:r>
        <w:rPr>
          <w:rFonts w:hint="eastAsia" w:ascii="宋体" w:hAnsi="宋体"/>
          <w:color w:val="auto"/>
          <w:kern w:val="0"/>
          <w:sz w:val="24"/>
          <w:highlight w:val="none"/>
        </w:rPr>
        <w:t>（5） 总毛重</w:t>
      </w:r>
    </w:p>
    <w:p>
      <w:pPr>
        <w:spacing w:line="360" w:lineRule="auto"/>
        <w:rPr>
          <w:rFonts w:ascii="宋体" w:hAnsi="宋体"/>
          <w:color w:val="auto"/>
          <w:kern w:val="0"/>
          <w:sz w:val="24"/>
          <w:highlight w:val="none"/>
        </w:rPr>
      </w:pPr>
      <w:r>
        <w:rPr>
          <w:rFonts w:hint="eastAsia" w:ascii="宋体" w:hAnsi="宋体"/>
          <w:color w:val="auto"/>
          <w:kern w:val="0"/>
          <w:sz w:val="24"/>
          <w:highlight w:val="none"/>
        </w:rPr>
        <w:t>（6） 总体积</w:t>
      </w:r>
    </w:p>
    <w:p>
      <w:pPr>
        <w:spacing w:line="360" w:lineRule="auto"/>
        <w:rPr>
          <w:rFonts w:ascii="宋体" w:hAnsi="宋体"/>
          <w:color w:val="auto"/>
          <w:kern w:val="0"/>
          <w:sz w:val="24"/>
          <w:highlight w:val="none"/>
        </w:rPr>
      </w:pPr>
      <w:r>
        <w:rPr>
          <w:rFonts w:hint="eastAsia" w:ascii="宋体" w:hAnsi="宋体"/>
          <w:color w:val="auto"/>
          <w:kern w:val="0"/>
          <w:sz w:val="24"/>
          <w:highlight w:val="none"/>
        </w:rPr>
        <w:t xml:space="preserve">（7） 交货站的车站名称、车号、运单号（采取公路运输的，应将承运人的名称、车号、车型等相关内容通知买方）     </w:t>
      </w:r>
    </w:p>
    <w:p>
      <w:pPr>
        <w:spacing w:line="360" w:lineRule="auto"/>
        <w:rPr>
          <w:rFonts w:ascii="宋体" w:hAnsi="宋体"/>
          <w:color w:val="auto"/>
          <w:kern w:val="0"/>
          <w:sz w:val="24"/>
          <w:highlight w:val="none"/>
        </w:rPr>
      </w:pPr>
      <w:r>
        <w:rPr>
          <w:rFonts w:hint="eastAsia" w:ascii="宋体" w:hAnsi="宋体"/>
          <w:color w:val="auto"/>
          <w:kern w:val="0"/>
          <w:sz w:val="24"/>
          <w:highlight w:val="none"/>
        </w:rPr>
        <w:t>（8） 车站出发的日期</w:t>
      </w:r>
    </w:p>
    <w:p>
      <w:pPr>
        <w:spacing w:line="360" w:lineRule="auto"/>
        <w:rPr>
          <w:rFonts w:ascii="宋体" w:hAnsi="宋体"/>
          <w:color w:val="auto"/>
          <w:kern w:val="0"/>
          <w:sz w:val="24"/>
          <w:highlight w:val="none"/>
        </w:rPr>
      </w:pPr>
      <w:r>
        <w:rPr>
          <w:rFonts w:hint="eastAsia" w:ascii="宋体" w:hAnsi="宋体"/>
          <w:color w:val="auto"/>
          <w:kern w:val="0"/>
          <w:sz w:val="24"/>
          <w:highlight w:val="none"/>
        </w:rPr>
        <w:t>（9） 预计到达目的站的日期</w:t>
      </w:r>
    </w:p>
    <w:p>
      <w:pPr>
        <w:spacing w:line="360" w:lineRule="auto"/>
        <w:rPr>
          <w:rFonts w:ascii="宋体" w:hAnsi="宋体"/>
          <w:color w:val="auto"/>
          <w:kern w:val="0"/>
          <w:sz w:val="24"/>
          <w:highlight w:val="none"/>
        </w:rPr>
      </w:pPr>
      <w:r>
        <w:rPr>
          <w:rFonts w:hint="eastAsia" w:ascii="宋体" w:hAnsi="宋体"/>
          <w:color w:val="auto"/>
          <w:kern w:val="0"/>
          <w:sz w:val="24"/>
          <w:highlight w:val="none"/>
        </w:rPr>
        <w:t>（10）原产地</w:t>
      </w:r>
    </w:p>
    <w:p>
      <w:pPr>
        <w:spacing w:line="360" w:lineRule="auto"/>
        <w:rPr>
          <w:rFonts w:ascii="宋体" w:hAnsi="宋体"/>
          <w:color w:val="auto"/>
          <w:kern w:val="0"/>
          <w:sz w:val="24"/>
          <w:highlight w:val="none"/>
        </w:rPr>
      </w:pPr>
      <w:r>
        <w:rPr>
          <w:rFonts w:hint="eastAsia" w:ascii="宋体" w:hAnsi="宋体"/>
          <w:color w:val="auto"/>
          <w:kern w:val="0"/>
          <w:sz w:val="24"/>
          <w:highlight w:val="none"/>
        </w:rPr>
        <w:t>（11）制造厂商与卖方</w:t>
      </w:r>
    </w:p>
    <w:p>
      <w:pPr>
        <w:pStyle w:val="48"/>
        <w:spacing w:line="360" w:lineRule="auto"/>
        <w:ind w:left="105" w:leftChars="50" w:firstLine="480" w:firstLineChars="200"/>
        <w:contextualSpacing/>
        <w:rPr>
          <w:rFonts w:ascii="宋体" w:hAnsi="宋体"/>
          <w:color w:val="auto"/>
          <w:sz w:val="24"/>
          <w:szCs w:val="24"/>
          <w:highlight w:val="none"/>
        </w:rPr>
      </w:pPr>
      <w:r>
        <w:rPr>
          <w:rFonts w:hint="eastAsia" w:ascii="宋体" w:hAnsi="宋体"/>
          <w:color w:val="auto"/>
          <w:sz w:val="24"/>
          <w:szCs w:val="24"/>
          <w:highlight w:val="none"/>
        </w:rPr>
        <w:t>同时，卖方应将装运的合同设备的详细装箱清单和说明资料传真给买方，说明资料上面应载明合同号、合同设备描述、规格、数量、箱件或每包件毛重、总毛重、每包的总体积和尺寸（长×宽×高）、包装数量、装运合同设备总价值以及其它在运输和仓储中的特殊要求和必要的注意事项。买方如有异议应尽快给予答复。</w:t>
      </w:r>
    </w:p>
    <w:p>
      <w:pPr>
        <w:pStyle w:val="48"/>
        <w:autoSpaceDE w:val="0"/>
        <w:autoSpaceDN w:val="0"/>
        <w:spacing w:line="360" w:lineRule="auto"/>
        <w:contextualSpacing/>
        <w:rPr>
          <w:rFonts w:ascii="宋体" w:hAnsi="宋体"/>
          <w:b/>
          <w:bCs/>
          <w:color w:val="auto"/>
          <w:sz w:val="24"/>
          <w:szCs w:val="24"/>
          <w:highlight w:val="none"/>
        </w:rPr>
      </w:pPr>
      <w:r>
        <w:rPr>
          <w:rFonts w:hint="eastAsia" w:ascii="宋体" w:hAnsi="宋体"/>
          <w:b/>
          <w:bCs/>
          <w:color w:val="auto"/>
          <w:sz w:val="24"/>
          <w:szCs w:val="24"/>
          <w:highlight w:val="none"/>
        </w:rPr>
        <w:t>7.6 合同设备交货文件提交</w:t>
      </w:r>
    </w:p>
    <w:p>
      <w:pPr>
        <w:pStyle w:val="48"/>
        <w:autoSpaceDE w:val="0"/>
        <w:autoSpaceDN w:val="0"/>
        <w:spacing w:line="360" w:lineRule="auto"/>
        <w:ind w:left="105" w:leftChars="50" w:firstLine="0"/>
        <w:contextualSpacing/>
        <w:rPr>
          <w:rFonts w:ascii="宋体" w:hAnsi="宋体"/>
          <w:color w:val="auto"/>
          <w:sz w:val="24"/>
          <w:szCs w:val="24"/>
          <w:highlight w:val="none"/>
        </w:rPr>
      </w:pPr>
      <w:r>
        <w:rPr>
          <w:rFonts w:hint="eastAsia" w:ascii="宋体" w:hAnsi="宋体"/>
          <w:color w:val="auto"/>
          <w:sz w:val="24"/>
          <w:szCs w:val="24"/>
          <w:highlight w:val="none"/>
        </w:rPr>
        <w:t>7.6.1 卖方应在合同设备装载完毕后的12小时内，将铁路运单或汽车运单、附有主要装运合同设备分项价格、装箱单、质量证书、原产地证明书等单据交买方，对原装进口设备必须提交进口装箱单和海关报关手续清单等证明材料，以便买方及时办理接货手续。同时卖方应将工厂试验记录、工厂试验报告和安装图纸，通过快寄方式寄给买方。</w:t>
      </w:r>
    </w:p>
    <w:p>
      <w:pPr>
        <w:pStyle w:val="48"/>
        <w:autoSpaceDE w:val="0"/>
        <w:autoSpaceDN w:val="0"/>
        <w:spacing w:line="360" w:lineRule="auto"/>
        <w:ind w:left="105" w:leftChars="50" w:firstLine="0"/>
        <w:contextualSpacing/>
        <w:rPr>
          <w:rFonts w:ascii="宋体" w:hAnsi="宋体"/>
          <w:color w:val="auto"/>
          <w:sz w:val="24"/>
          <w:szCs w:val="24"/>
          <w:highlight w:val="none"/>
        </w:rPr>
      </w:pPr>
      <w:r>
        <w:rPr>
          <w:rFonts w:hint="eastAsia" w:ascii="宋体" w:hAnsi="宋体"/>
          <w:color w:val="auto"/>
          <w:sz w:val="24"/>
          <w:szCs w:val="24"/>
          <w:highlight w:val="none"/>
        </w:rPr>
        <w:t>7.6.2 卖方应保证在设备运抵交货地点前3日收到上述单据和文件。如果由于卖方的责任，卖方未能将上述单证和文件按本条的要求按时并准确的提交给买方，则卖方应承担由此而引起的一切有关费用。</w:t>
      </w:r>
    </w:p>
    <w:p>
      <w:pPr>
        <w:pStyle w:val="48"/>
        <w:autoSpaceDE w:val="0"/>
        <w:autoSpaceDN w:val="0"/>
        <w:spacing w:line="360" w:lineRule="auto"/>
        <w:contextualSpacing/>
        <w:rPr>
          <w:rFonts w:ascii="宋体" w:hAnsi="宋体"/>
          <w:b/>
          <w:bCs/>
          <w:color w:val="auto"/>
          <w:sz w:val="24"/>
          <w:szCs w:val="24"/>
          <w:highlight w:val="none"/>
        </w:rPr>
      </w:pPr>
      <w:r>
        <w:rPr>
          <w:rFonts w:hint="eastAsia" w:ascii="宋体" w:hAnsi="宋体"/>
          <w:b/>
          <w:bCs/>
          <w:color w:val="auto"/>
          <w:sz w:val="24"/>
          <w:szCs w:val="24"/>
          <w:highlight w:val="none"/>
        </w:rPr>
        <w:t>7.7 合同设备的交货检验</w:t>
      </w:r>
    </w:p>
    <w:p>
      <w:pPr>
        <w:pStyle w:val="48"/>
        <w:autoSpaceDE w:val="0"/>
        <w:autoSpaceDN w:val="0"/>
        <w:spacing w:line="360" w:lineRule="auto"/>
        <w:ind w:left="105" w:leftChars="50" w:firstLine="0"/>
        <w:contextualSpacing/>
        <w:rPr>
          <w:rFonts w:ascii="宋体" w:hAnsi="宋体"/>
          <w:color w:val="auto"/>
          <w:sz w:val="24"/>
          <w:szCs w:val="24"/>
          <w:highlight w:val="none"/>
        </w:rPr>
      </w:pPr>
      <w:r>
        <w:rPr>
          <w:rFonts w:hint="eastAsia" w:ascii="宋体" w:hAnsi="宋体"/>
          <w:color w:val="auto"/>
          <w:sz w:val="24"/>
          <w:szCs w:val="24"/>
          <w:highlight w:val="none"/>
        </w:rPr>
        <w:t>7.7.1 合同设备到达安装现场后，买方组织开箱检验，检查合同设备的包装、外观、数量、规格和质量等，卖方应按时自费派遣人员参加开箱检验。买方应在开箱检验前3日将预计检验的日期通知卖方，如卖方未派人员参加开箱检验，则视为卖方无条件同意买方的检验结果。</w:t>
      </w:r>
    </w:p>
    <w:p>
      <w:pPr>
        <w:pStyle w:val="48"/>
        <w:autoSpaceDE w:val="0"/>
        <w:autoSpaceDN w:val="0"/>
        <w:spacing w:line="360" w:lineRule="auto"/>
        <w:ind w:left="105" w:leftChars="50" w:firstLine="0"/>
        <w:contextualSpacing/>
        <w:rPr>
          <w:rFonts w:ascii="宋体" w:hAnsi="宋体"/>
          <w:color w:val="auto"/>
          <w:sz w:val="24"/>
          <w:szCs w:val="24"/>
          <w:highlight w:val="none"/>
        </w:rPr>
      </w:pPr>
      <w:r>
        <w:rPr>
          <w:rFonts w:hint="eastAsia" w:ascii="宋体" w:hAnsi="宋体"/>
          <w:color w:val="auto"/>
          <w:sz w:val="24"/>
          <w:szCs w:val="24"/>
          <w:highlight w:val="none"/>
        </w:rPr>
        <w:t>7.7.2 双方在开箱检验时，发现由于卖方在质量、数量和规格不符合合同规定而造成的任何损坏、缺陷、短缺和/或差异等，应作开箱记录，并由双方代表签字，一式二份，双方各执一份，该开箱检验记录应作为买方向卖方进行交货、补缺、修复、更换和索赔的依据。</w:t>
      </w:r>
    </w:p>
    <w:p>
      <w:pPr>
        <w:pStyle w:val="48"/>
        <w:autoSpaceDE w:val="0"/>
        <w:autoSpaceDN w:val="0"/>
        <w:spacing w:line="360" w:lineRule="auto"/>
        <w:ind w:left="105" w:leftChars="50" w:firstLine="0"/>
        <w:contextualSpacing/>
        <w:rPr>
          <w:rFonts w:ascii="宋体" w:hAnsi="宋体"/>
          <w:color w:val="auto"/>
          <w:sz w:val="24"/>
          <w:szCs w:val="24"/>
          <w:highlight w:val="none"/>
        </w:rPr>
      </w:pPr>
      <w:r>
        <w:rPr>
          <w:rFonts w:hint="eastAsia" w:ascii="宋体" w:hAnsi="宋体"/>
          <w:color w:val="auto"/>
          <w:sz w:val="24"/>
          <w:szCs w:val="24"/>
          <w:highlight w:val="none"/>
        </w:rPr>
        <w:t>7.7.3 卖方应自费派出代表人员按期参加上述交货检验过程。如卖方未能派遣代表参加交货检验过程，若在初步检验和开箱检验时发现由于卖方的原因造成设备损坏、有缺陷、短缺和/或与合同规定的数量或规格不一致，其责任由卖方承担。</w:t>
      </w:r>
    </w:p>
    <w:p>
      <w:pPr>
        <w:spacing w:line="360" w:lineRule="auto"/>
        <w:contextualSpacing/>
        <w:outlineLvl w:val="0"/>
        <w:rPr>
          <w:rFonts w:ascii="宋体" w:hAnsi="宋体"/>
          <w:b/>
          <w:bCs/>
          <w:color w:val="auto"/>
          <w:sz w:val="24"/>
          <w:highlight w:val="none"/>
        </w:rPr>
      </w:pPr>
      <w:bookmarkStart w:id="300" w:name="_Toc5335"/>
      <w:bookmarkStart w:id="301" w:name="_Toc14831"/>
      <w:bookmarkStart w:id="302" w:name="_Toc28606"/>
      <w:bookmarkStart w:id="303" w:name="_Toc7632"/>
      <w:r>
        <w:rPr>
          <w:rFonts w:hint="eastAsia" w:ascii="宋体" w:hAnsi="宋体"/>
          <w:b/>
          <w:bCs/>
          <w:color w:val="auto"/>
          <w:sz w:val="24"/>
          <w:highlight w:val="none"/>
        </w:rPr>
        <w:t>8.保险</w:t>
      </w:r>
      <w:bookmarkEnd w:id="300"/>
      <w:bookmarkEnd w:id="301"/>
      <w:bookmarkEnd w:id="302"/>
      <w:bookmarkEnd w:id="303"/>
    </w:p>
    <w:p>
      <w:pPr>
        <w:pStyle w:val="48"/>
        <w:autoSpaceDE w:val="0"/>
        <w:autoSpaceDN w:val="0"/>
        <w:spacing w:line="360" w:lineRule="auto"/>
        <w:ind w:left="105" w:leftChars="50" w:firstLine="0"/>
        <w:contextualSpacing/>
        <w:rPr>
          <w:rFonts w:ascii="宋体" w:hAnsi="宋体"/>
          <w:color w:val="auto"/>
          <w:sz w:val="24"/>
          <w:szCs w:val="24"/>
          <w:highlight w:val="none"/>
        </w:rPr>
      </w:pPr>
      <w:r>
        <w:rPr>
          <w:rFonts w:hint="eastAsia" w:ascii="宋体" w:hAnsi="宋体"/>
          <w:color w:val="auto"/>
          <w:sz w:val="24"/>
          <w:szCs w:val="24"/>
          <w:highlight w:val="none"/>
        </w:rPr>
        <w:t>8.1 卖方以买方为受益人为本合同设备投保，保险险种为综合险，投保金额为合同设备出厂价的100％。</w:t>
      </w:r>
    </w:p>
    <w:p>
      <w:pPr>
        <w:pStyle w:val="48"/>
        <w:autoSpaceDE w:val="0"/>
        <w:autoSpaceDN w:val="0"/>
        <w:spacing w:line="360" w:lineRule="auto"/>
        <w:ind w:left="105" w:leftChars="50" w:firstLine="0"/>
        <w:contextualSpacing/>
        <w:rPr>
          <w:rFonts w:ascii="宋体" w:hAnsi="宋体"/>
          <w:color w:val="auto"/>
          <w:sz w:val="24"/>
          <w:szCs w:val="24"/>
          <w:highlight w:val="none"/>
        </w:rPr>
      </w:pPr>
      <w:r>
        <w:rPr>
          <w:rFonts w:hint="eastAsia" w:ascii="宋体" w:hAnsi="宋体"/>
          <w:color w:val="auto"/>
          <w:sz w:val="24"/>
          <w:szCs w:val="24"/>
          <w:highlight w:val="none"/>
        </w:rPr>
        <w:t>8.2 保险费用已包含在合同总价内。保险覆盖范围包括从卖方工厂启运起，到买方指定的安装现场车下为止。</w:t>
      </w:r>
    </w:p>
    <w:p>
      <w:pPr>
        <w:pStyle w:val="48"/>
        <w:autoSpaceDE w:val="0"/>
        <w:autoSpaceDN w:val="0"/>
        <w:spacing w:line="360" w:lineRule="auto"/>
        <w:ind w:left="105" w:leftChars="50" w:firstLine="0"/>
        <w:contextualSpacing/>
        <w:rPr>
          <w:rFonts w:ascii="宋体" w:hAnsi="宋体"/>
          <w:color w:val="auto"/>
          <w:sz w:val="24"/>
          <w:szCs w:val="24"/>
          <w:highlight w:val="none"/>
        </w:rPr>
      </w:pPr>
      <w:r>
        <w:rPr>
          <w:rFonts w:hint="eastAsia" w:ascii="宋体" w:hAnsi="宋体"/>
          <w:color w:val="auto"/>
          <w:sz w:val="24"/>
          <w:szCs w:val="24"/>
          <w:highlight w:val="none"/>
        </w:rPr>
        <w:t>8.3 卖方应向中国人民保险公司或买方书面认可的其他保险公司投保，如发生需要理赔的情况，则卖方处理向保险公司理赔的全部相关事宜，直至问题得到解决。</w:t>
      </w:r>
    </w:p>
    <w:p>
      <w:pPr>
        <w:spacing w:line="360" w:lineRule="auto"/>
        <w:contextualSpacing/>
        <w:outlineLvl w:val="0"/>
        <w:rPr>
          <w:rFonts w:ascii="宋体" w:hAnsi="宋体"/>
          <w:b/>
          <w:bCs/>
          <w:color w:val="auto"/>
          <w:sz w:val="24"/>
          <w:highlight w:val="none"/>
        </w:rPr>
      </w:pPr>
      <w:bookmarkStart w:id="304" w:name="_Toc18319"/>
      <w:bookmarkStart w:id="305" w:name="_Toc32633"/>
      <w:bookmarkStart w:id="306" w:name="_Toc18898"/>
      <w:bookmarkStart w:id="307" w:name="_Toc21279"/>
      <w:r>
        <w:rPr>
          <w:rFonts w:hint="eastAsia" w:ascii="宋体" w:hAnsi="宋体"/>
          <w:b/>
          <w:bCs/>
          <w:color w:val="auto"/>
          <w:sz w:val="24"/>
          <w:highlight w:val="none"/>
        </w:rPr>
        <w:t>9.包装和装运标志</w:t>
      </w:r>
      <w:bookmarkEnd w:id="304"/>
      <w:bookmarkEnd w:id="305"/>
      <w:bookmarkEnd w:id="306"/>
      <w:bookmarkEnd w:id="307"/>
    </w:p>
    <w:p>
      <w:pPr>
        <w:pStyle w:val="48"/>
        <w:autoSpaceDE w:val="0"/>
        <w:autoSpaceDN w:val="0"/>
        <w:spacing w:line="360" w:lineRule="auto"/>
        <w:ind w:left="105" w:leftChars="50" w:firstLine="0"/>
        <w:contextualSpacing/>
        <w:rPr>
          <w:rFonts w:ascii="宋体" w:hAnsi="宋体"/>
          <w:color w:val="auto"/>
          <w:sz w:val="24"/>
          <w:szCs w:val="24"/>
          <w:highlight w:val="none"/>
        </w:rPr>
      </w:pPr>
      <w:r>
        <w:rPr>
          <w:rFonts w:hint="eastAsia" w:ascii="宋体" w:hAnsi="宋体"/>
          <w:color w:val="auto"/>
          <w:sz w:val="24"/>
          <w:szCs w:val="24"/>
          <w:highlight w:val="none"/>
        </w:rPr>
        <w:t>9.1 卖方应根据合同设备的不同形状和特点，采用防潮、防雨、防锈、防震、防腐的坚固包装。该包装应适应多次搬运、远洋和内陆运输，以保证合同设备安全无损地抵达安装地点。对于为保证精确装配而需具备明亮洁净加工面的合同设备，其加工面应采用品质优良、坚固耐久的保护层（不得用油漆）以防止在安装前发生锈蚀。</w:t>
      </w:r>
    </w:p>
    <w:p>
      <w:pPr>
        <w:pStyle w:val="48"/>
        <w:autoSpaceDE w:val="0"/>
        <w:autoSpaceDN w:val="0"/>
        <w:spacing w:line="360" w:lineRule="auto"/>
        <w:ind w:left="105" w:leftChars="50" w:firstLine="0"/>
        <w:contextualSpacing/>
        <w:rPr>
          <w:rFonts w:ascii="宋体" w:hAnsi="宋体"/>
          <w:color w:val="auto"/>
          <w:sz w:val="24"/>
          <w:szCs w:val="24"/>
          <w:highlight w:val="none"/>
        </w:rPr>
      </w:pPr>
      <w:r>
        <w:rPr>
          <w:rFonts w:hint="eastAsia" w:ascii="宋体" w:hAnsi="宋体"/>
          <w:color w:val="auto"/>
          <w:sz w:val="24"/>
          <w:szCs w:val="24"/>
          <w:highlight w:val="none"/>
        </w:rPr>
        <w:t>9.2 卖方应对包装箱中设备零部件挂上标牌，或以其他方式标明其部件名称、规格型号、主设备名称或编号及其在装配图中的位置号。合同设备部件在包装箱中应堆放有序，不同部件应分开。备品备件和安装维修工具除按上述要求标记外，还应相应标上“备品备件”、“维修设备”、“试验设备”或“安装维修工具”字样，单独包装，不与其它设备部件混装于同一箱件中，在装箱单中也应加以注明。除备品备件外，不同的工具和消耗品应分别包装。</w:t>
      </w:r>
    </w:p>
    <w:p>
      <w:pPr>
        <w:pStyle w:val="48"/>
        <w:autoSpaceDE w:val="0"/>
        <w:autoSpaceDN w:val="0"/>
        <w:spacing w:line="360" w:lineRule="auto"/>
        <w:ind w:left="105" w:leftChars="50" w:firstLine="0"/>
        <w:contextualSpacing/>
        <w:rPr>
          <w:rFonts w:ascii="宋体" w:hAnsi="宋体"/>
          <w:color w:val="auto"/>
          <w:sz w:val="24"/>
          <w:szCs w:val="24"/>
          <w:highlight w:val="none"/>
        </w:rPr>
      </w:pPr>
      <w:r>
        <w:rPr>
          <w:rFonts w:hint="eastAsia" w:ascii="宋体" w:hAnsi="宋体"/>
          <w:color w:val="auto"/>
          <w:sz w:val="24"/>
          <w:szCs w:val="24"/>
          <w:highlight w:val="none"/>
        </w:rPr>
        <w:t>9.3 卖方应在每个包装箱的四侧用不褪色油漆以醒目的中文刷上以下标记：</w:t>
      </w:r>
    </w:p>
    <w:p>
      <w:pPr>
        <w:pStyle w:val="57"/>
        <w:widowControl/>
        <w:autoSpaceDE w:val="0"/>
        <w:autoSpaceDN w:val="0"/>
        <w:spacing w:before="0" w:after="0" w:line="360" w:lineRule="auto"/>
        <w:ind w:left="0" w:firstLine="0"/>
        <w:contextualSpacing/>
        <w:textAlignment w:val="bottom"/>
        <w:rPr>
          <w:rFonts w:ascii="宋体" w:hAnsi="宋体"/>
          <w:color w:val="auto"/>
          <w:szCs w:val="24"/>
          <w:highlight w:val="none"/>
        </w:rPr>
      </w:pPr>
      <w:r>
        <w:rPr>
          <w:rFonts w:hint="eastAsia" w:ascii="宋体" w:hAnsi="宋体"/>
          <w:color w:val="auto"/>
          <w:highlight w:val="none"/>
        </w:rPr>
        <w:t>（1） 合同号；</w:t>
      </w:r>
    </w:p>
    <w:p>
      <w:pPr>
        <w:pStyle w:val="57"/>
        <w:widowControl/>
        <w:autoSpaceDE w:val="0"/>
        <w:autoSpaceDN w:val="0"/>
        <w:spacing w:before="0" w:after="0" w:line="360" w:lineRule="auto"/>
        <w:ind w:left="0" w:firstLine="0"/>
        <w:contextualSpacing/>
        <w:textAlignment w:val="bottom"/>
        <w:rPr>
          <w:rFonts w:ascii="宋体" w:hAnsi="宋体"/>
          <w:color w:val="auto"/>
          <w:highlight w:val="none"/>
        </w:rPr>
      </w:pPr>
      <w:r>
        <w:rPr>
          <w:rFonts w:hint="eastAsia" w:ascii="宋体" w:hAnsi="宋体"/>
          <w:color w:val="auto"/>
          <w:highlight w:val="none"/>
        </w:rPr>
        <w:t xml:space="preserve">（2） 唛头标记： </w:t>
      </w:r>
    </w:p>
    <w:p>
      <w:pPr>
        <w:pStyle w:val="57"/>
        <w:widowControl/>
        <w:autoSpaceDE w:val="0"/>
        <w:autoSpaceDN w:val="0"/>
        <w:spacing w:before="0" w:after="0" w:line="360" w:lineRule="auto"/>
        <w:ind w:left="0" w:firstLine="0"/>
        <w:contextualSpacing/>
        <w:textAlignment w:val="bottom"/>
        <w:rPr>
          <w:rFonts w:ascii="宋体" w:hAnsi="宋体"/>
          <w:color w:val="auto"/>
          <w:highlight w:val="none"/>
        </w:rPr>
      </w:pPr>
      <w:r>
        <w:rPr>
          <w:rFonts w:hint="eastAsia" w:ascii="宋体" w:hAnsi="宋体"/>
          <w:color w:val="auto"/>
          <w:highlight w:val="none"/>
        </w:rPr>
        <w:t>（3） 目的地；</w:t>
      </w:r>
    </w:p>
    <w:p>
      <w:pPr>
        <w:pStyle w:val="57"/>
        <w:widowControl/>
        <w:autoSpaceDE w:val="0"/>
        <w:autoSpaceDN w:val="0"/>
        <w:spacing w:before="0" w:after="0" w:line="360" w:lineRule="auto"/>
        <w:ind w:left="0" w:firstLine="0"/>
        <w:contextualSpacing/>
        <w:textAlignment w:val="bottom"/>
        <w:rPr>
          <w:rFonts w:ascii="宋体" w:hAnsi="宋体"/>
          <w:color w:val="auto"/>
          <w:highlight w:val="none"/>
        </w:rPr>
      </w:pPr>
      <w:r>
        <w:rPr>
          <w:rFonts w:hint="eastAsia" w:ascii="宋体" w:hAnsi="宋体"/>
          <w:color w:val="auto"/>
          <w:highlight w:val="none"/>
        </w:rPr>
        <w:t>（4） 收货人；</w:t>
      </w:r>
    </w:p>
    <w:p>
      <w:pPr>
        <w:pStyle w:val="57"/>
        <w:widowControl/>
        <w:autoSpaceDE w:val="0"/>
        <w:autoSpaceDN w:val="0"/>
        <w:spacing w:before="0" w:after="0" w:line="360" w:lineRule="auto"/>
        <w:ind w:left="0" w:firstLine="0"/>
        <w:contextualSpacing/>
        <w:textAlignment w:val="bottom"/>
        <w:rPr>
          <w:rFonts w:ascii="宋体" w:hAnsi="宋体"/>
          <w:color w:val="auto"/>
          <w:highlight w:val="none"/>
        </w:rPr>
      </w:pPr>
      <w:r>
        <w:rPr>
          <w:rFonts w:hint="eastAsia" w:ascii="宋体" w:hAnsi="宋体"/>
          <w:color w:val="auto"/>
          <w:highlight w:val="none"/>
        </w:rPr>
        <w:t>（5） 合同设备名称、设备编号和包装箱号；</w:t>
      </w:r>
    </w:p>
    <w:p>
      <w:pPr>
        <w:pStyle w:val="57"/>
        <w:widowControl/>
        <w:autoSpaceDE w:val="0"/>
        <w:autoSpaceDN w:val="0"/>
        <w:spacing w:before="0" w:after="0" w:line="360" w:lineRule="auto"/>
        <w:ind w:left="0" w:firstLine="0"/>
        <w:contextualSpacing/>
        <w:textAlignment w:val="bottom"/>
        <w:rPr>
          <w:rFonts w:ascii="宋体" w:hAnsi="宋体"/>
          <w:color w:val="auto"/>
          <w:highlight w:val="none"/>
        </w:rPr>
      </w:pPr>
      <w:r>
        <w:rPr>
          <w:rFonts w:hint="eastAsia" w:ascii="宋体" w:hAnsi="宋体"/>
          <w:color w:val="auto"/>
          <w:highlight w:val="none"/>
        </w:rPr>
        <w:t>（6） 收货人编号；</w:t>
      </w:r>
    </w:p>
    <w:p>
      <w:pPr>
        <w:pStyle w:val="57"/>
        <w:widowControl/>
        <w:autoSpaceDE w:val="0"/>
        <w:autoSpaceDN w:val="0"/>
        <w:spacing w:before="0" w:after="0" w:line="360" w:lineRule="auto"/>
        <w:ind w:left="0" w:firstLine="0"/>
        <w:contextualSpacing/>
        <w:textAlignment w:val="bottom"/>
        <w:rPr>
          <w:rFonts w:ascii="宋体" w:hAnsi="宋体"/>
          <w:color w:val="auto"/>
          <w:highlight w:val="none"/>
        </w:rPr>
      </w:pPr>
      <w:r>
        <w:rPr>
          <w:rFonts w:hint="eastAsia" w:ascii="宋体" w:hAnsi="宋体"/>
          <w:color w:val="auto"/>
          <w:highlight w:val="none"/>
        </w:rPr>
        <w:t>（7） 毛重／净重（千克）；</w:t>
      </w:r>
    </w:p>
    <w:p>
      <w:pPr>
        <w:pStyle w:val="57"/>
        <w:widowControl/>
        <w:autoSpaceDE w:val="0"/>
        <w:autoSpaceDN w:val="0"/>
        <w:spacing w:before="0" w:after="0" w:line="360" w:lineRule="auto"/>
        <w:ind w:left="0" w:firstLine="0"/>
        <w:contextualSpacing/>
        <w:textAlignment w:val="bottom"/>
        <w:rPr>
          <w:rFonts w:ascii="宋体" w:hAnsi="宋体"/>
          <w:color w:val="auto"/>
          <w:highlight w:val="none"/>
        </w:rPr>
      </w:pPr>
      <w:r>
        <w:rPr>
          <w:rFonts w:hint="eastAsia" w:ascii="宋体" w:hAnsi="宋体"/>
          <w:color w:val="auto"/>
          <w:highlight w:val="none"/>
        </w:rPr>
        <w:t>（8） 体积（长×宽×高 cm）；</w:t>
      </w:r>
    </w:p>
    <w:p>
      <w:pPr>
        <w:pStyle w:val="57"/>
        <w:widowControl/>
        <w:autoSpaceDE w:val="0"/>
        <w:autoSpaceDN w:val="0"/>
        <w:spacing w:before="0" w:after="0" w:line="360" w:lineRule="auto"/>
        <w:ind w:left="0" w:firstLine="0"/>
        <w:contextualSpacing/>
        <w:textAlignment w:val="bottom"/>
        <w:rPr>
          <w:rFonts w:ascii="宋体" w:hAnsi="宋体"/>
          <w:color w:val="auto"/>
          <w:highlight w:val="none"/>
        </w:rPr>
      </w:pPr>
      <w:r>
        <w:rPr>
          <w:rFonts w:hint="eastAsia" w:ascii="宋体" w:hAnsi="宋体"/>
          <w:color w:val="auto"/>
          <w:highlight w:val="none"/>
        </w:rPr>
        <w:t>（9） 仓储等级。</w:t>
      </w:r>
    </w:p>
    <w:p>
      <w:pPr>
        <w:pStyle w:val="48"/>
        <w:spacing w:line="360" w:lineRule="auto"/>
        <w:ind w:left="105" w:leftChars="50" w:firstLine="0"/>
        <w:contextualSpacing/>
        <w:rPr>
          <w:rFonts w:ascii="宋体" w:hAnsi="宋体"/>
          <w:color w:val="auto"/>
          <w:sz w:val="24"/>
          <w:szCs w:val="24"/>
          <w:highlight w:val="none"/>
        </w:rPr>
      </w:pPr>
      <w:r>
        <w:rPr>
          <w:rFonts w:hint="eastAsia" w:ascii="宋体" w:hAnsi="宋体"/>
          <w:color w:val="auto"/>
          <w:sz w:val="24"/>
          <w:szCs w:val="24"/>
          <w:highlight w:val="none"/>
        </w:rPr>
        <w:t>卖方对裸装合同设备应以金属标签注明上述内容，裸装合同设备的装箱单应分别集中包装，随合同设备同时发运。</w:t>
      </w:r>
    </w:p>
    <w:p>
      <w:pPr>
        <w:pStyle w:val="48"/>
        <w:spacing w:line="360" w:lineRule="auto"/>
        <w:ind w:left="105" w:leftChars="50" w:firstLine="0"/>
        <w:contextualSpacing/>
        <w:rPr>
          <w:rFonts w:ascii="宋体" w:hAnsi="宋体"/>
          <w:color w:val="auto"/>
          <w:sz w:val="24"/>
          <w:szCs w:val="24"/>
          <w:highlight w:val="none"/>
        </w:rPr>
      </w:pPr>
      <w:r>
        <w:rPr>
          <w:rFonts w:hint="eastAsia" w:ascii="宋体" w:hAnsi="宋体"/>
          <w:color w:val="auto"/>
          <w:sz w:val="24"/>
          <w:szCs w:val="24"/>
          <w:highlight w:val="none"/>
        </w:rPr>
        <w:t>卖方应在重量大于或等于2吨的每个包装箱的相邻四侧用国际贸易运输常用的标记标明重量、重心和吊点的位置以便于装卸和搬运。根据合同设备的特点和在运输中的不同要求，卖方应在包装箱上醒目地标明“小心轻放”、“勿倒置”、“保持干燥”等字样以及相应的国际贸易通用的标记图案。</w:t>
      </w:r>
    </w:p>
    <w:p>
      <w:pPr>
        <w:pStyle w:val="48"/>
        <w:spacing w:line="360" w:lineRule="auto"/>
        <w:ind w:left="105" w:leftChars="50" w:firstLine="0"/>
        <w:contextualSpacing/>
        <w:rPr>
          <w:rFonts w:ascii="宋体" w:hAnsi="宋体"/>
          <w:color w:val="auto"/>
          <w:sz w:val="24"/>
          <w:szCs w:val="24"/>
          <w:highlight w:val="none"/>
        </w:rPr>
      </w:pPr>
      <w:r>
        <w:rPr>
          <w:rFonts w:hint="eastAsia" w:ascii="宋体" w:hAnsi="宋体"/>
          <w:color w:val="auto"/>
          <w:sz w:val="24"/>
          <w:szCs w:val="24"/>
          <w:highlight w:val="none"/>
        </w:rPr>
        <w:t>卖方应在每件包装箱内，应附有详细装箱单、质量合格证、有关设备的技术文件、需要组装的设备部件的详细装配图各一式二份。在装箱单中应注明技术文件和装配图所处箱件。</w:t>
      </w:r>
    </w:p>
    <w:p>
      <w:pPr>
        <w:pStyle w:val="48"/>
        <w:autoSpaceDE w:val="0"/>
        <w:autoSpaceDN w:val="0"/>
        <w:spacing w:line="360" w:lineRule="auto"/>
        <w:ind w:left="105" w:leftChars="50" w:firstLine="0"/>
        <w:contextualSpacing/>
        <w:rPr>
          <w:rFonts w:ascii="宋体" w:hAnsi="宋体"/>
          <w:color w:val="auto"/>
          <w:sz w:val="24"/>
          <w:szCs w:val="24"/>
          <w:highlight w:val="none"/>
        </w:rPr>
      </w:pPr>
      <w:r>
        <w:rPr>
          <w:rFonts w:hint="eastAsia" w:ascii="宋体" w:hAnsi="宋体"/>
          <w:color w:val="auto"/>
          <w:sz w:val="24"/>
          <w:szCs w:val="24"/>
          <w:highlight w:val="none"/>
        </w:rPr>
        <w:t>9.4 如果采用木材作为包装材料，卖方应在提交由合同设备出口国或地区的官方动植物检疫机构出具的木材包装材料的检疫证明。</w:t>
      </w:r>
    </w:p>
    <w:p>
      <w:pPr>
        <w:pStyle w:val="48"/>
        <w:autoSpaceDE w:val="0"/>
        <w:autoSpaceDN w:val="0"/>
        <w:spacing w:line="360" w:lineRule="auto"/>
        <w:ind w:left="105" w:leftChars="50" w:firstLine="0"/>
        <w:contextualSpacing/>
        <w:rPr>
          <w:rFonts w:ascii="宋体" w:hAnsi="宋体"/>
          <w:color w:val="auto"/>
          <w:sz w:val="24"/>
          <w:szCs w:val="24"/>
          <w:highlight w:val="none"/>
        </w:rPr>
      </w:pPr>
      <w:r>
        <w:rPr>
          <w:rFonts w:hint="eastAsia" w:ascii="宋体" w:hAnsi="宋体"/>
          <w:color w:val="auto"/>
          <w:sz w:val="24"/>
          <w:szCs w:val="24"/>
          <w:highlight w:val="none"/>
        </w:rPr>
        <w:t>9.5 卖方应按本条款的规定对其提供的包装不善而引起的合同设备的锈蚀、变形、短缺、损坏和丢失负责修理、更换或赔偿。</w:t>
      </w:r>
    </w:p>
    <w:p>
      <w:pPr>
        <w:pStyle w:val="48"/>
        <w:autoSpaceDE w:val="0"/>
        <w:autoSpaceDN w:val="0"/>
        <w:spacing w:line="360" w:lineRule="auto"/>
        <w:ind w:left="105" w:leftChars="50" w:firstLine="0"/>
        <w:contextualSpacing/>
        <w:rPr>
          <w:rFonts w:ascii="宋体" w:hAnsi="宋体"/>
          <w:color w:val="auto"/>
          <w:sz w:val="24"/>
          <w:szCs w:val="24"/>
          <w:highlight w:val="none"/>
        </w:rPr>
      </w:pPr>
      <w:r>
        <w:rPr>
          <w:rFonts w:hint="eastAsia" w:ascii="宋体" w:hAnsi="宋体"/>
          <w:color w:val="auto"/>
          <w:sz w:val="24"/>
          <w:szCs w:val="24"/>
          <w:highlight w:val="none"/>
        </w:rPr>
        <w:t>9.6 对于大件合同设备，卖方应提供足够的支架或包装垫木，且支架或包装垫木不回收。</w:t>
      </w:r>
    </w:p>
    <w:p>
      <w:pPr>
        <w:pStyle w:val="48"/>
        <w:autoSpaceDE w:val="0"/>
        <w:autoSpaceDN w:val="0"/>
        <w:spacing w:line="360" w:lineRule="auto"/>
        <w:ind w:left="105" w:leftChars="50" w:firstLine="0"/>
        <w:contextualSpacing/>
        <w:rPr>
          <w:rFonts w:ascii="宋体" w:hAnsi="宋体"/>
          <w:color w:val="auto"/>
          <w:sz w:val="24"/>
          <w:szCs w:val="24"/>
          <w:highlight w:val="none"/>
        </w:rPr>
      </w:pPr>
      <w:r>
        <w:rPr>
          <w:rFonts w:hint="eastAsia" w:ascii="宋体" w:hAnsi="宋体"/>
          <w:color w:val="auto"/>
          <w:sz w:val="24"/>
          <w:szCs w:val="24"/>
          <w:highlight w:val="none"/>
        </w:rPr>
        <w:t>9.7 本合同项下合同设备的包装物不回收。</w:t>
      </w:r>
    </w:p>
    <w:p>
      <w:pPr>
        <w:spacing w:line="360" w:lineRule="auto"/>
        <w:contextualSpacing/>
        <w:outlineLvl w:val="0"/>
        <w:rPr>
          <w:rFonts w:ascii="宋体" w:hAnsi="宋体"/>
          <w:b/>
          <w:bCs/>
          <w:color w:val="auto"/>
          <w:sz w:val="24"/>
          <w:highlight w:val="none"/>
        </w:rPr>
      </w:pPr>
      <w:bookmarkStart w:id="308" w:name="_Toc5484"/>
      <w:bookmarkStart w:id="309" w:name="_Toc22399"/>
      <w:bookmarkStart w:id="310" w:name="_Toc21775"/>
      <w:bookmarkStart w:id="311" w:name="_Toc14415"/>
      <w:r>
        <w:rPr>
          <w:rFonts w:hint="eastAsia" w:ascii="宋体" w:hAnsi="宋体"/>
          <w:b/>
          <w:bCs/>
          <w:color w:val="auto"/>
          <w:sz w:val="24"/>
          <w:highlight w:val="none"/>
        </w:rPr>
        <w:t>10.技术文件的交付</w:t>
      </w:r>
      <w:bookmarkEnd w:id="308"/>
      <w:bookmarkEnd w:id="309"/>
      <w:bookmarkEnd w:id="310"/>
      <w:bookmarkEnd w:id="311"/>
    </w:p>
    <w:p>
      <w:pPr>
        <w:pStyle w:val="48"/>
        <w:autoSpaceDE w:val="0"/>
        <w:autoSpaceDN w:val="0"/>
        <w:spacing w:line="360" w:lineRule="auto"/>
        <w:ind w:left="105" w:leftChars="50" w:firstLine="0"/>
        <w:contextualSpacing/>
        <w:rPr>
          <w:rFonts w:ascii="宋体" w:hAnsi="宋体"/>
          <w:color w:val="auto"/>
          <w:sz w:val="24"/>
          <w:szCs w:val="24"/>
          <w:highlight w:val="none"/>
        </w:rPr>
      </w:pPr>
      <w:r>
        <w:rPr>
          <w:rFonts w:hint="eastAsia" w:ascii="宋体" w:hAnsi="宋体"/>
          <w:color w:val="auto"/>
          <w:sz w:val="24"/>
          <w:szCs w:val="24"/>
          <w:highlight w:val="none"/>
        </w:rPr>
        <w:t>10.1 卖方应严格按合同技术条款的规定给买方提交技术文件。</w:t>
      </w:r>
    </w:p>
    <w:p>
      <w:pPr>
        <w:pStyle w:val="48"/>
        <w:autoSpaceDE w:val="0"/>
        <w:autoSpaceDN w:val="0"/>
        <w:spacing w:line="360" w:lineRule="auto"/>
        <w:ind w:left="105" w:leftChars="50" w:firstLine="0"/>
        <w:contextualSpacing/>
        <w:rPr>
          <w:rFonts w:ascii="宋体" w:hAnsi="宋体"/>
          <w:color w:val="auto"/>
          <w:sz w:val="24"/>
          <w:szCs w:val="24"/>
          <w:highlight w:val="none"/>
        </w:rPr>
      </w:pPr>
      <w:r>
        <w:rPr>
          <w:rFonts w:hint="eastAsia" w:ascii="宋体" w:hAnsi="宋体"/>
          <w:color w:val="auto"/>
          <w:sz w:val="24"/>
          <w:szCs w:val="24"/>
          <w:highlight w:val="none"/>
        </w:rPr>
        <w:t>10.2 卖方应确保其提交的技术文件正确、完整、清晰，并能满足合同设备的设计、检验、安装、调试、试运行、验收试验、运行和维护等要求。</w:t>
      </w:r>
    </w:p>
    <w:p>
      <w:pPr>
        <w:pStyle w:val="48"/>
        <w:autoSpaceDE w:val="0"/>
        <w:autoSpaceDN w:val="0"/>
        <w:spacing w:line="360" w:lineRule="auto"/>
        <w:ind w:left="105" w:leftChars="50" w:firstLine="0"/>
        <w:contextualSpacing/>
        <w:rPr>
          <w:rFonts w:ascii="宋体" w:hAnsi="宋体"/>
          <w:color w:val="auto"/>
          <w:sz w:val="24"/>
          <w:szCs w:val="24"/>
          <w:highlight w:val="none"/>
        </w:rPr>
      </w:pPr>
      <w:r>
        <w:rPr>
          <w:rFonts w:hint="eastAsia" w:ascii="宋体" w:hAnsi="宋体"/>
          <w:color w:val="auto"/>
          <w:sz w:val="24"/>
          <w:szCs w:val="24"/>
          <w:highlight w:val="none"/>
        </w:rPr>
        <w:t>10.3 如果卖方提供的技术文件不完整，卖方应在收到买方关于资料不完整通知后的20日内进行必要的修正，并且向买方免费重新提交正确、完整、清晰的文件。如果再次提交文件晚于上述天数，卖方应向买方支付违约金。如果卖方提交的技术文件有遗漏及（或）错误，卖方应全额赔偿买方由此而增加的工程费用和施工费用。</w:t>
      </w:r>
    </w:p>
    <w:p>
      <w:pPr>
        <w:pStyle w:val="48"/>
        <w:autoSpaceDE w:val="0"/>
        <w:autoSpaceDN w:val="0"/>
        <w:spacing w:line="360" w:lineRule="auto"/>
        <w:ind w:left="105" w:leftChars="50" w:firstLine="0"/>
        <w:contextualSpacing/>
        <w:rPr>
          <w:rFonts w:ascii="宋体" w:hAnsi="宋体"/>
          <w:color w:val="auto"/>
          <w:sz w:val="24"/>
          <w:szCs w:val="24"/>
          <w:highlight w:val="none"/>
        </w:rPr>
      </w:pPr>
      <w:r>
        <w:rPr>
          <w:rFonts w:hint="eastAsia" w:ascii="宋体" w:hAnsi="宋体"/>
          <w:color w:val="auto"/>
          <w:sz w:val="24"/>
          <w:szCs w:val="24"/>
          <w:highlight w:val="none"/>
        </w:rPr>
        <w:t>10.4 技术文件及有关资料的费用已包括在合同规定的合同设备价格中，不再单独支付。</w:t>
      </w:r>
    </w:p>
    <w:p>
      <w:pPr>
        <w:pStyle w:val="48"/>
        <w:autoSpaceDE w:val="0"/>
        <w:autoSpaceDN w:val="0"/>
        <w:spacing w:line="360" w:lineRule="auto"/>
        <w:ind w:left="76" w:leftChars="36" w:firstLine="0"/>
        <w:contextualSpacing/>
        <w:rPr>
          <w:rFonts w:ascii="宋体" w:hAnsi="宋体"/>
          <w:color w:val="auto"/>
          <w:sz w:val="24"/>
          <w:szCs w:val="24"/>
          <w:highlight w:val="none"/>
        </w:rPr>
      </w:pPr>
      <w:r>
        <w:rPr>
          <w:rFonts w:hint="eastAsia" w:ascii="宋体" w:hAnsi="宋体"/>
          <w:color w:val="auto"/>
          <w:sz w:val="24"/>
          <w:szCs w:val="24"/>
          <w:highlight w:val="none"/>
        </w:rPr>
        <w:t>10.5 图纸和资料的提交数量以技术条款为准。</w:t>
      </w:r>
    </w:p>
    <w:p>
      <w:pPr>
        <w:spacing w:line="360" w:lineRule="auto"/>
        <w:contextualSpacing/>
        <w:outlineLvl w:val="0"/>
        <w:rPr>
          <w:rFonts w:ascii="宋体" w:hAnsi="宋体"/>
          <w:color w:val="auto"/>
          <w:sz w:val="24"/>
          <w:highlight w:val="none"/>
        </w:rPr>
      </w:pPr>
      <w:bookmarkStart w:id="312" w:name="_Toc9906"/>
      <w:bookmarkStart w:id="313" w:name="_Toc3537"/>
      <w:bookmarkStart w:id="314" w:name="_Toc22176"/>
      <w:bookmarkStart w:id="315" w:name="_Toc16984"/>
      <w:r>
        <w:rPr>
          <w:rFonts w:hint="eastAsia" w:ascii="宋体" w:hAnsi="宋体"/>
          <w:b/>
          <w:bCs/>
          <w:color w:val="auto"/>
          <w:sz w:val="24"/>
          <w:highlight w:val="none"/>
        </w:rPr>
        <w:t>11.设计联络会</w:t>
      </w:r>
      <w:bookmarkEnd w:id="312"/>
      <w:bookmarkEnd w:id="313"/>
      <w:bookmarkEnd w:id="314"/>
      <w:bookmarkEnd w:id="315"/>
    </w:p>
    <w:p>
      <w:pPr>
        <w:spacing w:line="360" w:lineRule="auto"/>
        <w:ind w:firstLine="480" w:firstLineChars="200"/>
        <w:contextualSpacing/>
        <w:outlineLvl w:val="0"/>
        <w:rPr>
          <w:rFonts w:ascii="宋体" w:hAnsi="宋体"/>
          <w:color w:val="auto"/>
          <w:sz w:val="24"/>
          <w:highlight w:val="none"/>
        </w:rPr>
      </w:pPr>
      <w:bookmarkStart w:id="316" w:name="_Toc15228"/>
      <w:bookmarkStart w:id="317" w:name="_Toc27276"/>
      <w:bookmarkStart w:id="318" w:name="_Toc22790"/>
      <w:bookmarkStart w:id="319" w:name="_Toc23718"/>
      <w:r>
        <w:rPr>
          <w:rFonts w:hint="eastAsia" w:ascii="宋体" w:hAnsi="宋体"/>
          <w:color w:val="auto"/>
          <w:sz w:val="24"/>
          <w:highlight w:val="none"/>
        </w:rPr>
        <w:t>无。</w:t>
      </w:r>
      <w:bookmarkEnd w:id="316"/>
      <w:bookmarkEnd w:id="317"/>
      <w:bookmarkEnd w:id="318"/>
      <w:bookmarkEnd w:id="319"/>
    </w:p>
    <w:p>
      <w:pPr>
        <w:pStyle w:val="48"/>
        <w:autoSpaceDE w:val="0"/>
        <w:autoSpaceDN w:val="0"/>
        <w:spacing w:line="360" w:lineRule="auto"/>
        <w:contextualSpacing/>
        <w:outlineLvl w:val="0"/>
        <w:rPr>
          <w:rFonts w:ascii="宋体" w:hAnsi="宋体"/>
          <w:b/>
          <w:bCs/>
          <w:color w:val="auto"/>
          <w:sz w:val="24"/>
          <w:szCs w:val="24"/>
          <w:highlight w:val="none"/>
        </w:rPr>
      </w:pPr>
      <w:bookmarkStart w:id="320" w:name="_Toc14270"/>
      <w:bookmarkStart w:id="321" w:name="_Toc11609"/>
      <w:bookmarkStart w:id="322" w:name="_Toc10678"/>
      <w:bookmarkStart w:id="323" w:name="_Toc29934"/>
      <w:r>
        <w:rPr>
          <w:rFonts w:hint="eastAsia" w:ascii="宋体" w:hAnsi="宋体"/>
          <w:b/>
          <w:bCs/>
          <w:color w:val="auto"/>
          <w:sz w:val="24"/>
          <w:szCs w:val="24"/>
          <w:highlight w:val="none"/>
        </w:rPr>
        <w:t>12.技术指导服务</w:t>
      </w:r>
      <w:bookmarkEnd w:id="320"/>
      <w:bookmarkEnd w:id="321"/>
      <w:bookmarkEnd w:id="322"/>
      <w:bookmarkEnd w:id="323"/>
    </w:p>
    <w:p>
      <w:pPr>
        <w:pStyle w:val="23"/>
        <w:spacing w:line="360" w:lineRule="auto"/>
        <w:ind w:left="0" w:leftChars="0"/>
        <w:contextualSpacing/>
        <w:rPr>
          <w:rFonts w:ascii="Courier New" w:hAnsi="宋体"/>
          <w:b/>
          <w:bCs/>
          <w:color w:val="auto"/>
          <w:spacing w:val="5"/>
          <w:sz w:val="24"/>
          <w:highlight w:val="none"/>
        </w:rPr>
      </w:pPr>
      <w:r>
        <w:rPr>
          <w:rFonts w:hint="eastAsia" w:ascii="宋体" w:hAnsi="宋体"/>
          <w:b/>
          <w:bCs/>
          <w:color w:val="auto"/>
          <w:spacing w:val="5"/>
          <w:sz w:val="24"/>
          <w:highlight w:val="none"/>
        </w:rPr>
        <w:t>1</w:t>
      </w:r>
      <w:r>
        <w:rPr>
          <w:rFonts w:hAnsi="宋体"/>
          <w:b/>
          <w:bCs/>
          <w:color w:val="auto"/>
          <w:spacing w:val="5"/>
          <w:sz w:val="24"/>
          <w:highlight w:val="none"/>
        </w:rPr>
        <w:t>2.1</w:t>
      </w:r>
      <w:r>
        <w:rPr>
          <w:rFonts w:hint="eastAsia" w:ascii="宋体" w:hAnsi="宋体"/>
          <w:b/>
          <w:bCs/>
          <w:color w:val="auto"/>
          <w:spacing w:val="5"/>
          <w:sz w:val="24"/>
          <w:highlight w:val="none"/>
        </w:rPr>
        <w:t xml:space="preserve"> 概述</w:t>
      </w:r>
    </w:p>
    <w:p>
      <w:pPr>
        <w:spacing w:line="360" w:lineRule="auto"/>
        <w:contextualSpacing/>
        <w:rPr>
          <w:rFonts w:ascii="宋体" w:hAnsi="宋体"/>
          <w:color w:val="auto"/>
          <w:spacing w:val="5"/>
          <w:kern w:val="0"/>
          <w:sz w:val="24"/>
          <w:highlight w:val="none"/>
        </w:rPr>
      </w:pPr>
      <w:r>
        <w:rPr>
          <w:rFonts w:hint="eastAsia" w:ascii="宋体" w:hAnsi="宋体"/>
          <w:color w:val="auto"/>
          <w:spacing w:val="5"/>
          <w:kern w:val="0"/>
          <w:sz w:val="24"/>
          <w:highlight w:val="none"/>
        </w:rPr>
        <w:t>12.1.1 卖方负责合同设备正确的安装、校正、调整、清理、检查和现场试验，并负责与合同设备安装质量的认定和现场试验有关的其他事项。卖方安装监督人员负责所有安装工作的正确实施，除非发生工作未按照卖方安装监督人员的指示执行的情况，而卖方安装监督人员又立即以书面将此情况通知了买方。</w:t>
      </w:r>
    </w:p>
    <w:p>
      <w:pPr>
        <w:spacing w:line="360" w:lineRule="auto"/>
        <w:contextualSpacing/>
        <w:rPr>
          <w:rFonts w:ascii="宋体" w:hAnsi="宋体"/>
          <w:color w:val="auto"/>
          <w:spacing w:val="5"/>
          <w:kern w:val="0"/>
          <w:sz w:val="24"/>
          <w:highlight w:val="none"/>
        </w:rPr>
      </w:pPr>
      <w:r>
        <w:rPr>
          <w:rFonts w:hint="eastAsia" w:ascii="宋体" w:hAnsi="宋体"/>
          <w:color w:val="auto"/>
          <w:spacing w:val="5"/>
          <w:kern w:val="0"/>
          <w:sz w:val="24"/>
          <w:highlight w:val="none"/>
        </w:rPr>
        <w:t>12.1.2 卖方安装人员对合同设备的启动和试运行负责。</w:t>
      </w:r>
    </w:p>
    <w:p>
      <w:pPr>
        <w:spacing w:line="360" w:lineRule="auto"/>
        <w:ind w:firstLine="480" w:firstLineChars="200"/>
        <w:contextualSpacing/>
        <w:rPr>
          <w:rFonts w:ascii="宋体" w:hAnsi="宋体"/>
          <w:color w:val="auto"/>
          <w:sz w:val="24"/>
          <w:highlight w:val="none"/>
        </w:rPr>
      </w:pPr>
      <w:r>
        <w:rPr>
          <w:rFonts w:hint="eastAsia" w:ascii="宋体" w:hAnsi="宋体"/>
          <w:color w:val="auto"/>
          <w:sz w:val="24"/>
          <w:highlight w:val="none"/>
        </w:rPr>
        <w:t>买方根据安装现场的实际工作进展，决定卖方技术人员数量、在安装现场服务的持续时间、以及到达和离开安装现场的日期。如果安装出现拖期，是否需要安装监督人员或试验工程师的服务，则可根据买方的利益，要求安装监督人员或试验工程师返回，或仍留在安装现场。如果由于非卖方原因，工期延期半年以上，由此增加的服务费用由双方协商解决。</w:t>
      </w:r>
    </w:p>
    <w:p>
      <w:pPr>
        <w:pStyle w:val="23"/>
        <w:spacing w:line="360" w:lineRule="auto"/>
        <w:ind w:left="0" w:leftChars="0"/>
        <w:contextualSpacing/>
        <w:rPr>
          <w:rFonts w:ascii="Courier New" w:hAnsi="宋体"/>
          <w:b/>
          <w:bCs/>
          <w:color w:val="auto"/>
          <w:spacing w:val="5"/>
          <w:sz w:val="24"/>
          <w:highlight w:val="none"/>
        </w:rPr>
      </w:pPr>
      <w:r>
        <w:rPr>
          <w:rFonts w:hint="eastAsia" w:ascii="宋体" w:hAnsi="宋体"/>
          <w:b/>
          <w:bCs/>
          <w:color w:val="auto"/>
          <w:spacing w:val="5"/>
          <w:sz w:val="24"/>
          <w:highlight w:val="none"/>
        </w:rPr>
        <w:t>1</w:t>
      </w:r>
      <w:r>
        <w:rPr>
          <w:rFonts w:hAnsi="宋体"/>
          <w:b/>
          <w:bCs/>
          <w:color w:val="auto"/>
          <w:spacing w:val="5"/>
          <w:sz w:val="24"/>
          <w:highlight w:val="none"/>
        </w:rPr>
        <w:t xml:space="preserve">2.2 </w:t>
      </w:r>
      <w:r>
        <w:rPr>
          <w:rFonts w:hint="eastAsia" w:ascii="宋体" w:hAnsi="宋体"/>
          <w:b/>
          <w:bCs/>
          <w:color w:val="auto"/>
          <w:spacing w:val="5"/>
          <w:sz w:val="24"/>
          <w:highlight w:val="none"/>
        </w:rPr>
        <w:t>卖方的义务和责任</w:t>
      </w:r>
    </w:p>
    <w:p>
      <w:pPr>
        <w:spacing w:line="360" w:lineRule="auto"/>
        <w:contextualSpacing/>
        <w:rPr>
          <w:rFonts w:ascii="宋体" w:hAnsi="宋体"/>
          <w:color w:val="auto"/>
          <w:sz w:val="24"/>
          <w:highlight w:val="none"/>
        </w:rPr>
      </w:pPr>
      <w:r>
        <w:rPr>
          <w:rFonts w:hint="eastAsia" w:ascii="宋体" w:hAnsi="宋体"/>
          <w:color w:val="auto"/>
          <w:sz w:val="24"/>
          <w:highlight w:val="none"/>
        </w:rPr>
        <w:t>12.2.1 卖方安装现场代表在合同范围内全面负责技术服务和培训工作，并与买方充分合作与协商，以解决与合同有关的技术和工作问题。</w:t>
      </w:r>
    </w:p>
    <w:p>
      <w:pPr>
        <w:spacing w:line="360" w:lineRule="auto"/>
        <w:contextualSpacing/>
        <w:rPr>
          <w:rFonts w:ascii="宋体" w:hAnsi="宋体"/>
          <w:color w:val="auto"/>
          <w:sz w:val="24"/>
          <w:highlight w:val="none"/>
        </w:rPr>
      </w:pPr>
      <w:r>
        <w:rPr>
          <w:rFonts w:hint="eastAsia" w:ascii="宋体" w:hAnsi="宋体"/>
          <w:color w:val="auto"/>
          <w:sz w:val="24"/>
          <w:highlight w:val="none"/>
        </w:rPr>
        <w:t>12.2.2 卖方技术人员，代表卖方，提供技术服务，完成按合同规定有关合同设备的组装、安装、检查、调试、试运行、验收试验和考核运行等技术任务,卖方对其技术人员的行为负全部责任。</w:t>
      </w:r>
    </w:p>
    <w:p>
      <w:pPr>
        <w:spacing w:line="360" w:lineRule="auto"/>
        <w:contextualSpacing/>
        <w:rPr>
          <w:rFonts w:ascii="宋体" w:hAnsi="宋体"/>
          <w:color w:val="auto"/>
          <w:sz w:val="24"/>
          <w:highlight w:val="none"/>
        </w:rPr>
      </w:pPr>
      <w:r>
        <w:rPr>
          <w:rFonts w:hint="eastAsia" w:ascii="宋体" w:hAnsi="宋体"/>
          <w:color w:val="auto"/>
          <w:sz w:val="24"/>
          <w:highlight w:val="none"/>
        </w:rPr>
        <w:t>12.2.3 卖方技术人员详细地解释技术文件、图纸、运行和维护手册、设备特性、分析方法和有关的注意事项等，以及解答和解决买方在合同范围内提出的技术问题。</w:t>
      </w:r>
    </w:p>
    <w:p>
      <w:pPr>
        <w:spacing w:line="360" w:lineRule="auto"/>
        <w:contextualSpacing/>
        <w:rPr>
          <w:rFonts w:ascii="宋体" w:hAnsi="宋体"/>
          <w:color w:val="auto"/>
          <w:sz w:val="24"/>
          <w:highlight w:val="none"/>
        </w:rPr>
      </w:pPr>
      <w:r>
        <w:rPr>
          <w:rFonts w:hint="eastAsia" w:ascii="宋体" w:hAnsi="宋体"/>
          <w:color w:val="auto"/>
          <w:sz w:val="24"/>
          <w:highlight w:val="none"/>
        </w:rPr>
        <w:t>12.2.4 为保证正确完成在本合同条款12.2.2和12.2.3款中提到的工作，卖方技术人员在合同范围内，给买方以全面正确的技术服务。卖方技术人员负责合同设备组装、安装、试运行、验收试验。</w:t>
      </w:r>
    </w:p>
    <w:p>
      <w:pPr>
        <w:adjustRightInd w:val="0"/>
        <w:snapToGrid w:val="0"/>
        <w:spacing w:line="360" w:lineRule="auto"/>
        <w:rPr>
          <w:rFonts w:ascii="宋体" w:hAnsi="宋体"/>
          <w:color w:val="auto"/>
          <w:sz w:val="24"/>
          <w:highlight w:val="none"/>
        </w:rPr>
      </w:pPr>
      <w:r>
        <w:rPr>
          <w:rFonts w:hint="eastAsia" w:ascii="宋体" w:hAnsi="宋体"/>
          <w:color w:val="auto"/>
          <w:sz w:val="24"/>
          <w:highlight w:val="none"/>
        </w:rPr>
        <w:t>12.2.5 卖方技术人员的技术指导应是正确的，如因错误指导而引起设备和材料的损坏，卖方须根据合同约定付费负责修复、更换和/或补充。其费用由卖方承担。买方的有关技术人员应服从卖方技术人员的正确技术指导。</w:t>
      </w:r>
    </w:p>
    <w:p>
      <w:pPr>
        <w:pStyle w:val="23"/>
        <w:adjustRightInd w:val="0"/>
        <w:snapToGrid w:val="0"/>
        <w:spacing w:line="360" w:lineRule="auto"/>
        <w:ind w:left="0" w:leftChars="0"/>
        <w:rPr>
          <w:rFonts w:ascii="Courier New" w:hAnsi="宋体"/>
          <w:b/>
          <w:bCs/>
          <w:color w:val="auto"/>
          <w:spacing w:val="5"/>
          <w:sz w:val="24"/>
          <w:highlight w:val="none"/>
        </w:rPr>
      </w:pPr>
      <w:r>
        <w:rPr>
          <w:rFonts w:hint="eastAsia" w:ascii="宋体" w:hAnsi="宋体"/>
          <w:b/>
          <w:bCs/>
          <w:color w:val="auto"/>
          <w:spacing w:val="5"/>
          <w:sz w:val="24"/>
          <w:highlight w:val="none"/>
        </w:rPr>
        <w:t>1</w:t>
      </w:r>
      <w:r>
        <w:rPr>
          <w:rFonts w:hAnsi="宋体"/>
          <w:b/>
          <w:bCs/>
          <w:color w:val="auto"/>
          <w:spacing w:val="5"/>
          <w:sz w:val="24"/>
          <w:highlight w:val="none"/>
        </w:rPr>
        <w:t>2.3</w:t>
      </w:r>
      <w:r>
        <w:rPr>
          <w:rFonts w:hint="eastAsia" w:ascii="宋体" w:hAnsi="宋体"/>
          <w:b/>
          <w:bCs/>
          <w:color w:val="auto"/>
          <w:spacing w:val="5"/>
          <w:sz w:val="24"/>
          <w:highlight w:val="none"/>
        </w:rPr>
        <w:t xml:space="preserve"> 其它</w:t>
      </w:r>
    </w:p>
    <w:p>
      <w:pPr>
        <w:pStyle w:val="61"/>
        <w:spacing w:line="360" w:lineRule="auto"/>
        <w:rPr>
          <w:rFonts w:ascii="宋体" w:hAnsi="宋体"/>
          <w:color w:val="auto"/>
          <w:kern w:val="2"/>
          <w:szCs w:val="24"/>
          <w:highlight w:val="none"/>
        </w:rPr>
      </w:pPr>
      <w:r>
        <w:rPr>
          <w:rFonts w:hint="eastAsia" w:ascii="宋体" w:hAnsi="宋体"/>
          <w:color w:val="auto"/>
          <w:kern w:val="2"/>
          <w:highlight w:val="none"/>
        </w:rPr>
        <w:t>12.3.1 卖方可以自费召回或调换他的技术人员，但不得影响</w:t>
      </w:r>
      <w:r>
        <w:rPr>
          <w:rFonts w:hint="eastAsia" w:ascii="宋体" w:hAnsi="宋体"/>
          <w:color w:val="auto"/>
          <w:highlight w:val="none"/>
        </w:rPr>
        <w:t>安装现场</w:t>
      </w:r>
      <w:r>
        <w:rPr>
          <w:rFonts w:hint="eastAsia" w:ascii="宋体" w:hAnsi="宋体"/>
          <w:color w:val="auto"/>
          <w:kern w:val="2"/>
          <w:highlight w:val="none"/>
        </w:rPr>
        <w:t>的工作，并先征得买方的书面同意，应有一个交接时间，以便技术人员向其接替人交接工作。</w:t>
      </w:r>
    </w:p>
    <w:p>
      <w:pPr>
        <w:adjustRightInd w:val="0"/>
        <w:snapToGrid w:val="0"/>
        <w:spacing w:line="360" w:lineRule="auto"/>
        <w:rPr>
          <w:rFonts w:ascii="宋体" w:hAnsi="宋体"/>
          <w:color w:val="auto"/>
          <w:sz w:val="24"/>
          <w:highlight w:val="none"/>
        </w:rPr>
      </w:pPr>
      <w:r>
        <w:rPr>
          <w:rFonts w:hint="eastAsia" w:ascii="宋体" w:hAnsi="宋体"/>
          <w:color w:val="auto"/>
          <w:sz w:val="24"/>
          <w:highlight w:val="none"/>
        </w:rPr>
        <w:t>12.3.2 卖方技术人员连续生病超过7日时，卖方自费另派技术人员替换，且不得影响安装现场的工作。</w:t>
      </w:r>
    </w:p>
    <w:p>
      <w:pPr>
        <w:spacing w:line="360" w:lineRule="auto"/>
        <w:contextualSpacing/>
        <w:rPr>
          <w:rFonts w:ascii="宋体" w:hAnsi="宋体"/>
          <w:color w:val="auto"/>
          <w:sz w:val="24"/>
          <w:highlight w:val="none"/>
        </w:rPr>
      </w:pPr>
      <w:r>
        <w:rPr>
          <w:rFonts w:hint="eastAsia" w:ascii="宋体" w:hAnsi="宋体"/>
          <w:color w:val="auto"/>
          <w:sz w:val="24"/>
          <w:highlight w:val="none"/>
        </w:rPr>
        <w:t>12.3.3 卖方须按买方要求更换任一卖方技术人员，有关更换的全部费用由卖方承担。另行指派的技术人员所具备的经验、技术水平应当符合买方要求。</w:t>
      </w:r>
    </w:p>
    <w:p>
      <w:pPr>
        <w:spacing w:line="360" w:lineRule="auto"/>
        <w:contextualSpacing/>
        <w:rPr>
          <w:rFonts w:ascii="宋体" w:hAnsi="宋体"/>
          <w:color w:val="auto"/>
          <w:sz w:val="24"/>
          <w:highlight w:val="none"/>
        </w:rPr>
      </w:pPr>
      <w:r>
        <w:rPr>
          <w:rFonts w:hint="eastAsia" w:ascii="宋体" w:hAnsi="宋体"/>
          <w:color w:val="auto"/>
          <w:sz w:val="24"/>
          <w:highlight w:val="none"/>
        </w:rPr>
        <w:t>12.3.4 卖方在保证期后，应继续售后服务，帮助合同设备的完善和技术更新，以优惠的价格提供买方所需的元件、材料。参加由买方付费的合同设备重要技术问题的处理。</w:t>
      </w:r>
    </w:p>
    <w:p>
      <w:pPr>
        <w:spacing w:line="360" w:lineRule="auto"/>
        <w:contextualSpacing/>
        <w:outlineLvl w:val="0"/>
        <w:rPr>
          <w:rFonts w:ascii="宋体" w:hAnsi="宋体"/>
          <w:b/>
          <w:bCs/>
          <w:color w:val="auto"/>
          <w:sz w:val="24"/>
          <w:highlight w:val="none"/>
        </w:rPr>
      </w:pPr>
      <w:bookmarkStart w:id="324" w:name="_Toc5575"/>
      <w:bookmarkStart w:id="325" w:name="_Toc23657"/>
      <w:bookmarkStart w:id="326" w:name="_Toc10349"/>
      <w:bookmarkStart w:id="327" w:name="_Toc1322"/>
      <w:r>
        <w:rPr>
          <w:rFonts w:hint="eastAsia" w:ascii="宋体" w:hAnsi="宋体"/>
          <w:b/>
          <w:bCs/>
          <w:color w:val="auto"/>
          <w:sz w:val="24"/>
          <w:highlight w:val="none"/>
        </w:rPr>
        <w:t>13.买方的责任和义务</w:t>
      </w:r>
      <w:bookmarkEnd w:id="324"/>
      <w:bookmarkEnd w:id="325"/>
      <w:bookmarkEnd w:id="326"/>
      <w:bookmarkEnd w:id="327"/>
    </w:p>
    <w:p>
      <w:pPr>
        <w:spacing w:line="360" w:lineRule="auto"/>
        <w:ind w:firstLine="480" w:firstLineChars="200"/>
        <w:contextualSpacing/>
        <w:rPr>
          <w:rFonts w:ascii="宋体" w:hAnsi="宋体"/>
          <w:color w:val="auto"/>
          <w:sz w:val="24"/>
          <w:highlight w:val="none"/>
        </w:rPr>
      </w:pPr>
      <w:r>
        <w:rPr>
          <w:rFonts w:hint="eastAsia" w:ascii="宋体" w:hAnsi="宋体"/>
          <w:color w:val="auto"/>
          <w:sz w:val="24"/>
          <w:highlight w:val="none"/>
        </w:rPr>
        <w:t>买方为卖方技术人员在安装现场的工作、食宿、交通及通信提供方便，卖方承担由此产生的相关费用。</w:t>
      </w:r>
    </w:p>
    <w:p>
      <w:pPr>
        <w:spacing w:line="360" w:lineRule="auto"/>
        <w:contextualSpacing/>
        <w:outlineLvl w:val="0"/>
        <w:rPr>
          <w:rFonts w:ascii="宋体" w:hAnsi="宋体"/>
          <w:b/>
          <w:bCs/>
          <w:color w:val="auto"/>
          <w:sz w:val="24"/>
          <w:highlight w:val="none"/>
        </w:rPr>
      </w:pPr>
      <w:bookmarkStart w:id="328" w:name="_Toc15156"/>
      <w:bookmarkStart w:id="329" w:name="_Toc8581"/>
      <w:bookmarkStart w:id="330" w:name="_Toc12455"/>
      <w:bookmarkStart w:id="331" w:name="_Toc23852"/>
      <w:r>
        <w:rPr>
          <w:rFonts w:hint="eastAsia" w:ascii="宋体" w:hAnsi="宋体"/>
          <w:b/>
          <w:bCs/>
          <w:color w:val="auto"/>
          <w:sz w:val="24"/>
          <w:highlight w:val="none"/>
        </w:rPr>
        <w:t>14.现场技术培训</w:t>
      </w:r>
      <w:bookmarkEnd w:id="328"/>
      <w:bookmarkEnd w:id="329"/>
      <w:bookmarkEnd w:id="330"/>
      <w:bookmarkEnd w:id="331"/>
    </w:p>
    <w:p>
      <w:pPr>
        <w:spacing w:line="360" w:lineRule="auto"/>
        <w:ind w:firstLine="482" w:firstLineChars="200"/>
        <w:contextualSpacing/>
        <w:outlineLvl w:val="0"/>
        <w:rPr>
          <w:rFonts w:ascii="宋体" w:hAnsi="宋体"/>
          <w:b/>
          <w:bCs/>
          <w:color w:val="auto"/>
          <w:sz w:val="24"/>
          <w:highlight w:val="none"/>
        </w:rPr>
      </w:pPr>
      <w:bookmarkStart w:id="332" w:name="_Toc9346"/>
      <w:bookmarkStart w:id="333" w:name="_Toc28987"/>
      <w:bookmarkStart w:id="334" w:name="_Toc18125"/>
      <w:bookmarkStart w:id="335" w:name="_Toc16188"/>
      <w:r>
        <w:rPr>
          <w:rFonts w:hint="eastAsia" w:ascii="宋体" w:hAnsi="宋体"/>
          <w:b/>
          <w:bCs/>
          <w:color w:val="auto"/>
          <w:sz w:val="24"/>
          <w:highlight w:val="none"/>
        </w:rPr>
        <w:t>有现场技术培训。</w:t>
      </w:r>
      <w:bookmarkEnd w:id="332"/>
      <w:bookmarkEnd w:id="333"/>
      <w:bookmarkEnd w:id="334"/>
      <w:bookmarkEnd w:id="335"/>
    </w:p>
    <w:p>
      <w:pPr>
        <w:spacing w:line="360" w:lineRule="auto"/>
        <w:contextualSpacing/>
        <w:outlineLvl w:val="0"/>
        <w:rPr>
          <w:rFonts w:ascii="宋体" w:hAnsi="宋体"/>
          <w:b/>
          <w:bCs/>
          <w:color w:val="auto"/>
          <w:sz w:val="24"/>
          <w:highlight w:val="none"/>
        </w:rPr>
      </w:pPr>
      <w:bookmarkStart w:id="336" w:name="_Toc21316"/>
      <w:bookmarkStart w:id="337" w:name="_Toc9002"/>
      <w:bookmarkStart w:id="338" w:name="_Toc1034"/>
      <w:bookmarkStart w:id="339" w:name="_Toc3641"/>
      <w:r>
        <w:rPr>
          <w:rFonts w:hint="eastAsia" w:ascii="宋体" w:hAnsi="宋体"/>
          <w:b/>
          <w:bCs/>
          <w:color w:val="auto"/>
          <w:sz w:val="24"/>
          <w:highlight w:val="none"/>
        </w:rPr>
        <w:t>15.安装、调试、试运行和验收</w:t>
      </w:r>
      <w:bookmarkEnd w:id="336"/>
      <w:bookmarkEnd w:id="337"/>
      <w:bookmarkEnd w:id="338"/>
      <w:bookmarkEnd w:id="339"/>
    </w:p>
    <w:p>
      <w:pPr>
        <w:pStyle w:val="48"/>
        <w:autoSpaceDE w:val="0"/>
        <w:autoSpaceDN w:val="0"/>
        <w:spacing w:line="360" w:lineRule="auto"/>
        <w:ind w:left="105" w:leftChars="50" w:firstLine="0"/>
        <w:contextualSpacing/>
        <w:jc w:val="left"/>
        <w:rPr>
          <w:rFonts w:ascii="宋体" w:hAnsi="宋体"/>
          <w:color w:val="auto"/>
          <w:sz w:val="24"/>
          <w:szCs w:val="24"/>
          <w:highlight w:val="none"/>
        </w:rPr>
      </w:pPr>
      <w:r>
        <w:rPr>
          <w:rFonts w:hint="eastAsia" w:ascii="宋体" w:hAnsi="宋体"/>
          <w:color w:val="auto"/>
          <w:sz w:val="24"/>
          <w:szCs w:val="24"/>
          <w:highlight w:val="none"/>
        </w:rPr>
        <w:t>15.1 设备安装、调试、试运行和验收试验由卖方负责，使其符合技术条款和有关标准的要求，双方应通力合作，采取必要措施使合同设备尽快投入运行。</w:t>
      </w:r>
    </w:p>
    <w:p>
      <w:pPr>
        <w:pStyle w:val="48"/>
        <w:autoSpaceDE w:val="0"/>
        <w:autoSpaceDN w:val="0"/>
        <w:spacing w:line="360" w:lineRule="auto"/>
        <w:ind w:left="105" w:leftChars="50" w:firstLine="0"/>
        <w:contextualSpacing/>
        <w:jc w:val="left"/>
        <w:rPr>
          <w:rFonts w:ascii="宋体" w:hAnsi="宋体"/>
          <w:color w:val="auto"/>
          <w:sz w:val="24"/>
          <w:szCs w:val="24"/>
          <w:highlight w:val="none"/>
        </w:rPr>
      </w:pPr>
      <w:r>
        <w:rPr>
          <w:rFonts w:hint="eastAsia" w:ascii="宋体" w:hAnsi="宋体"/>
          <w:color w:val="auto"/>
          <w:sz w:val="24"/>
          <w:szCs w:val="24"/>
          <w:highlight w:val="none"/>
        </w:rPr>
        <w:t>15.2 除合同另有规定外，所有由卖方提供的合同设备应为完整和合格的设备、组件或部件。</w:t>
      </w:r>
    </w:p>
    <w:p>
      <w:pPr>
        <w:pStyle w:val="48"/>
        <w:spacing w:line="360" w:lineRule="auto"/>
        <w:ind w:left="0" w:firstLine="480" w:firstLineChars="200"/>
        <w:contextualSpacing/>
        <w:jc w:val="left"/>
        <w:rPr>
          <w:rFonts w:ascii="宋体" w:hAnsi="宋体"/>
          <w:color w:val="auto"/>
          <w:sz w:val="24"/>
          <w:szCs w:val="24"/>
          <w:highlight w:val="none"/>
        </w:rPr>
      </w:pPr>
      <w:r>
        <w:rPr>
          <w:rFonts w:hint="eastAsia" w:ascii="宋体" w:hAnsi="宋体"/>
          <w:color w:val="auto"/>
          <w:sz w:val="24"/>
          <w:szCs w:val="24"/>
          <w:highlight w:val="none"/>
        </w:rPr>
        <w:t>卖方不得将有缺陷的设备、组件、部件或材料等运到安装现场，如果在安装调试过程中发现由于卖方设备缺陷，包括但不限于设计、材质、制造工艺、质量、结构尺寸、误差等缺陷和/或错误，和/或由于卖方技术服务人员不正确指导造成损坏或损失，买方有充分的理由退货或要求卖方调换或要求卖方采取措施修理，由此引起的责任和费用由卖方承担。如果由于设计制造原因致使合同设备，包括组件和部件需要在安装现场进行加工、制作或修整时，所有费用应由卖方承担。</w:t>
      </w:r>
    </w:p>
    <w:p>
      <w:pPr>
        <w:pStyle w:val="48"/>
        <w:spacing w:line="360" w:lineRule="auto"/>
        <w:ind w:left="105" w:leftChars="50" w:firstLine="0"/>
        <w:contextualSpacing/>
        <w:jc w:val="left"/>
        <w:rPr>
          <w:rFonts w:ascii="宋体" w:hAnsi="宋体"/>
          <w:color w:val="auto"/>
          <w:sz w:val="24"/>
          <w:szCs w:val="24"/>
          <w:highlight w:val="none"/>
        </w:rPr>
      </w:pPr>
      <w:r>
        <w:rPr>
          <w:rFonts w:hint="eastAsia" w:ascii="宋体" w:hAnsi="宋体"/>
          <w:color w:val="auto"/>
          <w:sz w:val="24"/>
          <w:szCs w:val="24"/>
          <w:highlight w:val="none"/>
        </w:rPr>
        <w:t>在合同执行过程中，对由卖方责任需要进行的检验、试验、再试验、修理或调换，在卖方提出请求时买方应安排好进行上述工作的有关设备，卖方应负担由此而引起的一切修理或调换的费用。</w:t>
      </w:r>
    </w:p>
    <w:p>
      <w:pPr>
        <w:pStyle w:val="48"/>
        <w:spacing w:line="360" w:lineRule="auto"/>
        <w:ind w:left="105" w:leftChars="50" w:firstLine="0"/>
        <w:contextualSpacing/>
        <w:jc w:val="left"/>
        <w:rPr>
          <w:rFonts w:ascii="宋体" w:hAnsi="宋体"/>
          <w:color w:val="auto"/>
          <w:sz w:val="24"/>
          <w:szCs w:val="24"/>
          <w:highlight w:val="none"/>
        </w:rPr>
      </w:pPr>
      <w:r>
        <w:rPr>
          <w:rFonts w:hint="eastAsia" w:ascii="宋体" w:hAnsi="宋体"/>
          <w:color w:val="auto"/>
          <w:sz w:val="24"/>
          <w:szCs w:val="24"/>
          <w:highlight w:val="none"/>
        </w:rPr>
        <w:t>卖方委托买方施工人员进行加工或修理、调换设备的费用和／或由于卖方设计图纸错误和/或卖方技术服务人员错误，和/或合同设备缺陷处理等所造成的返工费用和施工工期损失，卖方应向买方支付相应的费用。</w:t>
      </w:r>
    </w:p>
    <w:p>
      <w:pPr>
        <w:pStyle w:val="48"/>
        <w:autoSpaceDE w:val="0"/>
        <w:autoSpaceDN w:val="0"/>
        <w:spacing w:line="360" w:lineRule="auto"/>
        <w:ind w:left="105" w:leftChars="50" w:firstLine="0"/>
        <w:contextualSpacing/>
        <w:jc w:val="left"/>
        <w:rPr>
          <w:rFonts w:ascii="宋体" w:hAnsi="宋体"/>
          <w:color w:val="auto"/>
          <w:sz w:val="24"/>
          <w:szCs w:val="24"/>
          <w:highlight w:val="none"/>
        </w:rPr>
      </w:pPr>
      <w:r>
        <w:rPr>
          <w:rFonts w:hint="eastAsia" w:ascii="宋体" w:hAnsi="宋体"/>
          <w:color w:val="auto"/>
          <w:sz w:val="24"/>
          <w:szCs w:val="24"/>
          <w:highlight w:val="none"/>
        </w:rPr>
        <w:t>15.3 系统调试是指合同设备在通过本机调试的基础上根据系统测试数据和测试规程的规定对合同设备进行检查、测试、调整、校正、和试运行等。</w:t>
      </w:r>
    </w:p>
    <w:p>
      <w:pPr>
        <w:pStyle w:val="48"/>
        <w:autoSpaceDE w:val="0"/>
        <w:autoSpaceDN w:val="0"/>
        <w:spacing w:line="360" w:lineRule="auto"/>
        <w:ind w:left="105" w:leftChars="50" w:firstLine="0"/>
        <w:contextualSpacing/>
        <w:jc w:val="left"/>
        <w:rPr>
          <w:rFonts w:ascii="宋体" w:hAnsi="宋体"/>
          <w:color w:val="auto"/>
          <w:sz w:val="24"/>
          <w:szCs w:val="24"/>
          <w:highlight w:val="none"/>
        </w:rPr>
      </w:pPr>
      <w:r>
        <w:rPr>
          <w:rFonts w:hint="eastAsia" w:ascii="宋体" w:hAnsi="宋体"/>
          <w:color w:val="auto"/>
          <w:sz w:val="24"/>
          <w:szCs w:val="24"/>
          <w:highlight w:val="none"/>
        </w:rPr>
        <w:t>15.4 现场调试是指检测合同设备是否满足合同规定的所有技术性能及保证值。</w:t>
      </w:r>
    </w:p>
    <w:p>
      <w:pPr>
        <w:pStyle w:val="48"/>
        <w:autoSpaceDE w:val="0"/>
        <w:autoSpaceDN w:val="0"/>
        <w:spacing w:line="360" w:lineRule="auto"/>
        <w:ind w:left="105" w:leftChars="50" w:firstLine="0"/>
        <w:contextualSpacing/>
        <w:jc w:val="left"/>
        <w:rPr>
          <w:rFonts w:ascii="宋体" w:hAnsi="宋体"/>
          <w:color w:val="auto"/>
          <w:sz w:val="24"/>
          <w:szCs w:val="24"/>
          <w:highlight w:val="none"/>
        </w:rPr>
      </w:pPr>
      <w:r>
        <w:rPr>
          <w:rFonts w:hint="eastAsia" w:ascii="宋体" w:hAnsi="宋体"/>
          <w:color w:val="auto"/>
          <w:sz w:val="24"/>
          <w:szCs w:val="24"/>
          <w:highlight w:val="none"/>
        </w:rPr>
        <w:t>15.5 在合同设备安装及调试完毕后，买方将对合同设备进行系统调试、试运行和初步验收。卖方应对设备的系统调试、试运行和初步验收质量负责，使其符合合同技术条款和有关标准的要求。卖方必须有代表参加上述系统调试和初步验收，卖方不派人参加上述系统调试和初步验收的，视为同意买方的调试和验收结果。</w:t>
      </w:r>
    </w:p>
    <w:p>
      <w:pPr>
        <w:pStyle w:val="48"/>
        <w:autoSpaceDE w:val="0"/>
        <w:autoSpaceDN w:val="0"/>
        <w:spacing w:line="360" w:lineRule="auto"/>
        <w:ind w:left="105" w:leftChars="50" w:firstLine="0"/>
        <w:contextualSpacing/>
        <w:jc w:val="left"/>
        <w:rPr>
          <w:rFonts w:ascii="宋体" w:hAnsi="宋体"/>
          <w:color w:val="auto"/>
          <w:sz w:val="24"/>
          <w:szCs w:val="24"/>
          <w:highlight w:val="none"/>
        </w:rPr>
      </w:pPr>
      <w:r>
        <w:rPr>
          <w:rFonts w:hint="eastAsia" w:ascii="宋体" w:hAnsi="宋体"/>
          <w:color w:val="auto"/>
          <w:sz w:val="24"/>
          <w:szCs w:val="24"/>
          <w:highlight w:val="none"/>
        </w:rPr>
        <w:t>15.6 在进行第一次初步验收试验时。如果一项或多项技术性能或保证值不能满足合同要求，双方应共同分析其原因，分清责任。</w:t>
      </w:r>
    </w:p>
    <w:p>
      <w:pPr>
        <w:pStyle w:val="48"/>
        <w:spacing w:line="360" w:lineRule="auto"/>
        <w:ind w:left="105" w:leftChars="50" w:firstLine="0"/>
        <w:contextualSpacing/>
        <w:jc w:val="left"/>
        <w:rPr>
          <w:rFonts w:ascii="宋体" w:hAnsi="宋体"/>
          <w:color w:val="auto"/>
          <w:sz w:val="24"/>
          <w:szCs w:val="24"/>
          <w:highlight w:val="none"/>
        </w:rPr>
      </w:pPr>
      <w:r>
        <w:rPr>
          <w:rFonts w:hint="eastAsia" w:ascii="宋体" w:hAnsi="宋体"/>
          <w:color w:val="auto"/>
          <w:sz w:val="24"/>
          <w:szCs w:val="24"/>
          <w:highlight w:val="none"/>
        </w:rPr>
        <w:t>15.7 如果责任方在卖方，卖方自费采取措施使合同设备在1周内达到合同文件技术性能和保证值的要求，并承担由此引起的一切费用。</w:t>
      </w:r>
    </w:p>
    <w:p>
      <w:pPr>
        <w:pStyle w:val="48"/>
        <w:spacing w:line="360" w:lineRule="auto"/>
        <w:ind w:left="105" w:leftChars="50" w:firstLine="0"/>
        <w:contextualSpacing/>
        <w:jc w:val="left"/>
        <w:rPr>
          <w:rFonts w:ascii="宋体" w:hAnsi="宋体"/>
          <w:color w:val="auto"/>
          <w:sz w:val="24"/>
          <w:szCs w:val="24"/>
          <w:highlight w:val="none"/>
        </w:rPr>
      </w:pPr>
      <w:r>
        <w:rPr>
          <w:rFonts w:hint="eastAsia" w:ascii="宋体" w:hAnsi="宋体"/>
          <w:color w:val="auto"/>
          <w:sz w:val="24"/>
          <w:szCs w:val="24"/>
          <w:highlight w:val="none"/>
        </w:rPr>
        <w:t>当偏差值处于买方可接受的范围内，卖方需按合同约定给买方支付违约赔偿金，卖方向买方支付违约赔偿金后7日内双方应签署初步验收证书一式两份，双方各执一份。在这种情况下该证书仅作为支付文件，卖方仍有义务使设备满足合同规定的技术性能和保证值的要求。</w:t>
      </w:r>
    </w:p>
    <w:p>
      <w:pPr>
        <w:pStyle w:val="48"/>
        <w:spacing w:line="360" w:lineRule="auto"/>
        <w:ind w:left="105" w:leftChars="50" w:firstLine="0"/>
        <w:contextualSpacing/>
        <w:jc w:val="left"/>
        <w:rPr>
          <w:rFonts w:ascii="宋体" w:hAnsi="宋体"/>
          <w:color w:val="auto"/>
          <w:sz w:val="24"/>
          <w:szCs w:val="24"/>
          <w:highlight w:val="none"/>
        </w:rPr>
      </w:pPr>
      <w:r>
        <w:rPr>
          <w:rFonts w:hint="eastAsia" w:ascii="宋体" w:hAnsi="宋体"/>
          <w:color w:val="auto"/>
          <w:sz w:val="24"/>
          <w:szCs w:val="24"/>
          <w:highlight w:val="none"/>
        </w:rPr>
        <w:t>15.8 如果责任方在买方，由于买方的责任有一项或多项技术性能或保证值仍达不到合同规定的要求，则合同设备将被买方接受，双方应签署初步验收证书一式两份，双方各执一份。在这种情况下卖方仍有义务配合买方使设备满足合同规定的技术性能和保证值的要求。</w:t>
      </w:r>
    </w:p>
    <w:p>
      <w:pPr>
        <w:pStyle w:val="48"/>
        <w:spacing w:line="360" w:lineRule="auto"/>
        <w:ind w:left="105" w:leftChars="50" w:firstLine="0"/>
        <w:contextualSpacing/>
        <w:jc w:val="left"/>
        <w:rPr>
          <w:rFonts w:ascii="宋体" w:hAnsi="宋体"/>
          <w:color w:val="auto"/>
          <w:sz w:val="24"/>
          <w:szCs w:val="24"/>
          <w:highlight w:val="none"/>
        </w:rPr>
      </w:pPr>
      <w:r>
        <w:rPr>
          <w:rFonts w:hint="eastAsia" w:ascii="宋体" w:hAnsi="宋体"/>
          <w:color w:val="auto"/>
          <w:sz w:val="24"/>
          <w:szCs w:val="24"/>
          <w:highlight w:val="none"/>
        </w:rPr>
        <w:t>15.9 合同设备质量保证期将在签发初步验收证书之日起开始。</w:t>
      </w:r>
    </w:p>
    <w:p>
      <w:pPr>
        <w:pStyle w:val="48"/>
        <w:autoSpaceDE w:val="0"/>
        <w:autoSpaceDN w:val="0"/>
        <w:spacing w:line="360" w:lineRule="auto"/>
        <w:ind w:left="105" w:leftChars="50" w:firstLine="0"/>
        <w:contextualSpacing/>
        <w:jc w:val="left"/>
        <w:rPr>
          <w:rFonts w:ascii="宋体" w:hAnsi="宋体"/>
          <w:color w:val="auto"/>
          <w:sz w:val="24"/>
          <w:szCs w:val="24"/>
          <w:highlight w:val="none"/>
        </w:rPr>
      </w:pPr>
      <w:r>
        <w:rPr>
          <w:rFonts w:hint="eastAsia" w:ascii="宋体" w:hAnsi="宋体"/>
          <w:color w:val="auto"/>
          <w:sz w:val="24"/>
          <w:szCs w:val="24"/>
          <w:highlight w:val="none"/>
        </w:rPr>
        <w:t>15.10 在质量保证期结束后，买方将对合同设备作一次全面检查，如果按照合同规定认为是满意的，买方将为合同设备签发最终验收证书。</w:t>
      </w:r>
    </w:p>
    <w:p>
      <w:pPr>
        <w:pStyle w:val="48"/>
        <w:spacing w:line="360" w:lineRule="auto"/>
        <w:ind w:left="105" w:leftChars="50" w:firstLine="0"/>
        <w:contextualSpacing/>
        <w:jc w:val="left"/>
        <w:rPr>
          <w:rFonts w:ascii="宋体" w:hAnsi="宋体"/>
          <w:color w:val="auto"/>
          <w:sz w:val="24"/>
          <w:szCs w:val="24"/>
          <w:highlight w:val="none"/>
        </w:rPr>
      </w:pPr>
      <w:r>
        <w:rPr>
          <w:rFonts w:hint="eastAsia" w:ascii="宋体" w:hAnsi="宋体"/>
          <w:color w:val="auto"/>
          <w:sz w:val="24"/>
          <w:szCs w:val="24"/>
          <w:highlight w:val="none"/>
        </w:rPr>
        <w:t>最终验收证书不能解除卖方在合同设备中存在的可能引起系统故障的潜在缺陷应负的任何责任。</w:t>
      </w:r>
    </w:p>
    <w:p>
      <w:pPr>
        <w:pStyle w:val="48"/>
        <w:autoSpaceDE w:val="0"/>
        <w:autoSpaceDN w:val="0"/>
        <w:spacing w:line="360" w:lineRule="auto"/>
        <w:ind w:left="105" w:leftChars="50" w:firstLine="0"/>
        <w:contextualSpacing/>
        <w:jc w:val="left"/>
        <w:rPr>
          <w:rFonts w:ascii="宋体" w:hAnsi="宋体"/>
          <w:color w:val="auto"/>
          <w:sz w:val="24"/>
          <w:szCs w:val="24"/>
          <w:highlight w:val="none"/>
        </w:rPr>
      </w:pPr>
      <w:r>
        <w:rPr>
          <w:rFonts w:hint="eastAsia" w:ascii="宋体" w:hAnsi="宋体"/>
          <w:color w:val="auto"/>
          <w:sz w:val="24"/>
          <w:szCs w:val="24"/>
          <w:highlight w:val="none"/>
        </w:rPr>
        <w:t>15.11 买方有偿提供卖方赴现场服务人员的工作和生活条件，其费用已包含在合同总价中。</w:t>
      </w:r>
    </w:p>
    <w:p>
      <w:pPr>
        <w:spacing w:line="360" w:lineRule="auto"/>
        <w:contextualSpacing/>
        <w:outlineLvl w:val="0"/>
        <w:rPr>
          <w:rFonts w:ascii="宋体" w:hAnsi="宋体"/>
          <w:b/>
          <w:bCs/>
          <w:color w:val="auto"/>
          <w:sz w:val="24"/>
          <w:highlight w:val="none"/>
        </w:rPr>
      </w:pPr>
      <w:bookmarkStart w:id="340" w:name="_Toc24749"/>
      <w:bookmarkStart w:id="341" w:name="_Toc28565"/>
      <w:bookmarkStart w:id="342" w:name="_Toc26804"/>
      <w:bookmarkStart w:id="343" w:name="_Toc26473"/>
      <w:r>
        <w:rPr>
          <w:rFonts w:hint="eastAsia" w:ascii="宋体" w:hAnsi="宋体"/>
          <w:b/>
          <w:bCs/>
          <w:color w:val="auto"/>
          <w:sz w:val="24"/>
          <w:highlight w:val="none"/>
        </w:rPr>
        <w:t>16.质量保证</w:t>
      </w:r>
      <w:bookmarkEnd w:id="340"/>
      <w:bookmarkEnd w:id="341"/>
      <w:bookmarkEnd w:id="342"/>
      <w:bookmarkEnd w:id="343"/>
    </w:p>
    <w:p>
      <w:pPr>
        <w:pStyle w:val="48"/>
        <w:autoSpaceDE w:val="0"/>
        <w:autoSpaceDN w:val="0"/>
        <w:spacing w:line="360" w:lineRule="auto"/>
        <w:ind w:left="105" w:leftChars="50" w:firstLine="0"/>
        <w:contextualSpacing/>
        <w:rPr>
          <w:rFonts w:ascii="宋体" w:hAnsi="宋体"/>
          <w:color w:val="auto"/>
          <w:sz w:val="24"/>
          <w:szCs w:val="24"/>
          <w:highlight w:val="none"/>
        </w:rPr>
      </w:pPr>
      <w:r>
        <w:rPr>
          <w:rFonts w:hint="eastAsia" w:ascii="宋体" w:hAnsi="宋体"/>
          <w:color w:val="auto"/>
          <w:sz w:val="24"/>
          <w:szCs w:val="24"/>
          <w:highlight w:val="none"/>
        </w:rPr>
        <w:t>16.1 卖方应保证按照合同规定所提供的设备是全新的、完整的、技术水平是先进的、成熟的，并按指定的标准设计的，质量是优良的，设备的选型符合安全可靠，有效运行和易于维护的要求，并且在设备部件制造时对设计和材料作过最新的改进。卖方还应保证按合同所提供的设备不存在由于设计、材料或工艺的原因所造成的缺陷，和/或由于卖方的任何行为和/或不当行为所造成的缺陷。如违反上述约定，卖方须采取相关补救措施。</w:t>
      </w:r>
    </w:p>
    <w:p>
      <w:pPr>
        <w:pStyle w:val="48"/>
        <w:autoSpaceDE w:val="0"/>
        <w:autoSpaceDN w:val="0"/>
        <w:spacing w:line="360" w:lineRule="auto"/>
        <w:ind w:left="105" w:leftChars="50" w:firstLine="0"/>
        <w:contextualSpacing/>
        <w:rPr>
          <w:rFonts w:ascii="宋体" w:hAnsi="宋体"/>
          <w:color w:val="auto"/>
          <w:sz w:val="24"/>
          <w:szCs w:val="24"/>
          <w:highlight w:val="none"/>
        </w:rPr>
      </w:pPr>
      <w:r>
        <w:rPr>
          <w:rFonts w:hint="eastAsia" w:ascii="宋体" w:hAnsi="宋体"/>
          <w:color w:val="auto"/>
          <w:sz w:val="24"/>
          <w:szCs w:val="24"/>
          <w:highlight w:val="none"/>
        </w:rPr>
        <w:t>16.2 卖方应保证合同设备和材料的数量、质量、工艺、设计、规范、型式及技术性能，完全满足本合同的全部要求。买方有权拒收未能满足合同规定和卖方保证的材料和设备，并要求卖方付费限期更换，且不能影响合同设备安装总工期。</w:t>
      </w:r>
    </w:p>
    <w:p>
      <w:pPr>
        <w:pStyle w:val="48"/>
        <w:autoSpaceDE w:val="0"/>
        <w:autoSpaceDN w:val="0"/>
        <w:spacing w:line="360" w:lineRule="auto"/>
        <w:ind w:left="105" w:leftChars="50" w:firstLine="0"/>
        <w:contextualSpacing/>
        <w:rPr>
          <w:rFonts w:ascii="宋体" w:hAnsi="宋体"/>
          <w:color w:val="auto"/>
          <w:sz w:val="24"/>
          <w:szCs w:val="24"/>
          <w:highlight w:val="none"/>
        </w:rPr>
      </w:pPr>
      <w:r>
        <w:rPr>
          <w:rFonts w:hint="eastAsia" w:ascii="宋体" w:hAnsi="宋体"/>
          <w:color w:val="auto"/>
          <w:sz w:val="24"/>
          <w:szCs w:val="24"/>
          <w:highlight w:val="none"/>
        </w:rPr>
        <w:t>16.3 质量保证期为初步验收合格后12个月。本款中所规定的质量保证期决不意味着解除卖方的合同设备在整个寿命期内应承担的质量承诺。</w:t>
      </w:r>
    </w:p>
    <w:p>
      <w:pPr>
        <w:pStyle w:val="48"/>
        <w:autoSpaceDE w:val="0"/>
        <w:autoSpaceDN w:val="0"/>
        <w:spacing w:line="360" w:lineRule="auto"/>
        <w:ind w:left="105" w:leftChars="50" w:firstLine="0"/>
        <w:contextualSpacing/>
        <w:rPr>
          <w:rFonts w:ascii="宋体" w:hAnsi="宋体"/>
          <w:color w:val="auto"/>
          <w:sz w:val="24"/>
          <w:szCs w:val="24"/>
          <w:highlight w:val="none"/>
        </w:rPr>
      </w:pPr>
      <w:r>
        <w:rPr>
          <w:rFonts w:hint="eastAsia" w:ascii="宋体" w:hAnsi="宋体"/>
          <w:color w:val="auto"/>
          <w:sz w:val="24"/>
          <w:szCs w:val="24"/>
          <w:highlight w:val="none"/>
        </w:rPr>
        <w:t>16.4 在保证期内如果由于卖方提供的合同设备的原因造成整个合同设备停运，则该合同设备的保证期将自恢复之日起重新计算。</w:t>
      </w:r>
    </w:p>
    <w:p>
      <w:pPr>
        <w:pStyle w:val="48"/>
        <w:autoSpaceDE w:val="0"/>
        <w:autoSpaceDN w:val="0"/>
        <w:spacing w:line="360" w:lineRule="auto"/>
        <w:ind w:left="105" w:leftChars="50" w:firstLine="0"/>
        <w:contextualSpacing/>
        <w:rPr>
          <w:rFonts w:ascii="宋体" w:hAnsi="宋体"/>
          <w:color w:val="auto"/>
          <w:sz w:val="24"/>
          <w:szCs w:val="24"/>
          <w:highlight w:val="none"/>
        </w:rPr>
      </w:pPr>
      <w:r>
        <w:rPr>
          <w:rFonts w:hint="eastAsia" w:ascii="宋体" w:hAnsi="宋体"/>
          <w:color w:val="auto"/>
          <w:sz w:val="24"/>
          <w:szCs w:val="24"/>
          <w:highlight w:val="none"/>
        </w:rPr>
        <w:t>16.5 如果发现由于卖方责任造成任何设备缺陷或损坏，和/或不符合本合同要求，和/或由于卖方技术文件错误和/或由于卖方技术人员在安装、调试、试运行和验收试验过程中错误指导而导致设备损坏，买方有权根据第17条向卖方提出索赔。</w:t>
      </w:r>
    </w:p>
    <w:p>
      <w:pPr>
        <w:spacing w:line="360" w:lineRule="auto"/>
        <w:contextualSpacing/>
        <w:outlineLvl w:val="0"/>
        <w:rPr>
          <w:rFonts w:ascii="宋体" w:hAnsi="宋体"/>
          <w:b/>
          <w:bCs/>
          <w:color w:val="auto"/>
          <w:sz w:val="24"/>
          <w:highlight w:val="none"/>
        </w:rPr>
      </w:pPr>
      <w:bookmarkStart w:id="344" w:name="_Toc21318"/>
      <w:bookmarkStart w:id="345" w:name="_Toc22612"/>
      <w:bookmarkStart w:id="346" w:name="_Toc21339"/>
      <w:bookmarkStart w:id="347" w:name="_Toc7762"/>
      <w:r>
        <w:rPr>
          <w:rFonts w:hint="eastAsia" w:ascii="宋体" w:hAnsi="宋体"/>
          <w:b/>
          <w:bCs/>
          <w:color w:val="auto"/>
          <w:sz w:val="24"/>
          <w:highlight w:val="none"/>
        </w:rPr>
        <w:t>17.索赔</w:t>
      </w:r>
      <w:bookmarkEnd w:id="344"/>
      <w:bookmarkEnd w:id="345"/>
      <w:bookmarkEnd w:id="346"/>
      <w:bookmarkEnd w:id="347"/>
    </w:p>
    <w:p>
      <w:pPr>
        <w:pStyle w:val="48"/>
        <w:autoSpaceDE w:val="0"/>
        <w:autoSpaceDN w:val="0"/>
        <w:spacing w:line="360" w:lineRule="auto"/>
        <w:ind w:left="105" w:leftChars="50" w:firstLine="0"/>
        <w:contextualSpacing/>
        <w:rPr>
          <w:rFonts w:ascii="宋体" w:hAnsi="宋体"/>
          <w:color w:val="auto"/>
          <w:sz w:val="24"/>
          <w:szCs w:val="24"/>
          <w:highlight w:val="none"/>
        </w:rPr>
      </w:pPr>
      <w:r>
        <w:rPr>
          <w:rFonts w:hint="eastAsia" w:ascii="宋体" w:hAnsi="宋体"/>
          <w:color w:val="auto"/>
          <w:sz w:val="24"/>
          <w:szCs w:val="24"/>
          <w:highlight w:val="none"/>
        </w:rPr>
        <w:t>17.1 如果合同设备在数量、质量、设计、规范、型式和技术性能等方面不符合合同规定，并且买方向卖方提出索赔，卖方根据买方的要求按下述一种或几种方式处理该索赔。</w:t>
      </w:r>
    </w:p>
    <w:p>
      <w:pPr>
        <w:autoSpaceDE w:val="0"/>
        <w:autoSpaceDN w:val="0"/>
        <w:spacing w:line="360" w:lineRule="auto"/>
        <w:contextualSpacing/>
        <w:rPr>
          <w:rFonts w:ascii="宋体" w:hAnsi="宋体"/>
          <w:color w:val="auto"/>
          <w:kern w:val="0"/>
          <w:sz w:val="24"/>
          <w:highlight w:val="none"/>
        </w:rPr>
      </w:pPr>
      <w:r>
        <w:rPr>
          <w:rFonts w:hint="eastAsia" w:ascii="宋体" w:hAnsi="宋体"/>
          <w:color w:val="auto"/>
          <w:kern w:val="0"/>
          <w:sz w:val="24"/>
          <w:highlight w:val="none"/>
        </w:rPr>
        <w:t>（1）卖方同意买方拒收有缺陷的设备，向买方偿还与拒收设备价格相当的款项，并</w:t>
      </w:r>
      <w:r>
        <w:rPr>
          <w:rFonts w:hint="eastAsia" w:ascii="宋体" w:hAnsi="宋体"/>
          <w:color w:val="auto"/>
          <w:sz w:val="24"/>
          <w:highlight w:val="none"/>
        </w:rPr>
        <w:t>赔偿由此给买方造成的全部相关损失</w:t>
      </w:r>
      <w:r>
        <w:rPr>
          <w:rFonts w:hint="eastAsia" w:ascii="宋体" w:hAnsi="宋体"/>
          <w:color w:val="auto"/>
          <w:kern w:val="0"/>
          <w:sz w:val="24"/>
          <w:highlight w:val="none"/>
        </w:rPr>
        <w:t>，包括但不限于运费、保险费、仓储费、合同设备装卸费以及为保管和维护拒收设备所需的其它费用等。</w:t>
      </w:r>
    </w:p>
    <w:p>
      <w:pPr>
        <w:autoSpaceDE w:val="0"/>
        <w:autoSpaceDN w:val="0"/>
        <w:spacing w:line="360" w:lineRule="auto"/>
        <w:contextualSpacing/>
        <w:rPr>
          <w:rFonts w:ascii="宋体" w:hAnsi="宋体"/>
          <w:color w:val="auto"/>
          <w:kern w:val="0"/>
          <w:sz w:val="24"/>
          <w:highlight w:val="none"/>
        </w:rPr>
      </w:pPr>
      <w:r>
        <w:rPr>
          <w:rFonts w:hint="eastAsia" w:ascii="宋体" w:hAnsi="宋体"/>
          <w:color w:val="auto"/>
          <w:kern w:val="0"/>
          <w:sz w:val="24"/>
          <w:highlight w:val="none"/>
        </w:rPr>
        <w:t>（2）按有缺陷合同设备的低劣、损坏程度及买方遭受损失的金额，由双方协商对合同设备进行降价处理。</w:t>
      </w:r>
    </w:p>
    <w:p>
      <w:pPr>
        <w:autoSpaceDE w:val="0"/>
        <w:autoSpaceDN w:val="0"/>
        <w:spacing w:line="360" w:lineRule="auto"/>
        <w:contextualSpacing/>
        <w:rPr>
          <w:rFonts w:ascii="宋体" w:hAnsi="宋体"/>
          <w:color w:val="auto"/>
          <w:kern w:val="0"/>
          <w:sz w:val="24"/>
          <w:highlight w:val="none"/>
        </w:rPr>
      </w:pPr>
      <w:r>
        <w:rPr>
          <w:rFonts w:hint="eastAsia" w:ascii="宋体" w:hAnsi="宋体"/>
          <w:color w:val="auto"/>
          <w:kern w:val="0"/>
          <w:sz w:val="24"/>
          <w:highlight w:val="none"/>
        </w:rPr>
        <w:t>（3）用合同规定的规格、质量、性能的新部件、组件和(或)设备更换有缺陷的合同设备，和(或)修好有缺陷的合同设备，并由卖方承担买方为此付出的全部直接费用（包括但不限于由此而引起的第三方承包人的损失而向买方索赔的全部直接费用等），同时卖方对所更换的合同设备的质量给予相应于合同16条规定的保证期。</w:t>
      </w:r>
    </w:p>
    <w:p>
      <w:pPr>
        <w:pStyle w:val="48"/>
        <w:autoSpaceDE w:val="0"/>
        <w:autoSpaceDN w:val="0"/>
        <w:spacing w:line="360" w:lineRule="auto"/>
        <w:ind w:left="105" w:leftChars="50" w:firstLine="0"/>
        <w:contextualSpacing/>
        <w:rPr>
          <w:rFonts w:ascii="宋体" w:hAnsi="宋体"/>
          <w:color w:val="auto"/>
          <w:sz w:val="24"/>
          <w:szCs w:val="24"/>
          <w:highlight w:val="none"/>
        </w:rPr>
      </w:pPr>
      <w:r>
        <w:rPr>
          <w:rFonts w:hint="eastAsia" w:ascii="宋体" w:hAnsi="宋体"/>
          <w:color w:val="auto"/>
          <w:sz w:val="24"/>
          <w:szCs w:val="24"/>
          <w:highlight w:val="none"/>
        </w:rPr>
        <w:t>17.2 卖方应承担将更换和／或增补的合同设备交货至安装现场和安装的一切风险及费用。更换和/或增补合同设备的交货期限应不得影响该合同设备安装进度或机组的正常运行，但不得迟于卖方责任得到证实后三个月。卖方应将买方急需的合同设备空运至安装现场，费用自付。经卖方同意买方可自行修复较轻缺陷和（或）有损坏的合同设备，费用由卖方支付。</w:t>
      </w:r>
    </w:p>
    <w:p>
      <w:pPr>
        <w:pStyle w:val="48"/>
        <w:autoSpaceDE w:val="0"/>
        <w:autoSpaceDN w:val="0"/>
        <w:spacing w:line="360" w:lineRule="auto"/>
        <w:ind w:left="105" w:leftChars="50" w:firstLine="0"/>
        <w:contextualSpacing/>
        <w:rPr>
          <w:rFonts w:ascii="宋体" w:hAnsi="宋体"/>
          <w:color w:val="auto"/>
          <w:sz w:val="24"/>
          <w:szCs w:val="24"/>
          <w:highlight w:val="none"/>
        </w:rPr>
      </w:pPr>
      <w:r>
        <w:rPr>
          <w:rFonts w:hint="eastAsia" w:ascii="宋体" w:hAnsi="宋体"/>
          <w:color w:val="auto"/>
          <w:sz w:val="24"/>
          <w:szCs w:val="24"/>
          <w:highlight w:val="none"/>
        </w:rPr>
        <w:t>17.3 如果合同设备技术特性和（或）性能保证值有一项或多项不能满足合同规定的要求，且责任在卖方，卖方应在收到买方的通知后3个月内自费采取有效措施达到合同要求，否则，卖方应按本合同第17款和第18款的规定的费率向买方支付赔偿金。</w:t>
      </w:r>
    </w:p>
    <w:p>
      <w:pPr>
        <w:pStyle w:val="48"/>
        <w:autoSpaceDE w:val="0"/>
        <w:autoSpaceDN w:val="0"/>
        <w:spacing w:line="360" w:lineRule="auto"/>
        <w:ind w:left="105" w:leftChars="50" w:firstLine="0"/>
        <w:contextualSpacing/>
        <w:rPr>
          <w:rFonts w:ascii="宋体" w:hAnsi="宋体"/>
          <w:color w:val="auto"/>
          <w:sz w:val="24"/>
          <w:szCs w:val="24"/>
          <w:highlight w:val="none"/>
        </w:rPr>
      </w:pPr>
      <w:r>
        <w:rPr>
          <w:rFonts w:hint="eastAsia" w:ascii="宋体" w:hAnsi="宋体"/>
          <w:color w:val="auto"/>
          <w:sz w:val="24"/>
          <w:szCs w:val="24"/>
          <w:highlight w:val="none"/>
        </w:rPr>
        <w:t>17.4 按合同规定提供的任一合同设备由于卖方有缺陷的设计、制造工艺和材料使合同设备不能按规定的工期投入运行，卖方须按买方要求向买方赔偿。</w:t>
      </w:r>
    </w:p>
    <w:p>
      <w:pPr>
        <w:pStyle w:val="48"/>
        <w:autoSpaceDE w:val="0"/>
        <w:autoSpaceDN w:val="0"/>
        <w:spacing w:line="360" w:lineRule="auto"/>
        <w:ind w:left="105" w:leftChars="50" w:firstLine="0"/>
        <w:contextualSpacing/>
        <w:rPr>
          <w:rFonts w:ascii="宋体" w:hAnsi="宋体"/>
          <w:color w:val="auto"/>
          <w:sz w:val="24"/>
          <w:szCs w:val="24"/>
          <w:highlight w:val="none"/>
        </w:rPr>
      </w:pPr>
      <w:r>
        <w:rPr>
          <w:rFonts w:hint="eastAsia" w:ascii="宋体" w:hAnsi="宋体"/>
          <w:color w:val="auto"/>
          <w:sz w:val="24"/>
          <w:szCs w:val="24"/>
          <w:highlight w:val="none"/>
        </w:rPr>
        <w:t>17.5 卖方在接到买方的索赔通知30日内未作答复，则应理解为卖方已接受该索赔要求。如果在接受买方的索赔要求后30日内，或在买方同意的更长的一段时间里，卖方未能按照上述买方要求的任一方式来处理索赔，则买方将从支付款项和/或履约保证金和/或质量保证金中扣款，不足的应当由卖方补足。</w:t>
      </w:r>
    </w:p>
    <w:p>
      <w:pPr>
        <w:pStyle w:val="48"/>
        <w:autoSpaceDE w:val="0"/>
        <w:autoSpaceDN w:val="0"/>
        <w:spacing w:line="360" w:lineRule="auto"/>
        <w:ind w:left="105" w:leftChars="50" w:firstLine="0"/>
        <w:contextualSpacing/>
        <w:rPr>
          <w:rFonts w:ascii="宋体" w:hAnsi="宋体"/>
          <w:color w:val="auto"/>
          <w:sz w:val="24"/>
          <w:szCs w:val="24"/>
          <w:highlight w:val="none"/>
        </w:rPr>
      </w:pPr>
      <w:r>
        <w:rPr>
          <w:rFonts w:hint="eastAsia" w:ascii="宋体" w:hAnsi="宋体"/>
          <w:color w:val="auto"/>
          <w:sz w:val="24"/>
          <w:szCs w:val="24"/>
          <w:highlight w:val="none"/>
        </w:rPr>
        <w:t>17.6 在合同设备质量保证期内买方因发现有缺陷和（或）有损坏的合同设备而向卖方提出的索赔，在合同设备质量保证期满后的30日内保持有效。</w:t>
      </w:r>
    </w:p>
    <w:p>
      <w:pPr>
        <w:pStyle w:val="48"/>
        <w:autoSpaceDE w:val="0"/>
        <w:autoSpaceDN w:val="0"/>
        <w:spacing w:line="360" w:lineRule="auto"/>
        <w:ind w:left="105" w:leftChars="50" w:firstLine="0"/>
        <w:contextualSpacing/>
        <w:rPr>
          <w:rFonts w:ascii="宋体" w:hAnsi="宋体"/>
          <w:color w:val="auto"/>
          <w:sz w:val="24"/>
          <w:szCs w:val="24"/>
          <w:highlight w:val="none"/>
        </w:rPr>
      </w:pPr>
      <w:r>
        <w:rPr>
          <w:rFonts w:hint="eastAsia" w:ascii="宋体" w:hAnsi="宋体"/>
          <w:color w:val="auto"/>
          <w:sz w:val="24"/>
          <w:szCs w:val="24"/>
          <w:highlight w:val="none"/>
        </w:rPr>
        <w:t>17.7 对于潜在缺陷，买方有权在最后一组最终验收前提出索赔。卖方应按上述买方要求的任一方式来处理索赔。</w:t>
      </w:r>
    </w:p>
    <w:p>
      <w:pPr>
        <w:spacing w:line="360" w:lineRule="auto"/>
        <w:contextualSpacing/>
        <w:outlineLvl w:val="0"/>
        <w:rPr>
          <w:rFonts w:ascii="宋体" w:hAnsi="宋体"/>
          <w:b/>
          <w:bCs/>
          <w:color w:val="auto"/>
          <w:sz w:val="24"/>
          <w:highlight w:val="none"/>
        </w:rPr>
      </w:pPr>
      <w:bookmarkStart w:id="348" w:name="_Toc23283"/>
      <w:bookmarkStart w:id="349" w:name="_Toc16591"/>
      <w:bookmarkStart w:id="350" w:name="_Toc15844"/>
      <w:bookmarkStart w:id="351" w:name="_Toc25425"/>
      <w:r>
        <w:rPr>
          <w:rFonts w:hint="eastAsia" w:ascii="宋体" w:hAnsi="宋体"/>
          <w:b/>
          <w:bCs/>
          <w:color w:val="auto"/>
          <w:sz w:val="24"/>
          <w:highlight w:val="none"/>
        </w:rPr>
        <w:t>18.违约赔偿</w:t>
      </w:r>
      <w:bookmarkEnd w:id="348"/>
      <w:bookmarkEnd w:id="349"/>
      <w:bookmarkEnd w:id="350"/>
      <w:bookmarkEnd w:id="351"/>
    </w:p>
    <w:p>
      <w:pPr>
        <w:pStyle w:val="48"/>
        <w:autoSpaceDE w:val="0"/>
        <w:autoSpaceDN w:val="0"/>
        <w:spacing w:line="360" w:lineRule="auto"/>
        <w:ind w:left="105" w:leftChars="50" w:firstLine="0"/>
        <w:contextualSpacing/>
        <w:rPr>
          <w:rFonts w:ascii="宋体" w:hAnsi="宋体"/>
          <w:color w:val="auto"/>
          <w:sz w:val="24"/>
          <w:szCs w:val="24"/>
          <w:highlight w:val="none"/>
        </w:rPr>
      </w:pPr>
      <w:r>
        <w:rPr>
          <w:rFonts w:hint="eastAsia" w:ascii="宋体" w:hAnsi="宋体"/>
          <w:color w:val="auto"/>
          <w:sz w:val="24"/>
          <w:szCs w:val="24"/>
          <w:highlight w:val="none"/>
        </w:rPr>
        <w:t>18.1 如果由于卖方的原因未能按协议书1.4规定的交货期交货时，卖方须按下列比例向买方支付约定违约金：</w:t>
      </w:r>
    </w:p>
    <w:p>
      <w:pPr>
        <w:autoSpaceDE w:val="0"/>
        <w:autoSpaceDN w:val="0"/>
        <w:spacing w:line="360" w:lineRule="auto"/>
        <w:ind w:firstLine="480" w:firstLineChars="200"/>
        <w:contextualSpacing/>
        <w:rPr>
          <w:rFonts w:ascii="宋体" w:hAnsi="宋体"/>
          <w:color w:val="auto"/>
          <w:kern w:val="0"/>
          <w:sz w:val="24"/>
          <w:highlight w:val="none"/>
        </w:rPr>
      </w:pPr>
      <w:r>
        <w:rPr>
          <w:rFonts w:hint="eastAsia" w:ascii="宋体" w:hAnsi="宋体"/>
          <w:color w:val="auto"/>
          <w:kern w:val="0"/>
          <w:sz w:val="24"/>
          <w:highlight w:val="none"/>
        </w:rPr>
        <w:t>每延误一周（不满一周按一周计算）的赔偿费按迟交货物交货价或未提供服务的服务费用的1%计收，超过两周的赔偿费为迟交货物交货价或未提供服务价格的5%，且买方可考虑终止合同，由此产生的责任与费用由卖方承担，此种情况不视为买方违约。</w:t>
      </w:r>
    </w:p>
    <w:p>
      <w:pPr>
        <w:autoSpaceDE w:val="0"/>
        <w:autoSpaceDN w:val="0"/>
        <w:spacing w:line="360" w:lineRule="auto"/>
        <w:ind w:firstLine="480" w:firstLineChars="200"/>
        <w:contextualSpacing/>
        <w:rPr>
          <w:rFonts w:ascii="宋体" w:hAnsi="宋体"/>
          <w:color w:val="auto"/>
          <w:kern w:val="0"/>
          <w:sz w:val="24"/>
          <w:highlight w:val="none"/>
        </w:rPr>
      </w:pPr>
      <w:r>
        <w:rPr>
          <w:rFonts w:hint="eastAsia" w:ascii="宋体" w:hAnsi="宋体"/>
          <w:color w:val="auto"/>
          <w:kern w:val="0"/>
          <w:sz w:val="24"/>
          <w:highlight w:val="none"/>
        </w:rPr>
        <w:t>卖方支付迟交货约定违约金并不解除卖方继续交货的义务。</w:t>
      </w:r>
      <w:r>
        <w:rPr>
          <w:rFonts w:hint="eastAsia" w:ascii="宋体" w:hAnsi="宋体"/>
          <w:color w:val="auto"/>
          <w:sz w:val="24"/>
          <w:highlight w:val="none"/>
        </w:rPr>
        <w:t>如果是交货设备的附件和/或材料和/或安装工具的迟交，应视同该合同设备的迟交。卖方应按上述规定承担约定违约金。</w:t>
      </w:r>
    </w:p>
    <w:p>
      <w:pPr>
        <w:pStyle w:val="48"/>
        <w:autoSpaceDE w:val="0"/>
        <w:autoSpaceDN w:val="0"/>
        <w:spacing w:line="360" w:lineRule="auto"/>
        <w:ind w:left="105" w:leftChars="50" w:firstLine="0"/>
        <w:contextualSpacing/>
        <w:rPr>
          <w:rFonts w:ascii="宋体" w:hAnsi="宋体"/>
          <w:color w:val="auto"/>
          <w:sz w:val="24"/>
          <w:szCs w:val="24"/>
          <w:highlight w:val="none"/>
        </w:rPr>
      </w:pPr>
      <w:r>
        <w:rPr>
          <w:rFonts w:hint="eastAsia" w:ascii="宋体" w:hAnsi="宋体"/>
          <w:color w:val="auto"/>
          <w:sz w:val="24"/>
          <w:szCs w:val="24"/>
          <w:highlight w:val="none"/>
        </w:rPr>
        <w:t>18.2 如果由于卖方原因技术文件未能按本合同规定的时间提交，则每个图号或每种手册每拖期一天卖方应付给买方500元的约定违约金。卖方支付迟交约定违约金并不解除其继续交付技术文件的义务。</w:t>
      </w:r>
    </w:p>
    <w:p>
      <w:pPr>
        <w:pStyle w:val="48"/>
        <w:autoSpaceDE w:val="0"/>
        <w:autoSpaceDN w:val="0"/>
        <w:spacing w:line="360" w:lineRule="auto"/>
        <w:ind w:left="105" w:leftChars="50" w:firstLine="0"/>
        <w:contextualSpacing/>
        <w:rPr>
          <w:rFonts w:ascii="宋体" w:hAnsi="宋体"/>
          <w:color w:val="auto"/>
          <w:sz w:val="24"/>
          <w:szCs w:val="24"/>
          <w:highlight w:val="none"/>
        </w:rPr>
      </w:pPr>
      <w:r>
        <w:rPr>
          <w:rFonts w:hint="eastAsia" w:ascii="宋体" w:hAnsi="宋体"/>
          <w:color w:val="auto"/>
          <w:sz w:val="24"/>
          <w:szCs w:val="24"/>
          <w:highlight w:val="none"/>
        </w:rPr>
        <w:t>18.3 如果由于卖方责任所造成的设备修理或换货而使合同设备的试运行时间延误时，则卖方虽已承担了修理或换货的义务与费用，但还应按合同第18.1条的规定给买方支付设备迟交约定违约金，时间从发现缺陷之日开始计算至该设备消除缺陷后的日期为止。</w:t>
      </w:r>
    </w:p>
    <w:p>
      <w:pPr>
        <w:pStyle w:val="48"/>
        <w:autoSpaceDE w:val="0"/>
        <w:autoSpaceDN w:val="0"/>
        <w:spacing w:line="360" w:lineRule="auto"/>
        <w:ind w:left="105" w:leftChars="50" w:firstLine="0"/>
        <w:contextualSpacing/>
        <w:rPr>
          <w:rFonts w:ascii="宋体" w:hAnsi="宋体"/>
          <w:color w:val="auto"/>
          <w:sz w:val="24"/>
          <w:szCs w:val="24"/>
          <w:highlight w:val="none"/>
        </w:rPr>
      </w:pPr>
      <w:r>
        <w:rPr>
          <w:rFonts w:hint="eastAsia" w:ascii="宋体" w:hAnsi="宋体"/>
          <w:color w:val="auto"/>
          <w:sz w:val="24"/>
          <w:szCs w:val="24"/>
          <w:highlight w:val="none"/>
        </w:rPr>
        <w:t>18.4 无论何种原因，如果卖方所提供的设备性能不满足合同规定时，卖方将按以下规定向买方支付约定违约金。</w:t>
      </w:r>
    </w:p>
    <w:p>
      <w:pPr>
        <w:autoSpaceDE w:val="0"/>
        <w:autoSpaceDN w:val="0"/>
        <w:spacing w:line="360" w:lineRule="auto"/>
        <w:ind w:firstLine="480" w:firstLineChars="200"/>
        <w:contextualSpacing/>
        <w:rPr>
          <w:rFonts w:ascii="宋体" w:hAnsi="宋体"/>
          <w:color w:val="auto"/>
          <w:kern w:val="0"/>
          <w:sz w:val="24"/>
          <w:highlight w:val="none"/>
        </w:rPr>
      </w:pPr>
      <w:r>
        <w:rPr>
          <w:rFonts w:hint="eastAsia" w:ascii="宋体" w:hAnsi="宋体"/>
          <w:color w:val="auto"/>
          <w:kern w:val="0"/>
          <w:sz w:val="24"/>
          <w:highlight w:val="none"/>
        </w:rPr>
        <w:t>在现场试验和运行中，若有一项和数项性能未达到</w:t>
      </w:r>
      <w:r>
        <w:rPr>
          <w:rFonts w:hint="eastAsia" w:ascii="宋体" w:hAnsi="宋体"/>
          <w:color w:val="auto"/>
          <w:sz w:val="24"/>
          <w:highlight w:val="none"/>
        </w:rPr>
        <w:t>协议书</w:t>
      </w:r>
      <w:r>
        <w:rPr>
          <w:rFonts w:hint="eastAsia" w:ascii="宋体" w:hAnsi="宋体"/>
          <w:color w:val="auto"/>
          <w:kern w:val="0"/>
          <w:sz w:val="24"/>
          <w:highlight w:val="none"/>
        </w:rPr>
        <w:t>1.6、1.7中各项所规定的性能，卖方须承担如下违约金：每项赔付该合同设备总价的1.0%。若设备存在主要缺陷，影响了机组的正常运行，卖方须按买方要求更换设备。</w:t>
      </w:r>
    </w:p>
    <w:p>
      <w:pPr>
        <w:autoSpaceDE w:val="0"/>
        <w:autoSpaceDN w:val="0"/>
        <w:spacing w:line="360" w:lineRule="auto"/>
        <w:contextualSpacing/>
        <w:rPr>
          <w:rFonts w:ascii="宋体" w:hAnsi="宋体"/>
          <w:color w:val="auto"/>
          <w:kern w:val="0"/>
          <w:sz w:val="24"/>
          <w:highlight w:val="none"/>
        </w:rPr>
      </w:pPr>
      <w:r>
        <w:rPr>
          <w:rFonts w:hint="eastAsia" w:ascii="宋体" w:hAnsi="宋体"/>
          <w:color w:val="auto"/>
          <w:kern w:val="0"/>
          <w:sz w:val="24"/>
          <w:highlight w:val="none"/>
        </w:rPr>
        <w:t>合同设备的性能超过保证值时，卖方不得要求买方支付额外的款项。</w:t>
      </w:r>
    </w:p>
    <w:p>
      <w:pPr>
        <w:autoSpaceDE w:val="0"/>
        <w:autoSpaceDN w:val="0"/>
        <w:spacing w:line="360" w:lineRule="auto"/>
        <w:contextualSpacing/>
        <w:rPr>
          <w:rFonts w:ascii="宋体" w:hAnsi="宋体"/>
          <w:color w:val="auto"/>
          <w:sz w:val="24"/>
          <w:highlight w:val="none"/>
        </w:rPr>
      </w:pPr>
      <w:r>
        <w:rPr>
          <w:rFonts w:hint="eastAsia" w:ascii="宋体" w:hAnsi="宋体"/>
          <w:color w:val="auto"/>
          <w:sz w:val="24"/>
          <w:highlight w:val="none"/>
        </w:rPr>
        <w:t>18.5 卖方应当在质量保证期内免费向买方提供技术支持、维修、更换设备等服务，买方在此期间发现设备不符合本合同要求的应及时书面要求卖方提供上述服务，卖方应于7日内提供服务；卖方不履行或怠于履行上述义务的，买方可自行或委托第三方对设备进行修理、更换、技术支持，所产生的费用自保证金中扣除，不足的部分应由卖方承担。</w:t>
      </w:r>
    </w:p>
    <w:p>
      <w:pPr>
        <w:autoSpaceDE w:val="0"/>
        <w:autoSpaceDN w:val="0"/>
        <w:spacing w:line="360" w:lineRule="auto"/>
        <w:contextualSpacing/>
        <w:rPr>
          <w:rFonts w:ascii="宋体" w:hAnsi="宋体"/>
          <w:color w:val="auto"/>
          <w:sz w:val="24"/>
          <w:highlight w:val="none"/>
        </w:rPr>
      </w:pPr>
      <w:r>
        <w:rPr>
          <w:rFonts w:hint="eastAsia" w:ascii="宋体" w:hAnsi="宋体"/>
          <w:color w:val="auto"/>
          <w:sz w:val="24"/>
          <w:highlight w:val="none"/>
        </w:rPr>
        <w:t>18.6 卖方不履行本合同约定的其他义务，对买方造成损失的按实际损失进行赔偿。</w:t>
      </w:r>
    </w:p>
    <w:p>
      <w:pPr>
        <w:autoSpaceDE w:val="0"/>
        <w:autoSpaceDN w:val="0"/>
        <w:spacing w:line="360" w:lineRule="auto"/>
        <w:contextualSpacing/>
        <w:rPr>
          <w:rFonts w:ascii="宋体" w:hAnsi="宋体"/>
          <w:color w:val="auto"/>
          <w:sz w:val="24"/>
          <w:highlight w:val="none"/>
        </w:rPr>
      </w:pPr>
      <w:r>
        <w:rPr>
          <w:rFonts w:hint="eastAsia" w:ascii="宋体" w:hAnsi="宋体"/>
          <w:color w:val="auto"/>
          <w:sz w:val="24"/>
          <w:highlight w:val="none"/>
        </w:rPr>
        <w:t>18.7 卖方擅自将本合同项下权利义务转让给第三方的，卖方应承担本合同总价的30%的违约金，买方有权保留合同解除权。卖方承担该项违约金不免除本合同项下其他义务的履行。</w:t>
      </w:r>
    </w:p>
    <w:p>
      <w:pPr>
        <w:pStyle w:val="48"/>
        <w:autoSpaceDE w:val="0"/>
        <w:autoSpaceDN w:val="0"/>
        <w:spacing w:line="360" w:lineRule="auto"/>
        <w:ind w:left="105" w:leftChars="50" w:firstLine="0"/>
        <w:contextualSpacing/>
        <w:rPr>
          <w:rFonts w:ascii="宋体" w:hAnsi="宋体"/>
          <w:color w:val="auto"/>
          <w:sz w:val="24"/>
          <w:szCs w:val="24"/>
          <w:highlight w:val="none"/>
        </w:rPr>
      </w:pPr>
      <w:r>
        <w:rPr>
          <w:rFonts w:hint="eastAsia" w:ascii="宋体" w:hAnsi="宋体"/>
          <w:color w:val="auto"/>
          <w:sz w:val="24"/>
          <w:szCs w:val="24"/>
          <w:highlight w:val="none"/>
        </w:rPr>
        <w:t>18.8 应理解这里所指的约定违约金是确定的、经双方一致同意的，买方有权得到此约定违约金而不提供所遭受的实际损失的证明。买方可根据自己的方便从应支付给卖方的合同款项中和/或从质量保证金中扣减该约定违约金。</w:t>
      </w:r>
    </w:p>
    <w:p>
      <w:pPr>
        <w:pStyle w:val="48"/>
        <w:autoSpaceDE w:val="0"/>
        <w:autoSpaceDN w:val="0"/>
        <w:spacing w:line="360" w:lineRule="auto"/>
        <w:ind w:left="105" w:leftChars="50" w:firstLine="0"/>
        <w:contextualSpacing/>
        <w:rPr>
          <w:rFonts w:ascii="宋体" w:hAnsi="宋体"/>
          <w:color w:val="auto"/>
          <w:sz w:val="24"/>
          <w:szCs w:val="24"/>
          <w:highlight w:val="none"/>
        </w:rPr>
      </w:pPr>
      <w:r>
        <w:rPr>
          <w:rFonts w:hint="eastAsia" w:ascii="宋体" w:hAnsi="宋体"/>
          <w:color w:val="auto"/>
          <w:sz w:val="24"/>
          <w:szCs w:val="24"/>
          <w:highlight w:val="none"/>
        </w:rPr>
        <w:t>18.9 如果买方不能按本合同规定按时向卖方支付合同款，应按中国人民银行同期贷款利率支付相应合同款的利息作为违约金。</w:t>
      </w:r>
    </w:p>
    <w:p>
      <w:pPr>
        <w:spacing w:line="360" w:lineRule="auto"/>
        <w:contextualSpacing/>
        <w:outlineLvl w:val="0"/>
        <w:rPr>
          <w:rFonts w:ascii="宋体" w:hAnsi="宋体"/>
          <w:b/>
          <w:bCs/>
          <w:color w:val="auto"/>
          <w:sz w:val="24"/>
          <w:highlight w:val="none"/>
        </w:rPr>
      </w:pPr>
      <w:bookmarkStart w:id="352" w:name="_Toc3793"/>
      <w:bookmarkStart w:id="353" w:name="_Toc28557"/>
      <w:bookmarkStart w:id="354" w:name="_Toc19372"/>
      <w:bookmarkStart w:id="355" w:name="_Toc10734"/>
      <w:r>
        <w:rPr>
          <w:rFonts w:hint="eastAsia" w:ascii="宋体" w:hAnsi="宋体"/>
          <w:b/>
          <w:bCs/>
          <w:color w:val="auto"/>
          <w:sz w:val="24"/>
          <w:highlight w:val="none"/>
        </w:rPr>
        <w:t>19.知识产权</w:t>
      </w:r>
      <w:bookmarkEnd w:id="352"/>
      <w:bookmarkEnd w:id="353"/>
      <w:bookmarkEnd w:id="354"/>
      <w:bookmarkEnd w:id="355"/>
    </w:p>
    <w:p>
      <w:pPr>
        <w:autoSpaceDE w:val="0"/>
        <w:autoSpaceDN w:val="0"/>
        <w:spacing w:line="360" w:lineRule="auto"/>
        <w:ind w:firstLine="480" w:firstLineChars="200"/>
        <w:contextualSpacing/>
        <w:rPr>
          <w:rFonts w:ascii="宋体" w:hAnsi="宋体"/>
          <w:color w:val="auto"/>
          <w:kern w:val="0"/>
          <w:sz w:val="24"/>
          <w:highlight w:val="none"/>
        </w:rPr>
      </w:pPr>
      <w:r>
        <w:rPr>
          <w:rFonts w:hint="eastAsia" w:ascii="宋体" w:hAnsi="宋体"/>
          <w:color w:val="auto"/>
          <w:kern w:val="0"/>
          <w:sz w:val="24"/>
          <w:highlight w:val="none"/>
        </w:rPr>
        <w:t>卖方保证买方不因使用了卖方提供的合同设备的设计、工艺、方案、技术资料、商标、专利等而产生侵权，若有任何侵权行为，则卖方必须自费处理由此产生的一切索赔和诉讼等，且卖方处理上述事项不得影响设备交货期。</w:t>
      </w:r>
    </w:p>
    <w:p>
      <w:pPr>
        <w:spacing w:line="360" w:lineRule="auto"/>
        <w:contextualSpacing/>
        <w:outlineLvl w:val="0"/>
        <w:rPr>
          <w:rFonts w:ascii="宋体" w:hAnsi="宋体"/>
          <w:b/>
          <w:bCs/>
          <w:color w:val="auto"/>
          <w:sz w:val="24"/>
          <w:highlight w:val="none"/>
        </w:rPr>
      </w:pPr>
      <w:bookmarkStart w:id="356" w:name="_Toc5797"/>
      <w:bookmarkStart w:id="357" w:name="_Toc23382"/>
      <w:bookmarkStart w:id="358" w:name="_Toc15724"/>
      <w:bookmarkStart w:id="359" w:name="_Toc12270"/>
      <w:r>
        <w:rPr>
          <w:rFonts w:hint="eastAsia" w:ascii="宋体" w:hAnsi="宋体"/>
          <w:b/>
          <w:bCs/>
          <w:color w:val="auto"/>
          <w:sz w:val="24"/>
          <w:highlight w:val="none"/>
        </w:rPr>
        <w:t>20.变更指令</w:t>
      </w:r>
      <w:bookmarkEnd w:id="356"/>
      <w:bookmarkEnd w:id="357"/>
      <w:bookmarkEnd w:id="358"/>
      <w:bookmarkEnd w:id="359"/>
    </w:p>
    <w:p>
      <w:pPr>
        <w:autoSpaceDE w:val="0"/>
        <w:autoSpaceDN w:val="0"/>
        <w:spacing w:line="360" w:lineRule="auto"/>
        <w:ind w:firstLine="480" w:firstLineChars="200"/>
        <w:contextualSpacing/>
        <w:rPr>
          <w:rFonts w:ascii="宋体" w:hAnsi="宋体"/>
          <w:color w:val="auto"/>
          <w:kern w:val="0"/>
          <w:sz w:val="24"/>
          <w:highlight w:val="none"/>
        </w:rPr>
      </w:pPr>
      <w:r>
        <w:rPr>
          <w:rFonts w:hint="eastAsia" w:ascii="宋体" w:hAnsi="宋体"/>
          <w:color w:val="auto"/>
          <w:kern w:val="0"/>
          <w:sz w:val="24"/>
          <w:highlight w:val="none"/>
        </w:rPr>
        <w:t>买方可在任何时候用书面方式通知卖方在合同总的范围内变更下列各项中的一项或多项：</w:t>
      </w:r>
    </w:p>
    <w:p>
      <w:pPr>
        <w:autoSpaceDE w:val="0"/>
        <w:autoSpaceDN w:val="0"/>
        <w:spacing w:line="360" w:lineRule="auto"/>
        <w:ind w:firstLine="480" w:firstLineChars="200"/>
        <w:contextualSpacing/>
        <w:rPr>
          <w:rFonts w:ascii="宋体" w:hAnsi="宋体"/>
          <w:color w:val="auto"/>
          <w:kern w:val="0"/>
          <w:sz w:val="24"/>
          <w:highlight w:val="none"/>
        </w:rPr>
      </w:pPr>
      <w:r>
        <w:rPr>
          <w:rFonts w:hint="eastAsia" w:ascii="宋体" w:hAnsi="宋体"/>
          <w:color w:val="auto"/>
          <w:kern w:val="0"/>
          <w:sz w:val="24"/>
          <w:highlight w:val="none"/>
        </w:rPr>
        <w:t>（1）专为买方制造的合同项下合同设备的图纸、设计或技术条款；</w:t>
      </w:r>
    </w:p>
    <w:p>
      <w:pPr>
        <w:autoSpaceDE w:val="0"/>
        <w:autoSpaceDN w:val="0"/>
        <w:spacing w:line="360" w:lineRule="auto"/>
        <w:ind w:firstLine="480" w:firstLineChars="200"/>
        <w:contextualSpacing/>
        <w:rPr>
          <w:rFonts w:ascii="宋体" w:hAnsi="宋体"/>
          <w:color w:val="auto"/>
          <w:kern w:val="0"/>
          <w:sz w:val="24"/>
          <w:highlight w:val="none"/>
        </w:rPr>
      </w:pPr>
      <w:r>
        <w:rPr>
          <w:rFonts w:hint="eastAsia" w:ascii="宋体" w:hAnsi="宋体"/>
          <w:color w:val="auto"/>
          <w:kern w:val="0"/>
          <w:sz w:val="24"/>
          <w:highlight w:val="none"/>
        </w:rPr>
        <w:t>（2）运输或包装的办法；</w:t>
      </w:r>
    </w:p>
    <w:p>
      <w:pPr>
        <w:autoSpaceDE w:val="0"/>
        <w:autoSpaceDN w:val="0"/>
        <w:spacing w:line="360" w:lineRule="auto"/>
        <w:ind w:firstLine="480" w:firstLineChars="200"/>
        <w:contextualSpacing/>
        <w:rPr>
          <w:rFonts w:ascii="宋体" w:hAnsi="宋体"/>
          <w:color w:val="auto"/>
          <w:kern w:val="0"/>
          <w:sz w:val="24"/>
          <w:highlight w:val="none"/>
        </w:rPr>
      </w:pPr>
      <w:r>
        <w:rPr>
          <w:rFonts w:hint="eastAsia" w:ascii="宋体" w:hAnsi="宋体"/>
          <w:color w:val="auto"/>
          <w:kern w:val="0"/>
          <w:sz w:val="24"/>
          <w:highlight w:val="none"/>
        </w:rPr>
        <w:t>（3）</w:t>
      </w:r>
      <w:r>
        <w:rPr>
          <w:rFonts w:hint="eastAsia" w:ascii="宋体" w:hAnsi="宋体"/>
          <w:color w:val="auto"/>
          <w:sz w:val="24"/>
          <w:highlight w:val="none"/>
        </w:rPr>
        <w:t>工作进度</w:t>
      </w:r>
      <w:r>
        <w:rPr>
          <w:rFonts w:hint="eastAsia" w:ascii="宋体" w:hAnsi="宋体"/>
          <w:color w:val="auto"/>
          <w:kern w:val="0"/>
          <w:sz w:val="24"/>
          <w:highlight w:val="none"/>
        </w:rPr>
        <w:t>；</w:t>
      </w:r>
    </w:p>
    <w:p>
      <w:pPr>
        <w:autoSpaceDE w:val="0"/>
        <w:autoSpaceDN w:val="0"/>
        <w:spacing w:line="360" w:lineRule="auto"/>
        <w:ind w:firstLine="480" w:firstLineChars="200"/>
        <w:contextualSpacing/>
        <w:rPr>
          <w:rFonts w:ascii="宋体" w:hAnsi="宋体"/>
          <w:color w:val="auto"/>
          <w:kern w:val="0"/>
          <w:sz w:val="24"/>
          <w:highlight w:val="none"/>
        </w:rPr>
      </w:pPr>
      <w:r>
        <w:rPr>
          <w:rFonts w:hint="eastAsia" w:ascii="宋体" w:hAnsi="宋体"/>
          <w:color w:val="auto"/>
          <w:kern w:val="0"/>
          <w:sz w:val="24"/>
          <w:highlight w:val="none"/>
        </w:rPr>
        <w:t>（4）卖方提供的服务。</w:t>
      </w:r>
    </w:p>
    <w:p>
      <w:pPr>
        <w:spacing w:line="360" w:lineRule="auto"/>
        <w:contextualSpacing/>
        <w:outlineLvl w:val="0"/>
        <w:rPr>
          <w:rFonts w:ascii="宋体" w:hAnsi="宋体"/>
          <w:b/>
          <w:bCs/>
          <w:color w:val="auto"/>
          <w:sz w:val="24"/>
          <w:highlight w:val="none"/>
        </w:rPr>
      </w:pPr>
      <w:bookmarkStart w:id="360" w:name="_Toc13005"/>
      <w:bookmarkStart w:id="361" w:name="_Toc28959"/>
      <w:bookmarkStart w:id="362" w:name="_Toc31371"/>
      <w:bookmarkStart w:id="363" w:name="_Toc14715"/>
      <w:r>
        <w:rPr>
          <w:rFonts w:hint="eastAsia" w:ascii="宋体" w:hAnsi="宋体"/>
          <w:b/>
          <w:bCs/>
          <w:color w:val="auto"/>
          <w:sz w:val="24"/>
          <w:highlight w:val="none"/>
        </w:rPr>
        <w:t>21.合同修改</w:t>
      </w:r>
      <w:bookmarkEnd w:id="360"/>
      <w:bookmarkEnd w:id="361"/>
      <w:bookmarkEnd w:id="362"/>
      <w:bookmarkEnd w:id="363"/>
    </w:p>
    <w:p>
      <w:pPr>
        <w:autoSpaceDE w:val="0"/>
        <w:autoSpaceDN w:val="0"/>
        <w:spacing w:line="360" w:lineRule="auto"/>
        <w:ind w:firstLine="480" w:firstLineChars="200"/>
        <w:contextualSpacing/>
        <w:rPr>
          <w:rFonts w:ascii="宋体" w:hAnsi="宋体"/>
          <w:color w:val="auto"/>
          <w:kern w:val="0"/>
          <w:sz w:val="24"/>
          <w:highlight w:val="none"/>
        </w:rPr>
      </w:pPr>
      <w:r>
        <w:rPr>
          <w:rFonts w:hint="eastAsia" w:ascii="宋体" w:hAnsi="宋体"/>
          <w:color w:val="auto"/>
          <w:kern w:val="0"/>
          <w:sz w:val="24"/>
          <w:highlight w:val="none"/>
        </w:rPr>
        <w:t>对合同条款做出任何改动或偏离，均需买卖双方协商一致并达成书面修改协议，书面修改协议与本合同具有同等的法律效力。</w:t>
      </w:r>
    </w:p>
    <w:p>
      <w:pPr>
        <w:spacing w:line="360" w:lineRule="auto"/>
        <w:contextualSpacing/>
        <w:outlineLvl w:val="0"/>
        <w:rPr>
          <w:rFonts w:ascii="宋体" w:hAnsi="宋体"/>
          <w:b/>
          <w:bCs/>
          <w:color w:val="auto"/>
          <w:sz w:val="24"/>
          <w:highlight w:val="none"/>
        </w:rPr>
      </w:pPr>
      <w:bookmarkStart w:id="364" w:name="_Toc10651"/>
      <w:bookmarkStart w:id="365" w:name="_Toc21733"/>
      <w:bookmarkStart w:id="366" w:name="_Toc5418"/>
      <w:bookmarkStart w:id="367" w:name="_Toc3830"/>
      <w:r>
        <w:rPr>
          <w:rFonts w:hint="eastAsia" w:ascii="宋体" w:hAnsi="宋体"/>
          <w:b/>
          <w:bCs/>
          <w:color w:val="auto"/>
          <w:sz w:val="24"/>
          <w:highlight w:val="none"/>
        </w:rPr>
        <w:t>22.转让和分包</w:t>
      </w:r>
      <w:bookmarkEnd w:id="364"/>
      <w:bookmarkEnd w:id="365"/>
      <w:bookmarkEnd w:id="366"/>
      <w:bookmarkEnd w:id="367"/>
    </w:p>
    <w:p>
      <w:pPr>
        <w:spacing w:line="360" w:lineRule="auto"/>
        <w:ind w:firstLine="480" w:firstLineChars="200"/>
        <w:contextualSpacing/>
        <w:outlineLvl w:val="0"/>
        <w:rPr>
          <w:rFonts w:ascii="宋体" w:hAnsi="宋体"/>
          <w:color w:val="auto"/>
          <w:sz w:val="24"/>
          <w:highlight w:val="none"/>
        </w:rPr>
      </w:pPr>
      <w:bookmarkStart w:id="368" w:name="_Toc28882"/>
      <w:bookmarkStart w:id="369" w:name="_Toc18100"/>
      <w:bookmarkStart w:id="370" w:name="_Toc198"/>
      <w:bookmarkStart w:id="371" w:name="_Toc395"/>
      <w:r>
        <w:rPr>
          <w:rFonts w:hint="eastAsia" w:ascii="宋体" w:hAnsi="宋体"/>
          <w:color w:val="auto"/>
          <w:sz w:val="24"/>
          <w:highlight w:val="none"/>
        </w:rPr>
        <w:t>本项目不允许转让和分包。</w:t>
      </w:r>
      <w:bookmarkEnd w:id="368"/>
      <w:bookmarkEnd w:id="369"/>
      <w:bookmarkEnd w:id="370"/>
      <w:bookmarkEnd w:id="371"/>
    </w:p>
    <w:p>
      <w:pPr>
        <w:spacing w:line="360" w:lineRule="auto"/>
        <w:contextualSpacing/>
        <w:outlineLvl w:val="0"/>
        <w:rPr>
          <w:rFonts w:ascii="宋体" w:hAnsi="宋体"/>
          <w:b/>
          <w:bCs/>
          <w:color w:val="auto"/>
          <w:sz w:val="24"/>
          <w:highlight w:val="none"/>
        </w:rPr>
      </w:pPr>
      <w:bookmarkStart w:id="372" w:name="_Toc12278"/>
      <w:bookmarkStart w:id="373" w:name="_Toc1944"/>
      <w:bookmarkStart w:id="374" w:name="_Toc14139"/>
      <w:bookmarkStart w:id="375" w:name="_Toc13421"/>
      <w:r>
        <w:rPr>
          <w:rFonts w:hint="eastAsia" w:ascii="宋体" w:hAnsi="宋体"/>
          <w:b/>
          <w:bCs/>
          <w:color w:val="auto"/>
          <w:sz w:val="24"/>
          <w:highlight w:val="none"/>
        </w:rPr>
        <w:t>23.法定语言和计量单位</w:t>
      </w:r>
      <w:bookmarkEnd w:id="372"/>
      <w:bookmarkEnd w:id="373"/>
      <w:bookmarkEnd w:id="374"/>
      <w:bookmarkEnd w:id="375"/>
    </w:p>
    <w:p>
      <w:pPr>
        <w:pStyle w:val="48"/>
        <w:autoSpaceDE w:val="0"/>
        <w:autoSpaceDN w:val="0"/>
        <w:spacing w:line="360" w:lineRule="auto"/>
        <w:ind w:left="105" w:leftChars="50" w:firstLine="0"/>
        <w:contextualSpacing/>
        <w:rPr>
          <w:rFonts w:ascii="宋体" w:hAnsi="宋体"/>
          <w:color w:val="auto"/>
          <w:sz w:val="24"/>
          <w:szCs w:val="24"/>
          <w:highlight w:val="none"/>
        </w:rPr>
      </w:pPr>
      <w:r>
        <w:rPr>
          <w:rFonts w:hint="eastAsia" w:ascii="宋体" w:hAnsi="宋体"/>
          <w:color w:val="auto"/>
          <w:sz w:val="24"/>
          <w:szCs w:val="24"/>
          <w:highlight w:val="none"/>
        </w:rPr>
        <w:t>23.1 本合同以及买卖双方与合同有关的信函和其它文件均应以简体中文书写。</w:t>
      </w:r>
    </w:p>
    <w:p>
      <w:pPr>
        <w:pStyle w:val="48"/>
        <w:autoSpaceDE w:val="0"/>
        <w:autoSpaceDN w:val="0"/>
        <w:spacing w:line="360" w:lineRule="auto"/>
        <w:ind w:left="105" w:leftChars="50" w:firstLine="0"/>
        <w:contextualSpacing/>
        <w:rPr>
          <w:rFonts w:ascii="宋体" w:hAnsi="宋体"/>
          <w:color w:val="auto"/>
          <w:sz w:val="24"/>
          <w:szCs w:val="24"/>
          <w:highlight w:val="none"/>
        </w:rPr>
      </w:pPr>
      <w:r>
        <w:rPr>
          <w:rFonts w:hint="eastAsia" w:ascii="宋体" w:hAnsi="宋体"/>
          <w:color w:val="auto"/>
          <w:sz w:val="24"/>
          <w:szCs w:val="24"/>
          <w:highlight w:val="none"/>
        </w:rPr>
        <w:t>23.2 除技术条款中另有规定外，所有计量单位均采用国际度量制SI单位。</w:t>
      </w:r>
    </w:p>
    <w:p>
      <w:pPr>
        <w:spacing w:line="360" w:lineRule="auto"/>
        <w:contextualSpacing/>
        <w:outlineLvl w:val="0"/>
        <w:rPr>
          <w:rFonts w:ascii="宋体" w:hAnsi="宋体"/>
          <w:b/>
          <w:bCs/>
          <w:color w:val="auto"/>
          <w:sz w:val="24"/>
          <w:highlight w:val="none"/>
        </w:rPr>
      </w:pPr>
      <w:bookmarkStart w:id="376" w:name="_Toc11551"/>
      <w:bookmarkStart w:id="377" w:name="_Toc30953"/>
      <w:bookmarkStart w:id="378" w:name="_Toc25837"/>
      <w:bookmarkStart w:id="379" w:name="_Toc4310"/>
      <w:r>
        <w:rPr>
          <w:rFonts w:hint="eastAsia" w:ascii="宋体" w:hAnsi="宋体"/>
          <w:b/>
          <w:bCs/>
          <w:color w:val="auto"/>
          <w:sz w:val="24"/>
          <w:highlight w:val="none"/>
        </w:rPr>
        <w:t>24.不可抗力</w:t>
      </w:r>
      <w:bookmarkEnd w:id="376"/>
      <w:bookmarkEnd w:id="377"/>
      <w:bookmarkEnd w:id="378"/>
      <w:bookmarkEnd w:id="379"/>
    </w:p>
    <w:p>
      <w:pPr>
        <w:pStyle w:val="48"/>
        <w:autoSpaceDE w:val="0"/>
        <w:autoSpaceDN w:val="0"/>
        <w:spacing w:line="360" w:lineRule="auto"/>
        <w:ind w:left="105" w:leftChars="50" w:firstLine="0"/>
        <w:contextualSpacing/>
        <w:rPr>
          <w:rFonts w:ascii="宋体" w:hAnsi="宋体"/>
          <w:color w:val="auto"/>
          <w:sz w:val="24"/>
          <w:szCs w:val="24"/>
          <w:highlight w:val="none"/>
        </w:rPr>
      </w:pPr>
      <w:r>
        <w:rPr>
          <w:rFonts w:hint="eastAsia" w:ascii="宋体" w:hAnsi="宋体"/>
          <w:color w:val="auto"/>
          <w:sz w:val="24"/>
          <w:szCs w:val="24"/>
          <w:highlight w:val="none"/>
        </w:rPr>
        <w:t>24.1 不可抗力事件系指买卖双方在签订合同时所不能预见、不能避免、不能克服的自然灾害以及战争、动乱等社会因素。</w:t>
      </w:r>
    </w:p>
    <w:p>
      <w:pPr>
        <w:pStyle w:val="48"/>
        <w:autoSpaceDE w:val="0"/>
        <w:autoSpaceDN w:val="0"/>
        <w:spacing w:line="360" w:lineRule="auto"/>
        <w:ind w:left="105" w:leftChars="50" w:firstLine="0"/>
        <w:contextualSpacing/>
        <w:rPr>
          <w:rFonts w:ascii="宋体" w:hAnsi="宋体"/>
          <w:color w:val="auto"/>
          <w:sz w:val="24"/>
          <w:szCs w:val="24"/>
          <w:highlight w:val="none"/>
        </w:rPr>
      </w:pPr>
      <w:r>
        <w:rPr>
          <w:rFonts w:hint="eastAsia" w:ascii="宋体" w:hAnsi="宋体"/>
          <w:color w:val="auto"/>
          <w:sz w:val="24"/>
          <w:szCs w:val="24"/>
          <w:highlight w:val="none"/>
        </w:rPr>
        <w:t>24.2 不可抗力对合同双方均适用。在签订合同后，由于不可抗力不能履行合同时，双方对由此产生的损失，均不得向对方提出索赔要求。</w:t>
      </w:r>
    </w:p>
    <w:p>
      <w:pPr>
        <w:pStyle w:val="48"/>
        <w:autoSpaceDE w:val="0"/>
        <w:autoSpaceDN w:val="0"/>
        <w:spacing w:line="360" w:lineRule="auto"/>
        <w:ind w:left="105" w:leftChars="50" w:firstLine="0"/>
        <w:contextualSpacing/>
        <w:rPr>
          <w:rFonts w:ascii="宋体" w:hAnsi="宋体"/>
          <w:color w:val="auto"/>
          <w:sz w:val="24"/>
          <w:szCs w:val="24"/>
          <w:highlight w:val="none"/>
        </w:rPr>
      </w:pPr>
      <w:r>
        <w:rPr>
          <w:rFonts w:hint="eastAsia" w:ascii="宋体" w:hAnsi="宋体"/>
          <w:color w:val="auto"/>
          <w:sz w:val="24"/>
          <w:szCs w:val="24"/>
          <w:highlight w:val="none"/>
        </w:rPr>
        <w:t>24.3 由于不可抗力使合同无法如约履行时，经双方协商并达成书面协议后，允许变更或解除合同。</w:t>
      </w:r>
    </w:p>
    <w:p>
      <w:pPr>
        <w:pStyle w:val="48"/>
        <w:autoSpaceDE w:val="0"/>
        <w:autoSpaceDN w:val="0"/>
        <w:spacing w:line="360" w:lineRule="auto"/>
        <w:ind w:left="105" w:leftChars="50" w:firstLine="0"/>
        <w:contextualSpacing/>
        <w:rPr>
          <w:rFonts w:ascii="宋体" w:hAnsi="宋体"/>
          <w:color w:val="auto"/>
          <w:sz w:val="24"/>
          <w:szCs w:val="24"/>
          <w:highlight w:val="none"/>
        </w:rPr>
      </w:pPr>
      <w:r>
        <w:rPr>
          <w:rFonts w:hint="eastAsia" w:ascii="宋体" w:hAnsi="宋体"/>
          <w:color w:val="auto"/>
          <w:sz w:val="24"/>
          <w:szCs w:val="24"/>
          <w:highlight w:val="none"/>
        </w:rPr>
        <w:t>24.4 一方遇不可抗力事故后，应立即通知对方，并出具由国家公证机关签署的不可抗力事故证明书。</w:t>
      </w:r>
    </w:p>
    <w:p>
      <w:pPr>
        <w:spacing w:line="360" w:lineRule="auto"/>
        <w:contextualSpacing/>
        <w:outlineLvl w:val="0"/>
        <w:rPr>
          <w:rFonts w:ascii="宋体" w:hAnsi="宋体"/>
          <w:b/>
          <w:bCs/>
          <w:color w:val="auto"/>
          <w:sz w:val="24"/>
          <w:highlight w:val="none"/>
        </w:rPr>
      </w:pPr>
      <w:bookmarkStart w:id="380" w:name="_Toc23322"/>
      <w:bookmarkStart w:id="381" w:name="_Toc25646"/>
      <w:bookmarkStart w:id="382" w:name="_Toc29143"/>
      <w:bookmarkStart w:id="383" w:name="_Toc7584"/>
      <w:r>
        <w:rPr>
          <w:rFonts w:hint="eastAsia" w:ascii="宋体" w:hAnsi="宋体"/>
          <w:b/>
          <w:bCs/>
          <w:color w:val="auto"/>
          <w:sz w:val="24"/>
          <w:highlight w:val="none"/>
        </w:rPr>
        <w:t>25.税费</w:t>
      </w:r>
      <w:bookmarkEnd w:id="380"/>
      <w:bookmarkEnd w:id="381"/>
      <w:bookmarkEnd w:id="382"/>
      <w:bookmarkEnd w:id="383"/>
    </w:p>
    <w:p>
      <w:pPr>
        <w:autoSpaceDE w:val="0"/>
        <w:autoSpaceDN w:val="0"/>
        <w:spacing w:line="360" w:lineRule="auto"/>
        <w:ind w:firstLine="480" w:firstLineChars="200"/>
        <w:contextualSpacing/>
        <w:rPr>
          <w:rFonts w:ascii="宋体" w:hAnsi="宋体"/>
          <w:color w:val="auto"/>
          <w:kern w:val="0"/>
          <w:sz w:val="24"/>
          <w:highlight w:val="none"/>
        </w:rPr>
      </w:pPr>
      <w:r>
        <w:rPr>
          <w:rFonts w:hint="eastAsia" w:ascii="宋体" w:hAnsi="宋体"/>
          <w:color w:val="auto"/>
          <w:kern w:val="0"/>
          <w:sz w:val="24"/>
          <w:highlight w:val="none"/>
        </w:rPr>
        <w:t>卖方应承担纳税的义务，税种和税额必须符合中华人民共和国有关法律/法规/政策的规定要求。有关执行本合同的一切税费均应由卖方支付。</w:t>
      </w:r>
    </w:p>
    <w:p>
      <w:pPr>
        <w:spacing w:line="360" w:lineRule="auto"/>
        <w:contextualSpacing/>
        <w:outlineLvl w:val="0"/>
        <w:rPr>
          <w:rFonts w:ascii="宋体" w:hAnsi="宋体"/>
          <w:b/>
          <w:bCs/>
          <w:color w:val="auto"/>
          <w:sz w:val="24"/>
          <w:highlight w:val="none"/>
        </w:rPr>
      </w:pPr>
      <w:bookmarkStart w:id="384" w:name="_Toc8505"/>
      <w:bookmarkStart w:id="385" w:name="_Toc4901"/>
      <w:bookmarkStart w:id="386" w:name="_Toc11661"/>
      <w:bookmarkStart w:id="387" w:name="_Toc19876"/>
      <w:r>
        <w:rPr>
          <w:rFonts w:hint="eastAsia" w:ascii="宋体" w:hAnsi="宋体"/>
          <w:b/>
          <w:bCs/>
          <w:color w:val="auto"/>
          <w:sz w:val="24"/>
          <w:highlight w:val="none"/>
        </w:rPr>
        <w:t>26.适用法律</w:t>
      </w:r>
      <w:bookmarkEnd w:id="384"/>
      <w:bookmarkEnd w:id="385"/>
      <w:bookmarkEnd w:id="386"/>
      <w:bookmarkEnd w:id="387"/>
    </w:p>
    <w:p>
      <w:pPr>
        <w:autoSpaceDE w:val="0"/>
        <w:autoSpaceDN w:val="0"/>
        <w:spacing w:line="360" w:lineRule="auto"/>
        <w:ind w:firstLine="480" w:firstLineChars="200"/>
        <w:contextualSpacing/>
        <w:rPr>
          <w:rFonts w:ascii="宋体" w:hAnsi="宋体"/>
          <w:color w:val="auto"/>
          <w:kern w:val="0"/>
          <w:sz w:val="24"/>
          <w:highlight w:val="none"/>
        </w:rPr>
      </w:pPr>
      <w:r>
        <w:rPr>
          <w:rFonts w:hint="eastAsia" w:ascii="宋体" w:hAnsi="宋体"/>
          <w:color w:val="auto"/>
          <w:kern w:val="0"/>
          <w:sz w:val="24"/>
          <w:highlight w:val="none"/>
        </w:rPr>
        <w:t>本合同适用中华人民共和国的现行法律/法规/政策。</w:t>
      </w:r>
    </w:p>
    <w:p>
      <w:pPr>
        <w:spacing w:line="360" w:lineRule="auto"/>
        <w:contextualSpacing/>
        <w:outlineLvl w:val="0"/>
        <w:rPr>
          <w:rFonts w:ascii="宋体" w:hAnsi="宋体"/>
          <w:b/>
          <w:bCs/>
          <w:color w:val="auto"/>
          <w:sz w:val="24"/>
          <w:highlight w:val="none"/>
        </w:rPr>
      </w:pPr>
      <w:bookmarkStart w:id="388" w:name="_Toc23900"/>
      <w:bookmarkStart w:id="389" w:name="_Toc26783"/>
      <w:bookmarkStart w:id="390" w:name="_Toc9661"/>
      <w:bookmarkStart w:id="391" w:name="_Toc17697"/>
      <w:r>
        <w:rPr>
          <w:rFonts w:hint="eastAsia" w:ascii="宋体" w:hAnsi="宋体"/>
          <w:b/>
          <w:bCs/>
          <w:color w:val="auto"/>
          <w:sz w:val="24"/>
          <w:highlight w:val="none"/>
        </w:rPr>
        <w:t>27.争议的解决</w:t>
      </w:r>
      <w:bookmarkEnd w:id="388"/>
      <w:bookmarkEnd w:id="389"/>
      <w:bookmarkEnd w:id="390"/>
      <w:bookmarkEnd w:id="391"/>
    </w:p>
    <w:p>
      <w:pPr>
        <w:pStyle w:val="48"/>
        <w:autoSpaceDE w:val="0"/>
        <w:autoSpaceDN w:val="0"/>
        <w:spacing w:line="360" w:lineRule="auto"/>
        <w:ind w:left="105" w:leftChars="50" w:firstLine="240" w:firstLineChars="100"/>
        <w:contextualSpacing/>
        <w:rPr>
          <w:rFonts w:ascii="宋体" w:hAnsi="宋体"/>
          <w:color w:val="auto"/>
          <w:sz w:val="24"/>
          <w:szCs w:val="24"/>
          <w:highlight w:val="none"/>
        </w:rPr>
      </w:pPr>
      <w:r>
        <w:rPr>
          <w:rFonts w:hint="eastAsia" w:ascii="宋体" w:hAnsi="宋体"/>
          <w:color w:val="auto"/>
          <w:sz w:val="24"/>
          <w:szCs w:val="24"/>
          <w:highlight w:val="none"/>
        </w:rPr>
        <w:t>合同双方发生的与合同有关的一切争议，应通过友好协商解决。协商不成时，双方均有权向买方所在地有管辖权的人民法院提起诉讼。</w:t>
      </w:r>
    </w:p>
    <w:p>
      <w:pPr>
        <w:pStyle w:val="48"/>
        <w:autoSpaceDE w:val="0"/>
        <w:autoSpaceDN w:val="0"/>
        <w:spacing w:line="360" w:lineRule="auto"/>
        <w:ind w:left="1087" w:leftChars="150" w:hanging="772" w:hangingChars="322"/>
        <w:contextualSpacing/>
        <w:rPr>
          <w:rFonts w:ascii="宋体" w:hAnsi="宋体"/>
          <w:color w:val="auto"/>
          <w:sz w:val="24"/>
          <w:szCs w:val="24"/>
          <w:highlight w:val="none"/>
        </w:rPr>
      </w:pPr>
      <w:r>
        <w:rPr>
          <w:rFonts w:hint="eastAsia" w:ascii="宋体" w:hAnsi="宋体"/>
          <w:color w:val="auto"/>
          <w:sz w:val="24"/>
          <w:szCs w:val="24"/>
          <w:highlight w:val="none"/>
        </w:rPr>
        <w:t>争议期间，双方应继续履行合同没有争议的其他部分。</w:t>
      </w:r>
    </w:p>
    <w:p>
      <w:pPr>
        <w:spacing w:line="360" w:lineRule="auto"/>
        <w:contextualSpacing/>
        <w:outlineLvl w:val="0"/>
        <w:rPr>
          <w:rFonts w:ascii="宋体" w:hAnsi="宋体"/>
          <w:b/>
          <w:bCs/>
          <w:color w:val="auto"/>
          <w:sz w:val="24"/>
          <w:highlight w:val="none"/>
        </w:rPr>
      </w:pPr>
      <w:bookmarkStart w:id="392" w:name="_Toc16736"/>
      <w:bookmarkStart w:id="393" w:name="_Toc25346"/>
      <w:bookmarkStart w:id="394" w:name="_Toc809"/>
      <w:bookmarkStart w:id="395" w:name="_Toc26628"/>
      <w:r>
        <w:rPr>
          <w:rFonts w:hint="eastAsia" w:ascii="宋体" w:hAnsi="宋体"/>
          <w:b/>
          <w:bCs/>
          <w:color w:val="auto"/>
          <w:sz w:val="24"/>
          <w:highlight w:val="none"/>
        </w:rPr>
        <w:t>28.终止合同</w:t>
      </w:r>
      <w:bookmarkEnd w:id="392"/>
      <w:bookmarkEnd w:id="393"/>
      <w:bookmarkEnd w:id="394"/>
      <w:bookmarkEnd w:id="395"/>
    </w:p>
    <w:p>
      <w:pPr>
        <w:pStyle w:val="48"/>
        <w:autoSpaceDE w:val="0"/>
        <w:autoSpaceDN w:val="0"/>
        <w:spacing w:line="360" w:lineRule="auto"/>
        <w:contextualSpacing/>
        <w:rPr>
          <w:rFonts w:ascii="宋体" w:hAnsi="宋体"/>
          <w:color w:val="auto"/>
          <w:sz w:val="24"/>
          <w:szCs w:val="24"/>
          <w:highlight w:val="none"/>
        </w:rPr>
      </w:pPr>
      <w:r>
        <w:rPr>
          <w:rFonts w:hint="eastAsia" w:ascii="宋体" w:hAnsi="宋体"/>
          <w:color w:val="auto"/>
          <w:sz w:val="24"/>
          <w:szCs w:val="24"/>
          <w:highlight w:val="none"/>
        </w:rPr>
        <w:t>28.1 因卖方违约终止合同</w:t>
      </w:r>
    </w:p>
    <w:p>
      <w:pPr>
        <w:pStyle w:val="48"/>
        <w:spacing w:line="360" w:lineRule="auto"/>
        <w:ind w:left="0" w:firstLine="0"/>
        <w:contextualSpacing/>
        <w:rPr>
          <w:rFonts w:ascii="宋体" w:hAnsi="宋体"/>
          <w:color w:val="auto"/>
          <w:sz w:val="24"/>
          <w:szCs w:val="24"/>
          <w:highlight w:val="none"/>
        </w:rPr>
      </w:pPr>
      <w:r>
        <w:rPr>
          <w:rFonts w:hint="eastAsia" w:ascii="宋体" w:hAnsi="宋体"/>
          <w:color w:val="auto"/>
          <w:sz w:val="24"/>
          <w:szCs w:val="24"/>
          <w:highlight w:val="none"/>
        </w:rPr>
        <w:t>（1）发生下列任一情况时，卖方在收到买方的违约通知后20日内，未能采取措施纠正其违约，以致严重影响合同项目的实施和工程总进度，买方可在书面通知卖方后单方面部分或全部终止合同，由此产生的责任与费用由卖方承担，此种情况不视为买方违约。</w:t>
      </w:r>
    </w:p>
    <w:p>
      <w:pPr>
        <w:pStyle w:val="48"/>
        <w:spacing w:line="360" w:lineRule="auto"/>
        <w:ind w:left="105" w:leftChars="50" w:firstLine="0"/>
        <w:contextualSpacing/>
        <w:rPr>
          <w:rFonts w:ascii="宋体" w:hAnsi="宋体"/>
          <w:color w:val="auto"/>
          <w:sz w:val="24"/>
          <w:szCs w:val="24"/>
          <w:highlight w:val="none"/>
        </w:rPr>
      </w:pPr>
      <w:r>
        <w:rPr>
          <w:rFonts w:hint="eastAsia" w:ascii="宋体" w:hAnsi="宋体"/>
          <w:color w:val="auto"/>
          <w:sz w:val="24"/>
          <w:szCs w:val="24"/>
          <w:highlight w:val="none"/>
        </w:rPr>
        <w:t>a）卖方未经买方书面同意就转让了合同；</w:t>
      </w:r>
    </w:p>
    <w:p>
      <w:pPr>
        <w:pStyle w:val="48"/>
        <w:spacing w:line="360" w:lineRule="auto"/>
        <w:ind w:left="105" w:leftChars="50" w:firstLine="0"/>
        <w:contextualSpacing/>
        <w:rPr>
          <w:rFonts w:ascii="宋体" w:hAnsi="宋体"/>
          <w:color w:val="auto"/>
          <w:sz w:val="24"/>
          <w:szCs w:val="24"/>
          <w:highlight w:val="none"/>
        </w:rPr>
      </w:pPr>
      <w:r>
        <w:rPr>
          <w:rFonts w:hint="eastAsia" w:ascii="宋体" w:hAnsi="宋体"/>
          <w:color w:val="auto"/>
          <w:sz w:val="24"/>
          <w:szCs w:val="24"/>
          <w:highlight w:val="none"/>
        </w:rPr>
        <w:t xml:space="preserve">b）卖方未能按合同规定的时间内，或未能在买方同意的延长期内提交任何/或全部合同设备/或提供服务； </w:t>
      </w:r>
    </w:p>
    <w:p>
      <w:pPr>
        <w:pStyle w:val="48"/>
        <w:spacing w:line="360" w:lineRule="auto"/>
        <w:ind w:left="210" w:leftChars="100" w:firstLine="0"/>
        <w:contextualSpacing/>
        <w:rPr>
          <w:rFonts w:ascii="宋体" w:hAnsi="宋体"/>
          <w:color w:val="auto"/>
          <w:sz w:val="24"/>
          <w:szCs w:val="24"/>
          <w:highlight w:val="none"/>
        </w:rPr>
      </w:pPr>
      <w:r>
        <w:rPr>
          <w:rFonts w:hint="eastAsia" w:ascii="宋体" w:hAnsi="宋体"/>
          <w:color w:val="auto"/>
          <w:sz w:val="24"/>
          <w:szCs w:val="24"/>
          <w:highlight w:val="none"/>
        </w:rPr>
        <w:t>c）卖方未能履行按合同规定的任何其他责任。</w:t>
      </w:r>
    </w:p>
    <w:p>
      <w:pPr>
        <w:pStyle w:val="48"/>
        <w:spacing w:line="360" w:lineRule="auto"/>
        <w:ind w:left="0" w:firstLine="0"/>
        <w:contextualSpacing/>
        <w:rPr>
          <w:rFonts w:ascii="宋体" w:hAnsi="宋体"/>
          <w:color w:val="auto"/>
          <w:sz w:val="24"/>
          <w:szCs w:val="24"/>
          <w:highlight w:val="none"/>
        </w:rPr>
      </w:pPr>
      <w:r>
        <w:rPr>
          <w:rFonts w:hint="eastAsia" w:ascii="宋体" w:hAnsi="宋体"/>
          <w:color w:val="auto"/>
          <w:sz w:val="24"/>
          <w:szCs w:val="24"/>
          <w:highlight w:val="none"/>
        </w:rPr>
        <w:t>（2）在买方根据本条终止全部或部分合同的情况下，买方可按其认为合适的条件和方式采购未提交合同设备类似的合同设备，卖方有责任承担买方为购买上述类似合同设备时多付的任何费用，且卖方仍应履行合同中未终止的部分。</w:t>
      </w:r>
    </w:p>
    <w:p>
      <w:pPr>
        <w:pStyle w:val="48"/>
        <w:autoSpaceDE w:val="0"/>
        <w:autoSpaceDN w:val="0"/>
        <w:spacing w:line="360" w:lineRule="auto"/>
        <w:contextualSpacing/>
        <w:rPr>
          <w:rFonts w:ascii="宋体" w:hAnsi="宋体"/>
          <w:color w:val="auto"/>
          <w:sz w:val="24"/>
          <w:szCs w:val="24"/>
          <w:highlight w:val="none"/>
        </w:rPr>
      </w:pPr>
      <w:r>
        <w:rPr>
          <w:rFonts w:hint="eastAsia" w:ascii="宋体" w:hAnsi="宋体"/>
          <w:color w:val="auto"/>
          <w:sz w:val="24"/>
          <w:szCs w:val="24"/>
          <w:highlight w:val="none"/>
        </w:rPr>
        <w:t>28.2 终止合同的处理</w:t>
      </w:r>
    </w:p>
    <w:p>
      <w:pPr>
        <w:pStyle w:val="48"/>
        <w:spacing w:line="360" w:lineRule="auto"/>
        <w:ind w:left="0" w:firstLine="0"/>
        <w:contextualSpacing/>
        <w:rPr>
          <w:rFonts w:ascii="宋体" w:hAnsi="宋体"/>
          <w:color w:val="auto"/>
          <w:sz w:val="24"/>
          <w:szCs w:val="24"/>
          <w:highlight w:val="none"/>
        </w:rPr>
      </w:pPr>
      <w:r>
        <w:rPr>
          <w:rFonts w:hint="eastAsia" w:ascii="宋体" w:hAnsi="宋体"/>
          <w:color w:val="auto"/>
          <w:sz w:val="24"/>
          <w:szCs w:val="24"/>
          <w:highlight w:val="none"/>
        </w:rPr>
        <w:t>（1）对在卖方接到终止合同通知后30日内完成和准备发运的合同设备，买方按合同规定的条件买下，其余部分买方可进行选择：</w:t>
      </w:r>
    </w:p>
    <w:p>
      <w:pPr>
        <w:pStyle w:val="48"/>
        <w:spacing w:line="360" w:lineRule="auto"/>
        <w:ind w:left="315" w:leftChars="150" w:firstLine="0"/>
        <w:contextualSpacing/>
        <w:rPr>
          <w:rFonts w:ascii="宋体" w:hAnsi="宋体"/>
          <w:color w:val="auto"/>
          <w:sz w:val="24"/>
          <w:szCs w:val="24"/>
          <w:highlight w:val="none"/>
        </w:rPr>
      </w:pPr>
      <w:r>
        <w:rPr>
          <w:rFonts w:hint="eastAsia" w:ascii="宋体" w:hAnsi="宋体"/>
          <w:color w:val="auto"/>
          <w:sz w:val="24"/>
          <w:szCs w:val="24"/>
          <w:highlight w:val="none"/>
        </w:rPr>
        <w:t>a）选择任一部分并按合同条件和价格执行和交货；</w:t>
      </w:r>
    </w:p>
    <w:p>
      <w:pPr>
        <w:pStyle w:val="48"/>
        <w:spacing w:line="360" w:lineRule="auto"/>
        <w:ind w:left="105" w:leftChars="50" w:firstLine="0"/>
        <w:contextualSpacing/>
        <w:rPr>
          <w:rFonts w:ascii="宋体" w:hAnsi="宋体"/>
          <w:color w:val="auto"/>
          <w:sz w:val="24"/>
          <w:szCs w:val="24"/>
          <w:highlight w:val="none"/>
        </w:rPr>
      </w:pPr>
      <w:r>
        <w:rPr>
          <w:rFonts w:hint="eastAsia" w:ascii="宋体" w:hAnsi="宋体"/>
          <w:color w:val="auto"/>
          <w:sz w:val="24"/>
          <w:szCs w:val="24"/>
          <w:highlight w:val="none"/>
        </w:rPr>
        <w:t>b）放弃其余合同设备，并为卖方已部分完成的合同设备和原已采购的材料及部件向卖方支付一笔经协商同意的金额。</w:t>
      </w:r>
    </w:p>
    <w:p>
      <w:pPr>
        <w:pStyle w:val="48"/>
        <w:spacing w:line="360" w:lineRule="auto"/>
        <w:ind w:left="1256" w:leftChars="58"/>
        <w:contextualSpacing/>
        <w:rPr>
          <w:rFonts w:ascii="宋体" w:hAnsi="宋体"/>
          <w:color w:val="auto"/>
          <w:sz w:val="24"/>
          <w:szCs w:val="24"/>
          <w:highlight w:val="none"/>
        </w:rPr>
      </w:pPr>
      <w:r>
        <w:rPr>
          <w:rFonts w:hint="eastAsia" w:ascii="宋体" w:hAnsi="宋体"/>
          <w:color w:val="auto"/>
          <w:sz w:val="24"/>
          <w:szCs w:val="24"/>
          <w:highlight w:val="none"/>
        </w:rPr>
        <w:t>（2）卖方把一切与合同有关的并已付款的文件、资料交付买方。</w:t>
      </w:r>
    </w:p>
    <w:p>
      <w:pPr>
        <w:pStyle w:val="48"/>
        <w:spacing w:line="360" w:lineRule="auto"/>
        <w:ind w:left="105" w:leftChars="50" w:firstLine="0"/>
        <w:contextualSpacing/>
        <w:rPr>
          <w:rFonts w:ascii="宋体" w:hAnsi="宋体"/>
          <w:color w:val="auto"/>
          <w:sz w:val="24"/>
          <w:szCs w:val="24"/>
          <w:highlight w:val="none"/>
        </w:rPr>
      </w:pPr>
      <w:r>
        <w:rPr>
          <w:rFonts w:hint="eastAsia" w:ascii="宋体" w:hAnsi="宋体"/>
          <w:color w:val="auto"/>
          <w:sz w:val="24"/>
          <w:szCs w:val="24"/>
          <w:highlight w:val="none"/>
        </w:rPr>
        <w:t>（3）买方不承担任何由于终止合同而由第三方向卖方提出的各项索赔，不论直接的或间接的。</w:t>
      </w:r>
    </w:p>
    <w:p>
      <w:pPr>
        <w:pStyle w:val="48"/>
        <w:spacing w:line="360" w:lineRule="auto"/>
        <w:ind w:left="1273" w:leftChars="66"/>
        <w:contextualSpacing/>
        <w:rPr>
          <w:rFonts w:ascii="宋体" w:hAnsi="宋体"/>
          <w:color w:val="auto"/>
          <w:sz w:val="24"/>
          <w:szCs w:val="24"/>
          <w:highlight w:val="none"/>
        </w:rPr>
      </w:pPr>
      <w:r>
        <w:rPr>
          <w:rFonts w:hint="eastAsia" w:ascii="宋体" w:hAnsi="宋体"/>
          <w:color w:val="auto"/>
          <w:sz w:val="24"/>
          <w:szCs w:val="24"/>
          <w:highlight w:val="none"/>
        </w:rPr>
        <w:t>（4）如果只是合同的一部分终止，其他部分仍继续执行。</w:t>
      </w:r>
    </w:p>
    <w:p>
      <w:pPr>
        <w:spacing w:line="360" w:lineRule="auto"/>
        <w:contextualSpacing/>
        <w:outlineLvl w:val="0"/>
        <w:rPr>
          <w:rFonts w:ascii="宋体" w:hAnsi="宋体"/>
          <w:b/>
          <w:bCs/>
          <w:color w:val="auto"/>
          <w:sz w:val="24"/>
          <w:highlight w:val="none"/>
        </w:rPr>
      </w:pPr>
      <w:bookmarkStart w:id="396" w:name="_Toc16439"/>
      <w:bookmarkStart w:id="397" w:name="_Toc23959"/>
      <w:bookmarkStart w:id="398" w:name="_Toc286"/>
      <w:bookmarkStart w:id="399" w:name="_Toc17276"/>
      <w:r>
        <w:rPr>
          <w:rFonts w:hint="eastAsia" w:ascii="宋体" w:hAnsi="宋体"/>
          <w:b/>
          <w:bCs/>
          <w:color w:val="auto"/>
          <w:sz w:val="24"/>
          <w:highlight w:val="none"/>
        </w:rPr>
        <w:t>29.通知</w:t>
      </w:r>
      <w:bookmarkEnd w:id="396"/>
      <w:bookmarkEnd w:id="397"/>
      <w:bookmarkEnd w:id="398"/>
      <w:bookmarkEnd w:id="399"/>
    </w:p>
    <w:p>
      <w:pPr>
        <w:pStyle w:val="48"/>
        <w:autoSpaceDE w:val="0"/>
        <w:autoSpaceDN w:val="0"/>
        <w:spacing w:line="360" w:lineRule="auto"/>
        <w:ind w:left="105" w:leftChars="50" w:firstLine="0"/>
        <w:contextualSpacing/>
        <w:rPr>
          <w:rFonts w:ascii="宋体" w:hAnsi="宋体"/>
          <w:color w:val="auto"/>
          <w:sz w:val="24"/>
          <w:szCs w:val="24"/>
          <w:highlight w:val="none"/>
        </w:rPr>
      </w:pPr>
      <w:r>
        <w:rPr>
          <w:rFonts w:hint="eastAsia" w:ascii="宋体" w:hAnsi="宋体"/>
          <w:color w:val="auto"/>
          <w:sz w:val="24"/>
          <w:szCs w:val="24"/>
          <w:highlight w:val="none"/>
        </w:rPr>
        <w:t>29.1 合同双方就合同中涉及各类通知、协议等文件以及就合同发生纠纷时相关文件和法律文书送达时的送达地址及法律后果作如下约定：</w:t>
      </w:r>
    </w:p>
    <w:p>
      <w:pPr>
        <w:pStyle w:val="48"/>
        <w:autoSpaceDE w:val="0"/>
        <w:autoSpaceDN w:val="0"/>
        <w:spacing w:line="360" w:lineRule="auto"/>
        <w:ind w:left="105" w:leftChars="50" w:firstLine="0"/>
        <w:contextualSpacing/>
        <w:rPr>
          <w:rFonts w:ascii="宋体" w:hAnsi="宋体"/>
          <w:color w:val="auto"/>
          <w:sz w:val="24"/>
          <w:szCs w:val="24"/>
          <w:highlight w:val="none"/>
        </w:rPr>
      </w:pPr>
      <w:r>
        <w:rPr>
          <w:rFonts w:hint="eastAsia" w:ascii="宋体" w:hAnsi="宋体"/>
          <w:color w:val="auto"/>
          <w:sz w:val="24"/>
          <w:szCs w:val="24"/>
          <w:highlight w:val="none"/>
        </w:rPr>
        <w:t>29.1.1 一方基于本合同发出的任何通知或其他通信应全部满足以下条件，否则该等通知不应被视为完整、有效的正式书面通知：</w:t>
      </w:r>
    </w:p>
    <w:p>
      <w:pPr>
        <w:pStyle w:val="48"/>
        <w:autoSpaceDE w:val="0"/>
        <w:autoSpaceDN w:val="0"/>
        <w:spacing w:line="360" w:lineRule="auto"/>
        <w:ind w:left="105" w:leftChars="50" w:firstLine="0"/>
        <w:contextualSpacing/>
        <w:rPr>
          <w:rFonts w:ascii="宋体" w:hAnsi="宋体"/>
          <w:color w:val="auto"/>
          <w:sz w:val="24"/>
          <w:szCs w:val="24"/>
          <w:highlight w:val="none"/>
        </w:rPr>
      </w:pPr>
      <w:r>
        <w:rPr>
          <w:rFonts w:hint="eastAsia" w:ascii="宋体" w:hAnsi="宋体"/>
          <w:color w:val="auto"/>
          <w:sz w:val="24"/>
          <w:szCs w:val="24"/>
          <w:highlight w:val="none"/>
        </w:rPr>
        <w:t>a)以中文书面形式作出；</w:t>
      </w:r>
    </w:p>
    <w:p>
      <w:pPr>
        <w:pStyle w:val="48"/>
        <w:autoSpaceDE w:val="0"/>
        <w:autoSpaceDN w:val="0"/>
        <w:spacing w:line="360" w:lineRule="auto"/>
        <w:ind w:left="105" w:leftChars="50" w:firstLine="0"/>
        <w:contextualSpacing/>
        <w:rPr>
          <w:rFonts w:ascii="宋体" w:hAnsi="宋体"/>
          <w:color w:val="auto"/>
          <w:sz w:val="24"/>
          <w:szCs w:val="24"/>
          <w:highlight w:val="none"/>
        </w:rPr>
      </w:pPr>
      <w:r>
        <w:rPr>
          <w:rFonts w:hint="eastAsia" w:ascii="宋体" w:hAnsi="宋体"/>
          <w:color w:val="auto"/>
          <w:sz w:val="24"/>
          <w:szCs w:val="24"/>
          <w:highlight w:val="none"/>
        </w:rPr>
        <w:t>b)由通知发出方或其代表签署并加盖公章（用电子邮件发出的通知除外）；</w:t>
      </w:r>
    </w:p>
    <w:p>
      <w:pPr>
        <w:pStyle w:val="48"/>
        <w:autoSpaceDE w:val="0"/>
        <w:autoSpaceDN w:val="0"/>
        <w:spacing w:line="360" w:lineRule="auto"/>
        <w:ind w:left="0" w:firstLine="240" w:firstLineChars="100"/>
        <w:contextualSpacing/>
        <w:rPr>
          <w:rFonts w:ascii="宋体" w:hAnsi="宋体"/>
          <w:color w:val="auto"/>
          <w:sz w:val="24"/>
          <w:szCs w:val="24"/>
          <w:highlight w:val="none"/>
        </w:rPr>
      </w:pPr>
      <w:r>
        <w:rPr>
          <w:rFonts w:hint="eastAsia" w:ascii="宋体" w:hAnsi="宋体"/>
          <w:color w:val="auto"/>
          <w:sz w:val="24"/>
          <w:szCs w:val="24"/>
          <w:highlight w:val="none"/>
        </w:rPr>
        <w:t>c)按本第30.3条所列地址送交相关方。</w:t>
      </w:r>
    </w:p>
    <w:p>
      <w:pPr>
        <w:pStyle w:val="48"/>
        <w:autoSpaceDE w:val="0"/>
        <w:autoSpaceDN w:val="0"/>
        <w:spacing w:line="360" w:lineRule="auto"/>
        <w:ind w:left="105" w:leftChars="50" w:firstLine="0"/>
        <w:contextualSpacing/>
        <w:rPr>
          <w:rFonts w:ascii="宋体" w:hAnsi="宋体"/>
          <w:color w:val="auto"/>
          <w:sz w:val="24"/>
          <w:szCs w:val="24"/>
          <w:highlight w:val="none"/>
        </w:rPr>
      </w:pPr>
      <w:r>
        <w:rPr>
          <w:rFonts w:hint="eastAsia" w:ascii="宋体" w:hAnsi="宋体"/>
          <w:color w:val="auto"/>
          <w:sz w:val="24"/>
          <w:szCs w:val="24"/>
          <w:highlight w:val="none"/>
        </w:rPr>
        <w:t>29.2 通知可选择下述方式发送，并于下述对应时间视为送达：</w:t>
      </w:r>
    </w:p>
    <w:p>
      <w:pPr>
        <w:pStyle w:val="48"/>
        <w:autoSpaceDE w:val="0"/>
        <w:autoSpaceDN w:val="0"/>
        <w:spacing w:line="360" w:lineRule="auto"/>
        <w:ind w:left="105" w:leftChars="50" w:firstLine="0"/>
        <w:contextualSpacing/>
        <w:rPr>
          <w:rFonts w:ascii="宋体" w:hAnsi="宋体"/>
          <w:color w:val="auto"/>
          <w:sz w:val="24"/>
          <w:szCs w:val="24"/>
          <w:highlight w:val="none"/>
        </w:rPr>
      </w:pPr>
      <w:r>
        <w:rPr>
          <w:rFonts w:hint="eastAsia" w:ascii="宋体" w:hAnsi="宋体"/>
          <w:color w:val="auto"/>
          <w:sz w:val="24"/>
          <w:szCs w:val="24"/>
          <w:highlight w:val="none"/>
        </w:rPr>
        <w:t>29.2.1 亲自送达：送达双方指定的联系人签收之时；</w:t>
      </w:r>
    </w:p>
    <w:p>
      <w:pPr>
        <w:pStyle w:val="48"/>
        <w:autoSpaceDE w:val="0"/>
        <w:autoSpaceDN w:val="0"/>
        <w:spacing w:line="360" w:lineRule="auto"/>
        <w:ind w:left="105" w:leftChars="50" w:firstLine="0"/>
        <w:contextualSpacing/>
        <w:rPr>
          <w:rFonts w:ascii="宋体" w:hAnsi="宋体"/>
          <w:color w:val="auto"/>
          <w:sz w:val="24"/>
          <w:szCs w:val="24"/>
          <w:highlight w:val="none"/>
        </w:rPr>
      </w:pPr>
      <w:r>
        <w:rPr>
          <w:rFonts w:hint="eastAsia" w:ascii="宋体" w:hAnsi="宋体"/>
          <w:color w:val="auto"/>
          <w:sz w:val="24"/>
          <w:szCs w:val="24"/>
          <w:highlight w:val="none"/>
        </w:rPr>
        <w:t>29.2.2 采用邮寄方式：投递服务商记录的签收时间，或发件人按照经双方确认的地址寄送，邮件被退件或无法送达时，以邮件发出时间后的第五日为送达时间。</w:t>
      </w:r>
    </w:p>
    <w:p>
      <w:pPr>
        <w:pStyle w:val="48"/>
        <w:autoSpaceDE w:val="0"/>
        <w:autoSpaceDN w:val="0"/>
        <w:spacing w:line="360" w:lineRule="auto"/>
        <w:ind w:left="105" w:leftChars="50" w:firstLine="0"/>
        <w:contextualSpacing/>
        <w:rPr>
          <w:rFonts w:ascii="宋体" w:hAnsi="宋体"/>
          <w:color w:val="auto"/>
          <w:sz w:val="24"/>
          <w:szCs w:val="24"/>
          <w:highlight w:val="none"/>
        </w:rPr>
      </w:pPr>
      <w:r>
        <w:rPr>
          <w:rFonts w:hint="eastAsia" w:ascii="宋体" w:hAnsi="宋体"/>
          <w:color w:val="auto"/>
          <w:sz w:val="24"/>
          <w:szCs w:val="24"/>
          <w:highlight w:val="none"/>
        </w:rPr>
        <w:t>29.2.3 采用传真方式：于通知到达各方确认的传真号码之时，或收到来自经双方确认号码的确认无中断无错误的传输报告之时，或发送至经双方确认的传真号码且发件人系统显示发送成功之时，或收到来自收件人的确认之时。</w:t>
      </w:r>
    </w:p>
    <w:p>
      <w:pPr>
        <w:pStyle w:val="48"/>
        <w:autoSpaceDE w:val="0"/>
        <w:autoSpaceDN w:val="0"/>
        <w:spacing w:line="360" w:lineRule="auto"/>
        <w:ind w:left="105" w:leftChars="50" w:firstLine="0"/>
        <w:contextualSpacing/>
        <w:rPr>
          <w:rFonts w:ascii="宋体" w:hAnsi="宋体"/>
          <w:color w:val="auto"/>
          <w:sz w:val="24"/>
          <w:szCs w:val="24"/>
          <w:highlight w:val="none"/>
        </w:rPr>
      </w:pPr>
      <w:r>
        <w:rPr>
          <w:rFonts w:hint="eastAsia" w:ascii="宋体" w:hAnsi="宋体"/>
          <w:color w:val="auto"/>
          <w:sz w:val="24"/>
          <w:szCs w:val="24"/>
          <w:highlight w:val="none"/>
        </w:rPr>
        <w:t>29.2.4 电子邮件：于通知到达各方确认的电子邮件地址之时，或收到来自经双方确认的电子邮件地址的送达回执之时，或发送至经双方确认的电子邮件地址且发件人系统显示发送成功之时，或收到来自收件人的确认之时。</w:t>
      </w:r>
    </w:p>
    <w:p>
      <w:pPr>
        <w:pStyle w:val="48"/>
        <w:autoSpaceDE w:val="0"/>
        <w:autoSpaceDN w:val="0"/>
        <w:spacing w:line="360" w:lineRule="auto"/>
        <w:ind w:left="105" w:leftChars="50" w:firstLine="0"/>
        <w:contextualSpacing/>
        <w:rPr>
          <w:rFonts w:ascii="宋体" w:hAnsi="宋体"/>
          <w:color w:val="auto"/>
          <w:sz w:val="24"/>
          <w:szCs w:val="24"/>
          <w:highlight w:val="none"/>
        </w:rPr>
      </w:pPr>
      <w:r>
        <w:rPr>
          <w:rFonts w:hint="eastAsia" w:ascii="宋体" w:hAnsi="宋体"/>
          <w:color w:val="auto"/>
          <w:sz w:val="24"/>
          <w:szCs w:val="24"/>
          <w:highlight w:val="none"/>
        </w:rPr>
        <w:t>29.3 通知或其他通信应被发送至：</w:t>
      </w:r>
    </w:p>
    <w:p>
      <w:pPr>
        <w:pStyle w:val="48"/>
        <w:autoSpaceDE w:val="0"/>
        <w:autoSpaceDN w:val="0"/>
        <w:spacing w:line="360" w:lineRule="auto"/>
        <w:ind w:left="105" w:leftChars="50" w:firstLine="0"/>
        <w:contextualSpacing/>
        <w:rPr>
          <w:rFonts w:ascii="宋体" w:hAnsi="宋体"/>
          <w:color w:val="auto"/>
          <w:sz w:val="24"/>
          <w:szCs w:val="24"/>
          <w:highlight w:val="none"/>
        </w:rPr>
      </w:pPr>
      <w:r>
        <w:rPr>
          <w:rFonts w:hint="eastAsia" w:ascii="宋体" w:hAnsi="宋体"/>
          <w:color w:val="auto"/>
          <w:sz w:val="24"/>
          <w:szCs w:val="24"/>
          <w:highlight w:val="none"/>
        </w:rPr>
        <w:t>29.3.1 甲方确认的其有效的送达地址为：【填入甲方名称】，【填入地址】，【填入传真号码】，【填入电子邮件地址】，【填入指定联系人】。</w:t>
      </w:r>
    </w:p>
    <w:p>
      <w:pPr>
        <w:pStyle w:val="48"/>
        <w:autoSpaceDE w:val="0"/>
        <w:autoSpaceDN w:val="0"/>
        <w:spacing w:line="360" w:lineRule="auto"/>
        <w:ind w:left="105" w:leftChars="50" w:firstLine="0"/>
        <w:contextualSpacing/>
        <w:rPr>
          <w:rFonts w:ascii="宋体" w:hAnsi="宋体"/>
          <w:color w:val="auto"/>
          <w:sz w:val="24"/>
          <w:szCs w:val="24"/>
          <w:highlight w:val="none"/>
        </w:rPr>
      </w:pPr>
      <w:r>
        <w:rPr>
          <w:rFonts w:hint="eastAsia" w:ascii="宋体" w:hAnsi="宋体"/>
          <w:color w:val="auto"/>
          <w:sz w:val="24"/>
          <w:szCs w:val="24"/>
          <w:highlight w:val="none"/>
        </w:rPr>
        <w:t>29.3.2 乙方确认的其有效的送达地址为【填入乙方名称】，【填入地址】，【填入传真号码】，【填入电子邮件地址】，【填入指定联系人】。</w:t>
      </w:r>
    </w:p>
    <w:p>
      <w:pPr>
        <w:pStyle w:val="48"/>
        <w:autoSpaceDE w:val="0"/>
        <w:autoSpaceDN w:val="0"/>
        <w:spacing w:line="360" w:lineRule="auto"/>
        <w:ind w:left="105" w:leftChars="50" w:firstLine="0"/>
        <w:contextualSpacing/>
        <w:rPr>
          <w:rFonts w:ascii="宋体" w:hAnsi="宋体"/>
          <w:color w:val="auto"/>
          <w:sz w:val="24"/>
          <w:szCs w:val="24"/>
          <w:highlight w:val="none"/>
        </w:rPr>
      </w:pPr>
      <w:r>
        <w:rPr>
          <w:rFonts w:hint="eastAsia" w:ascii="宋体" w:hAnsi="宋体"/>
          <w:color w:val="auto"/>
          <w:sz w:val="24"/>
          <w:szCs w:val="24"/>
          <w:highlight w:val="none"/>
        </w:rPr>
        <w:t>29.4 任何对第30.3条所载的各方联系方式的修改根据本第30.1款的规定通知另一方，该等修改应在通知中指明的修改的日期生效。如未通知另一方新修改的联系方式或新修改的联系方式无法接收送达，则另一方有权以双方在本合同中确认的送达地址按照本条第30.2款规定的方式进行送达，以本条第30.2款规定的时间即视为有效送达时间。</w:t>
      </w:r>
    </w:p>
    <w:p>
      <w:pPr>
        <w:pStyle w:val="48"/>
        <w:autoSpaceDE w:val="0"/>
        <w:autoSpaceDN w:val="0"/>
        <w:spacing w:line="360" w:lineRule="auto"/>
        <w:ind w:left="105" w:leftChars="50" w:firstLine="0"/>
        <w:contextualSpacing/>
        <w:rPr>
          <w:rFonts w:ascii="宋体" w:hAnsi="宋体"/>
          <w:color w:val="auto"/>
          <w:sz w:val="24"/>
          <w:szCs w:val="24"/>
          <w:highlight w:val="none"/>
        </w:rPr>
      </w:pPr>
      <w:r>
        <w:rPr>
          <w:rFonts w:hint="eastAsia" w:ascii="宋体" w:hAnsi="宋体"/>
          <w:color w:val="auto"/>
          <w:sz w:val="24"/>
          <w:szCs w:val="24"/>
          <w:highlight w:val="none"/>
        </w:rPr>
        <w:t>29.5 双方的送达地址适用范围包括双方非诉时的各类通知、协议等文件，以及就合同发生纠纷时相关文件和法律文书的送达，同时包括在争议进入仲裁、民事诉讼程序后的一审、二审、再审和执行程序。</w:t>
      </w:r>
    </w:p>
    <w:p>
      <w:pPr>
        <w:spacing w:line="360" w:lineRule="auto"/>
        <w:contextualSpacing/>
        <w:outlineLvl w:val="0"/>
        <w:rPr>
          <w:rFonts w:ascii="宋体" w:hAnsi="宋体"/>
          <w:b/>
          <w:bCs/>
          <w:color w:val="auto"/>
          <w:sz w:val="24"/>
          <w:highlight w:val="none"/>
        </w:rPr>
      </w:pPr>
      <w:bookmarkStart w:id="400" w:name="_Toc9852"/>
      <w:bookmarkStart w:id="401" w:name="_Toc25102"/>
      <w:bookmarkStart w:id="402" w:name="_Toc19454"/>
      <w:bookmarkStart w:id="403" w:name="_Toc1056"/>
      <w:r>
        <w:rPr>
          <w:rFonts w:hint="eastAsia" w:ascii="宋体" w:hAnsi="宋体"/>
          <w:b/>
          <w:bCs/>
          <w:color w:val="auto"/>
          <w:sz w:val="24"/>
          <w:highlight w:val="none"/>
        </w:rPr>
        <w:t>30.备品备件、易耗件和专用工具</w:t>
      </w:r>
      <w:bookmarkEnd w:id="400"/>
      <w:bookmarkEnd w:id="401"/>
      <w:bookmarkEnd w:id="402"/>
      <w:bookmarkEnd w:id="403"/>
    </w:p>
    <w:p>
      <w:pPr>
        <w:pStyle w:val="48"/>
        <w:autoSpaceDE w:val="0"/>
        <w:autoSpaceDN w:val="0"/>
        <w:spacing w:line="360" w:lineRule="auto"/>
        <w:ind w:left="105" w:leftChars="50" w:firstLine="0"/>
        <w:contextualSpacing/>
        <w:rPr>
          <w:rFonts w:ascii="宋体" w:hAnsi="宋体"/>
          <w:color w:val="auto"/>
          <w:sz w:val="24"/>
          <w:szCs w:val="24"/>
          <w:highlight w:val="none"/>
        </w:rPr>
      </w:pPr>
      <w:r>
        <w:rPr>
          <w:rFonts w:hint="eastAsia" w:ascii="宋体" w:hAnsi="宋体"/>
          <w:color w:val="auto"/>
          <w:sz w:val="24"/>
          <w:szCs w:val="24"/>
          <w:highlight w:val="none"/>
        </w:rPr>
        <w:t>30.1 卖方应免费提供备品备件、易耗件和专用工具，并提供详细清单。</w:t>
      </w:r>
    </w:p>
    <w:p>
      <w:pPr>
        <w:pStyle w:val="48"/>
        <w:autoSpaceDE w:val="0"/>
        <w:autoSpaceDN w:val="0"/>
        <w:spacing w:line="360" w:lineRule="auto"/>
        <w:ind w:left="105" w:leftChars="50" w:firstLine="0"/>
        <w:contextualSpacing/>
        <w:rPr>
          <w:rFonts w:ascii="宋体" w:hAnsi="宋体"/>
          <w:color w:val="auto"/>
          <w:sz w:val="24"/>
          <w:szCs w:val="24"/>
          <w:highlight w:val="none"/>
        </w:rPr>
      </w:pPr>
      <w:r>
        <w:rPr>
          <w:rFonts w:hint="eastAsia" w:ascii="宋体" w:hAnsi="宋体"/>
          <w:color w:val="auto"/>
          <w:sz w:val="24"/>
          <w:szCs w:val="24"/>
          <w:highlight w:val="none"/>
        </w:rPr>
        <w:t>30.2 易耗件和专用工器具应按要求进行包装，以防损坏，并与设备分开独立包装。包装箱上应清楚注明标记。</w:t>
      </w:r>
    </w:p>
    <w:p>
      <w:pPr>
        <w:pStyle w:val="48"/>
        <w:autoSpaceDE w:val="0"/>
        <w:autoSpaceDN w:val="0"/>
        <w:spacing w:line="360" w:lineRule="auto"/>
        <w:ind w:left="105" w:leftChars="50" w:firstLine="0"/>
        <w:contextualSpacing/>
        <w:rPr>
          <w:rFonts w:ascii="宋体" w:hAnsi="宋体"/>
          <w:color w:val="auto"/>
          <w:sz w:val="24"/>
          <w:szCs w:val="24"/>
          <w:highlight w:val="none"/>
        </w:rPr>
      </w:pPr>
      <w:r>
        <w:rPr>
          <w:rFonts w:hint="eastAsia" w:ascii="宋体" w:hAnsi="宋体"/>
          <w:color w:val="auto"/>
          <w:sz w:val="24"/>
          <w:szCs w:val="24"/>
          <w:highlight w:val="none"/>
        </w:rPr>
        <w:t>30.3 所有易耗件和专用工器具提供给买方前应系上标签，标签上应注明上述有关备品备件及专用工器具的说明。</w:t>
      </w:r>
    </w:p>
    <w:p>
      <w:pPr>
        <w:spacing w:line="360" w:lineRule="auto"/>
        <w:contextualSpacing/>
        <w:outlineLvl w:val="0"/>
        <w:rPr>
          <w:rFonts w:ascii="宋体" w:hAnsi="宋体"/>
          <w:b/>
          <w:bCs/>
          <w:color w:val="auto"/>
          <w:sz w:val="24"/>
          <w:highlight w:val="none"/>
        </w:rPr>
      </w:pPr>
      <w:bookmarkStart w:id="404" w:name="_Toc24832"/>
      <w:bookmarkStart w:id="405" w:name="_Toc9140"/>
      <w:bookmarkStart w:id="406" w:name="_Toc18130"/>
      <w:bookmarkStart w:id="407" w:name="_Toc10941"/>
      <w:r>
        <w:rPr>
          <w:rFonts w:hint="eastAsia" w:ascii="宋体" w:hAnsi="宋体"/>
          <w:b/>
          <w:bCs/>
          <w:color w:val="auto"/>
          <w:sz w:val="24"/>
          <w:highlight w:val="none"/>
        </w:rPr>
        <w:t>31.合同文件或资料的保密</w:t>
      </w:r>
      <w:bookmarkEnd w:id="404"/>
      <w:bookmarkEnd w:id="405"/>
      <w:bookmarkEnd w:id="406"/>
      <w:bookmarkEnd w:id="407"/>
    </w:p>
    <w:p>
      <w:pPr>
        <w:pStyle w:val="48"/>
        <w:spacing w:line="360" w:lineRule="auto"/>
        <w:ind w:left="105" w:leftChars="50" w:firstLine="480" w:firstLineChars="200"/>
        <w:contextualSpacing/>
        <w:rPr>
          <w:rFonts w:ascii="宋体" w:hAnsi="宋体"/>
          <w:color w:val="auto"/>
          <w:sz w:val="24"/>
          <w:szCs w:val="24"/>
          <w:highlight w:val="none"/>
        </w:rPr>
      </w:pPr>
      <w:r>
        <w:rPr>
          <w:rFonts w:hint="eastAsia" w:ascii="宋体" w:hAnsi="宋体"/>
          <w:color w:val="auto"/>
          <w:sz w:val="24"/>
          <w:szCs w:val="24"/>
          <w:highlight w:val="none"/>
        </w:rPr>
        <w:t>未经买方事先书面的同意，卖方不得使任何与卖方履行本合同无关的第三方知悉本合同、合同中的条款或由买方或以买方的名义提供的任何规范、规划、图纸、样品、资料等，也不得为履行本合同之外的目的使用本合同、合同中的条款或由买方或以买方的名义提供的任何规范、规划、图纸、样品、资料等，如违反前述约定，则卖方自愿赔偿由此给买方造成的一切直接及间接损失，并承担相应法律责任。</w:t>
      </w:r>
    </w:p>
    <w:p>
      <w:pPr>
        <w:spacing w:line="360" w:lineRule="auto"/>
        <w:contextualSpacing/>
        <w:outlineLvl w:val="0"/>
        <w:rPr>
          <w:rFonts w:ascii="宋体" w:hAnsi="宋体"/>
          <w:b/>
          <w:bCs/>
          <w:color w:val="auto"/>
          <w:sz w:val="24"/>
          <w:highlight w:val="none"/>
        </w:rPr>
      </w:pPr>
      <w:bookmarkStart w:id="408" w:name="_Toc26730"/>
      <w:bookmarkStart w:id="409" w:name="_Toc11923"/>
      <w:bookmarkStart w:id="410" w:name="_Toc1770"/>
      <w:bookmarkStart w:id="411" w:name="_Toc6200"/>
      <w:r>
        <w:rPr>
          <w:rFonts w:hint="eastAsia" w:ascii="宋体" w:hAnsi="宋体"/>
          <w:b/>
          <w:bCs/>
          <w:color w:val="auto"/>
          <w:sz w:val="24"/>
          <w:highlight w:val="none"/>
        </w:rPr>
        <w:t>32.合同生效及其它</w:t>
      </w:r>
      <w:bookmarkEnd w:id="408"/>
      <w:bookmarkEnd w:id="409"/>
      <w:bookmarkEnd w:id="410"/>
      <w:bookmarkEnd w:id="411"/>
    </w:p>
    <w:p>
      <w:pPr>
        <w:pStyle w:val="48"/>
        <w:autoSpaceDE w:val="0"/>
        <w:autoSpaceDN w:val="0"/>
        <w:spacing w:line="360" w:lineRule="auto"/>
        <w:ind w:left="105" w:leftChars="50" w:firstLine="0"/>
        <w:contextualSpacing/>
        <w:rPr>
          <w:rFonts w:ascii="宋体" w:hAnsi="宋体"/>
          <w:color w:val="auto"/>
          <w:sz w:val="24"/>
          <w:szCs w:val="24"/>
          <w:highlight w:val="none"/>
        </w:rPr>
      </w:pPr>
      <w:r>
        <w:rPr>
          <w:rFonts w:hint="eastAsia" w:ascii="宋体" w:hAnsi="宋体"/>
          <w:color w:val="auto"/>
          <w:sz w:val="24"/>
          <w:szCs w:val="24"/>
          <w:highlight w:val="none"/>
        </w:rPr>
        <w:t>32.1 合同的生效须满足下列条件：</w:t>
      </w:r>
    </w:p>
    <w:p>
      <w:pPr>
        <w:pStyle w:val="48"/>
        <w:spacing w:line="360" w:lineRule="auto"/>
        <w:ind w:left="105" w:leftChars="50" w:firstLine="480" w:firstLineChars="200"/>
        <w:contextualSpacing/>
        <w:rPr>
          <w:rFonts w:ascii="宋体" w:hAnsi="宋体"/>
          <w:color w:val="auto"/>
          <w:sz w:val="24"/>
          <w:szCs w:val="24"/>
          <w:highlight w:val="none"/>
        </w:rPr>
      </w:pPr>
      <w:r>
        <w:rPr>
          <w:rFonts w:hint="eastAsia" w:ascii="宋体" w:hAnsi="宋体"/>
          <w:color w:val="auto"/>
          <w:sz w:val="24"/>
          <w:szCs w:val="24"/>
          <w:highlight w:val="none"/>
        </w:rPr>
        <w:t>本合同经双方法定代表人(负责人)或其书面授权代表分别在本合同签名并加盖各自单位公章或合同专用章后生效。</w:t>
      </w:r>
    </w:p>
    <w:p>
      <w:pPr>
        <w:pStyle w:val="48"/>
        <w:autoSpaceDE w:val="0"/>
        <w:autoSpaceDN w:val="0"/>
        <w:spacing w:line="360" w:lineRule="auto"/>
        <w:ind w:left="105" w:leftChars="50" w:firstLine="0"/>
        <w:rPr>
          <w:rFonts w:ascii="宋体" w:hAnsi="宋体"/>
          <w:color w:val="auto"/>
          <w:sz w:val="24"/>
          <w:szCs w:val="24"/>
          <w:highlight w:val="none"/>
        </w:rPr>
      </w:pPr>
      <w:r>
        <w:rPr>
          <w:rFonts w:hint="eastAsia" w:ascii="宋体" w:hAnsi="宋体"/>
          <w:color w:val="auto"/>
          <w:sz w:val="24"/>
          <w:szCs w:val="24"/>
          <w:highlight w:val="none"/>
        </w:rPr>
        <w:t>32.2 本合同有效期至双方均已完成合同项下各自的义务止。但关于争议解决的条款和保密条款不与本合同的生效、履行完毕或无效而失效。</w:t>
      </w:r>
    </w:p>
    <w:p>
      <w:pPr>
        <w:widowControl/>
        <w:spacing w:line="360" w:lineRule="auto"/>
        <w:jc w:val="left"/>
        <w:rPr>
          <w:rFonts w:ascii="宋体" w:hAnsi="宋体"/>
          <w:b/>
          <w:bCs/>
          <w:color w:val="auto"/>
          <w:kern w:val="0"/>
          <w:sz w:val="24"/>
          <w:highlight w:val="none"/>
        </w:rPr>
      </w:pPr>
      <w:r>
        <w:rPr>
          <w:rFonts w:hint="eastAsia" w:ascii="宋体" w:hAnsi="宋体"/>
          <w:color w:val="auto"/>
          <w:sz w:val="24"/>
          <w:highlight w:val="none"/>
        </w:rPr>
        <w:br w:type="page"/>
      </w:r>
      <w:r>
        <w:rPr>
          <w:rFonts w:hint="eastAsia" w:ascii="宋体" w:hAnsi="宋体"/>
          <w:b/>
          <w:color w:val="auto"/>
          <w:sz w:val="40"/>
          <w:szCs w:val="40"/>
          <w:highlight w:val="none"/>
        </w:rPr>
        <w:t>1.6廉政协议</w:t>
      </w:r>
    </w:p>
    <w:p>
      <w:pPr>
        <w:spacing w:line="360" w:lineRule="auto"/>
        <w:contextualSpacing/>
        <w:jc w:val="center"/>
        <w:rPr>
          <w:rFonts w:ascii="宋体" w:hAnsi="宋体"/>
          <w:b/>
          <w:bCs/>
          <w:color w:val="auto"/>
          <w:kern w:val="0"/>
          <w:sz w:val="36"/>
          <w:szCs w:val="36"/>
          <w:highlight w:val="none"/>
        </w:rPr>
      </w:pPr>
      <w:r>
        <w:rPr>
          <w:rFonts w:hint="eastAsia" w:ascii="宋体" w:hAnsi="宋体"/>
          <w:b/>
          <w:bCs/>
          <w:color w:val="auto"/>
          <w:kern w:val="0"/>
          <w:sz w:val="36"/>
          <w:szCs w:val="36"/>
          <w:highlight w:val="none"/>
        </w:rPr>
        <w:t>廉政协议</w:t>
      </w:r>
    </w:p>
    <w:p>
      <w:pPr>
        <w:spacing w:line="360" w:lineRule="auto"/>
        <w:ind w:firstLine="480" w:firstLineChars="200"/>
        <w:contextualSpacing/>
        <w:rPr>
          <w:rFonts w:hint="eastAsia" w:hAnsi="宋体" w:eastAsia="宋体"/>
          <w:color w:val="auto"/>
          <w:kern w:val="0"/>
          <w:sz w:val="24"/>
          <w:highlight w:val="none"/>
          <w:u w:val="single"/>
          <w:lang w:eastAsia="zh-CN"/>
        </w:rPr>
      </w:pPr>
      <w:r>
        <w:rPr>
          <w:rFonts w:hint="eastAsia" w:ascii="宋体" w:hAnsi="宋体"/>
          <w:color w:val="auto"/>
          <w:kern w:val="0"/>
          <w:sz w:val="24"/>
          <w:highlight w:val="none"/>
        </w:rPr>
        <w:t>买方：</w:t>
      </w:r>
      <w:r>
        <w:rPr>
          <w:rFonts w:hint="eastAsia" w:ascii="宋体" w:hAnsi="宋体"/>
          <w:bCs/>
          <w:color w:val="auto"/>
          <w:sz w:val="24"/>
          <w:szCs w:val="28"/>
          <w:highlight w:val="none"/>
          <w:lang w:eastAsia="zh-CN"/>
        </w:rPr>
        <w:t xml:space="preserve">乌兰县恒信国有资产投资管理有限公司 </w:t>
      </w:r>
    </w:p>
    <w:p>
      <w:pPr>
        <w:spacing w:line="360" w:lineRule="auto"/>
        <w:ind w:firstLine="480" w:firstLineChars="200"/>
        <w:contextualSpacing/>
        <w:rPr>
          <w:rFonts w:ascii="宋体" w:hAnsi="宋体"/>
          <w:color w:val="auto"/>
          <w:kern w:val="0"/>
          <w:sz w:val="24"/>
          <w:highlight w:val="none"/>
        </w:rPr>
      </w:pPr>
      <w:r>
        <w:rPr>
          <w:rFonts w:hint="eastAsia" w:ascii="宋体" w:hAnsi="宋体"/>
          <w:color w:val="auto"/>
          <w:kern w:val="0"/>
          <w:sz w:val="24"/>
          <w:highlight w:val="none"/>
        </w:rPr>
        <w:t xml:space="preserve">卖方：                              </w:t>
      </w:r>
    </w:p>
    <w:p>
      <w:pPr>
        <w:spacing w:line="360" w:lineRule="auto"/>
        <w:ind w:firstLine="480" w:firstLineChars="200"/>
        <w:contextualSpacing/>
        <w:rPr>
          <w:rFonts w:ascii="宋体" w:hAnsi="宋体"/>
          <w:color w:val="auto"/>
          <w:kern w:val="0"/>
          <w:sz w:val="24"/>
          <w:highlight w:val="none"/>
        </w:rPr>
      </w:pPr>
      <w:r>
        <w:rPr>
          <w:rFonts w:hint="eastAsia" w:ascii="宋体" w:hAnsi="宋体"/>
          <w:color w:val="auto"/>
          <w:kern w:val="0"/>
          <w:sz w:val="24"/>
          <w:highlight w:val="none"/>
        </w:rPr>
        <w:t xml:space="preserve">为保证双方在（项目名称）采购中正常合作，不违犯党和国家的有关廉政建设的法律、法规和规定，做到廉洁公正和相互监督，特签订本协议。 </w:t>
      </w:r>
    </w:p>
    <w:p>
      <w:pPr>
        <w:spacing w:line="360" w:lineRule="auto"/>
        <w:ind w:firstLine="480" w:firstLineChars="200"/>
        <w:contextualSpacing/>
        <w:rPr>
          <w:rFonts w:ascii="宋体" w:hAnsi="宋体"/>
          <w:color w:val="auto"/>
          <w:kern w:val="0"/>
          <w:sz w:val="24"/>
          <w:highlight w:val="none"/>
        </w:rPr>
      </w:pPr>
      <w:r>
        <w:rPr>
          <w:rFonts w:hint="eastAsia" w:ascii="宋体" w:hAnsi="宋体"/>
          <w:color w:val="auto"/>
          <w:kern w:val="0"/>
          <w:sz w:val="24"/>
          <w:highlight w:val="none"/>
        </w:rPr>
        <w:t>第一条  双方的权利和义务</w:t>
      </w:r>
    </w:p>
    <w:p>
      <w:pPr>
        <w:spacing w:line="360" w:lineRule="auto"/>
        <w:ind w:firstLine="480" w:firstLineChars="200"/>
        <w:contextualSpacing/>
        <w:rPr>
          <w:rFonts w:ascii="宋体" w:hAnsi="宋体"/>
          <w:color w:val="auto"/>
          <w:kern w:val="0"/>
          <w:sz w:val="24"/>
          <w:highlight w:val="none"/>
        </w:rPr>
      </w:pPr>
      <w:r>
        <w:rPr>
          <w:rFonts w:hint="eastAsia" w:ascii="宋体" w:hAnsi="宋体"/>
          <w:color w:val="auto"/>
          <w:kern w:val="0"/>
          <w:sz w:val="24"/>
          <w:highlight w:val="none"/>
        </w:rPr>
        <w:t>（一）严格遵守党和国家有关法律及党风廉政建设的有关规定。</w:t>
      </w:r>
    </w:p>
    <w:p>
      <w:pPr>
        <w:spacing w:line="360" w:lineRule="auto"/>
        <w:ind w:firstLine="480" w:firstLineChars="200"/>
        <w:contextualSpacing/>
        <w:rPr>
          <w:rFonts w:ascii="宋体" w:hAnsi="宋体"/>
          <w:color w:val="auto"/>
          <w:kern w:val="0"/>
          <w:sz w:val="24"/>
          <w:highlight w:val="none"/>
        </w:rPr>
      </w:pPr>
      <w:r>
        <w:rPr>
          <w:rFonts w:hint="eastAsia" w:ascii="宋体" w:hAnsi="宋体"/>
          <w:color w:val="auto"/>
          <w:kern w:val="0"/>
          <w:sz w:val="24"/>
          <w:highlight w:val="none"/>
        </w:rPr>
        <w:t>（二）严格执行合同文件，自觉按合同办事。</w:t>
      </w:r>
    </w:p>
    <w:p>
      <w:pPr>
        <w:spacing w:line="360" w:lineRule="auto"/>
        <w:ind w:firstLine="480" w:firstLineChars="200"/>
        <w:contextualSpacing/>
        <w:rPr>
          <w:rFonts w:ascii="宋体" w:hAnsi="宋体"/>
          <w:color w:val="auto"/>
          <w:kern w:val="0"/>
          <w:sz w:val="24"/>
          <w:highlight w:val="none"/>
        </w:rPr>
      </w:pPr>
      <w:r>
        <w:rPr>
          <w:rFonts w:hint="eastAsia" w:ascii="宋体" w:hAnsi="宋体"/>
          <w:color w:val="auto"/>
          <w:kern w:val="0"/>
          <w:sz w:val="24"/>
          <w:highlight w:val="none"/>
        </w:rPr>
        <w:t>（三）双方的业务活动坚持公开、公正、诚信、透明的原则（除法律认定的商业秘密和合同文件另有规定之外），不得损害国家和集体利益，不得违反国家相关的规章制度。</w:t>
      </w:r>
    </w:p>
    <w:p>
      <w:pPr>
        <w:spacing w:line="360" w:lineRule="auto"/>
        <w:ind w:firstLine="480" w:firstLineChars="200"/>
        <w:contextualSpacing/>
        <w:rPr>
          <w:rFonts w:ascii="宋体" w:hAnsi="宋体"/>
          <w:color w:val="auto"/>
          <w:kern w:val="0"/>
          <w:sz w:val="24"/>
          <w:highlight w:val="none"/>
        </w:rPr>
      </w:pPr>
      <w:r>
        <w:rPr>
          <w:rFonts w:hint="eastAsia" w:ascii="宋体" w:hAnsi="宋体"/>
          <w:color w:val="auto"/>
          <w:kern w:val="0"/>
          <w:sz w:val="24"/>
          <w:highlight w:val="none"/>
        </w:rPr>
        <w:t>（四）建立健全廉政制度，开展廉政教育，设立廉政告示牌，公布举报电话，监督并认真查处违反违纪行为。</w:t>
      </w:r>
    </w:p>
    <w:p>
      <w:pPr>
        <w:spacing w:line="360" w:lineRule="auto"/>
        <w:ind w:firstLine="480" w:firstLineChars="200"/>
        <w:contextualSpacing/>
        <w:rPr>
          <w:rFonts w:ascii="宋体" w:hAnsi="宋体"/>
          <w:color w:val="auto"/>
          <w:kern w:val="0"/>
          <w:sz w:val="24"/>
          <w:highlight w:val="none"/>
        </w:rPr>
      </w:pPr>
      <w:r>
        <w:rPr>
          <w:rFonts w:hint="eastAsia" w:ascii="宋体" w:hAnsi="宋体"/>
          <w:color w:val="auto"/>
          <w:kern w:val="0"/>
          <w:sz w:val="24"/>
          <w:highlight w:val="none"/>
        </w:rPr>
        <w:t>（五）发现对方在业务活动中有违反廉政规定的行为，有及时提醒对方纠正的权利和义务。</w:t>
      </w:r>
    </w:p>
    <w:p>
      <w:pPr>
        <w:spacing w:line="360" w:lineRule="auto"/>
        <w:ind w:firstLine="480" w:firstLineChars="200"/>
        <w:contextualSpacing/>
        <w:rPr>
          <w:rFonts w:ascii="宋体" w:hAnsi="宋体"/>
          <w:color w:val="auto"/>
          <w:kern w:val="0"/>
          <w:sz w:val="24"/>
          <w:highlight w:val="none"/>
        </w:rPr>
      </w:pPr>
      <w:r>
        <w:rPr>
          <w:rFonts w:hint="eastAsia" w:ascii="宋体" w:hAnsi="宋体"/>
          <w:color w:val="auto"/>
          <w:kern w:val="0"/>
          <w:sz w:val="24"/>
          <w:highlight w:val="none"/>
        </w:rPr>
        <w:t>（六）发现对方严重违反本合同义务条款的行为，有向其上级有关部门举报、建议给予处理并要求告知处理结果的权利。</w:t>
      </w:r>
    </w:p>
    <w:p>
      <w:pPr>
        <w:spacing w:line="360" w:lineRule="auto"/>
        <w:ind w:firstLine="480" w:firstLineChars="200"/>
        <w:contextualSpacing/>
        <w:rPr>
          <w:rFonts w:ascii="宋体" w:hAnsi="宋体"/>
          <w:color w:val="auto"/>
          <w:kern w:val="0"/>
          <w:sz w:val="24"/>
          <w:highlight w:val="none"/>
        </w:rPr>
      </w:pPr>
      <w:r>
        <w:rPr>
          <w:rFonts w:hint="eastAsia" w:ascii="宋体" w:hAnsi="宋体"/>
          <w:color w:val="auto"/>
          <w:kern w:val="0"/>
          <w:sz w:val="24"/>
          <w:highlight w:val="none"/>
        </w:rPr>
        <w:t>第二条  买方的义务</w:t>
      </w:r>
    </w:p>
    <w:p>
      <w:pPr>
        <w:spacing w:line="360" w:lineRule="auto"/>
        <w:ind w:firstLine="480" w:firstLineChars="200"/>
        <w:contextualSpacing/>
        <w:rPr>
          <w:rFonts w:ascii="宋体" w:hAnsi="宋体"/>
          <w:color w:val="auto"/>
          <w:kern w:val="0"/>
          <w:sz w:val="24"/>
          <w:highlight w:val="none"/>
        </w:rPr>
      </w:pPr>
      <w:r>
        <w:rPr>
          <w:rFonts w:hint="eastAsia" w:ascii="宋体" w:hAnsi="宋体"/>
          <w:color w:val="auto"/>
          <w:kern w:val="0"/>
          <w:sz w:val="24"/>
          <w:highlight w:val="none"/>
        </w:rPr>
        <w:t>（一）买方及其工作人员不得利用工作便利收受或索要卖方财物，以及各种名义的回扣；不得在卖方报销任何应由买方 或个人支付的费用等。</w:t>
      </w:r>
    </w:p>
    <w:p>
      <w:pPr>
        <w:spacing w:line="360" w:lineRule="auto"/>
        <w:ind w:firstLine="480" w:firstLineChars="200"/>
        <w:contextualSpacing/>
        <w:rPr>
          <w:rFonts w:ascii="宋体" w:hAnsi="宋体"/>
          <w:color w:val="auto"/>
          <w:kern w:val="0"/>
          <w:sz w:val="24"/>
          <w:highlight w:val="none"/>
        </w:rPr>
      </w:pPr>
      <w:r>
        <w:rPr>
          <w:rFonts w:hint="eastAsia" w:ascii="宋体" w:hAnsi="宋体"/>
          <w:color w:val="auto"/>
          <w:kern w:val="0"/>
          <w:sz w:val="24"/>
          <w:highlight w:val="none"/>
        </w:rPr>
        <w:t>（二）买方工作人员不得参加卖方安排的宴请和娱乐活动；不得接受卖方提供的通讯工具、交通工具和高档办公用品等。</w:t>
      </w:r>
    </w:p>
    <w:p>
      <w:pPr>
        <w:spacing w:line="360" w:lineRule="auto"/>
        <w:ind w:firstLine="480" w:firstLineChars="200"/>
        <w:contextualSpacing/>
        <w:rPr>
          <w:rFonts w:ascii="宋体" w:hAnsi="宋体"/>
          <w:color w:val="auto"/>
          <w:kern w:val="0"/>
          <w:sz w:val="24"/>
          <w:highlight w:val="none"/>
        </w:rPr>
      </w:pPr>
      <w:r>
        <w:rPr>
          <w:rFonts w:hint="eastAsia" w:ascii="宋体" w:hAnsi="宋体"/>
          <w:color w:val="auto"/>
          <w:kern w:val="0"/>
          <w:sz w:val="24"/>
          <w:highlight w:val="none"/>
        </w:rPr>
        <w:t>（三）买方及其工作人员不得要求或者接受卖方为其住房装修、婚丧嫁娶活动、配偶子女的工作安排以及出国出境、旅游等提供方便等。</w:t>
      </w:r>
    </w:p>
    <w:p>
      <w:pPr>
        <w:spacing w:line="360" w:lineRule="auto"/>
        <w:ind w:firstLine="480" w:firstLineChars="200"/>
        <w:contextualSpacing/>
        <w:rPr>
          <w:rFonts w:ascii="宋体" w:hAnsi="宋体"/>
          <w:color w:val="auto"/>
          <w:kern w:val="0"/>
          <w:sz w:val="24"/>
          <w:highlight w:val="none"/>
        </w:rPr>
      </w:pPr>
      <w:r>
        <w:rPr>
          <w:rFonts w:hint="eastAsia" w:ascii="宋体" w:hAnsi="宋体"/>
          <w:color w:val="auto"/>
          <w:kern w:val="0"/>
          <w:sz w:val="24"/>
          <w:highlight w:val="none"/>
        </w:rPr>
        <w:t>（四）买方工作人员的配偶、子女不得从事与买方有关的材料设备供应、劳务等经济活动等。</w:t>
      </w:r>
    </w:p>
    <w:p>
      <w:pPr>
        <w:spacing w:line="360" w:lineRule="auto"/>
        <w:ind w:firstLine="480" w:firstLineChars="200"/>
        <w:contextualSpacing/>
        <w:rPr>
          <w:rFonts w:ascii="宋体" w:hAnsi="宋体"/>
          <w:color w:val="auto"/>
          <w:kern w:val="0"/>
          <w:sz w:val="24"/>
          <w:highlight w:val="none"/>
        </w:rPr>
      </w:pPr>
      <w:r>
        <w:rPr>
          <w:rFonts w:hint="eastAsia" w:ascii="宋体" w:hAnsi="宋体"/>
          <w:color w:val="auto"/>
          <w:kern w:val="0"/>
          <w:sz w:val="24"/>
          <w:highlight w:val="none"/>
        </w:rPr>
        <w:t>（五）买方及其工作人员不得以任何理由向卖方推荐分包单位。不能要求卖方购买合同规定外的材料和设备。</w:t>
      </w:r>
    </w:p>
    <w:p>
      <w:pPr>
        <w:spacing w:line="360" w:lineRule="auto"/>
        <w:ind w:firstLine="480" w:firstLineChars="200"/>
        <w:contextualSpacing/>
        <w:rPr>
          <w:rFonts w:ascii="宋体" w:hAnsi="宋体"/>
          <w:color w:val="auto"/>
          <w:kern w:val="0"/>
          <w:sz w:val="24"/>
          <w:highlight w:val="none"/>
        </w:rPr>
      </w:pPr>
      <w:r>
        <w:rPr>
          <w:rFonts w:hint="eastAsia" w:ascii="宋体" w:hAnsi="宋体"/>
          <w:color w:val="auto"/>
          <w:kern w:val="0"/>
          <w:sz w:val="24"/>
          <w:highlight w:val="none"/>
        </w:rPr>
        <w:t>第三条  卖方义务</w:t>
      </w:r>
    </w:p>
    <w:p>
      <w:pPr>
        <w:spacing w:line="360" w:lineRule="auto"/>
        <w:ind w:firstLine="480" w:firstLineChars="200"/>
        <w:contextualSpacing/>
        <w:rPr>
          <w:rFonts w:ascii="宋体" w:hAnsi="宋体"/>
          <w:color w:val="auto"/>
          <w:kern w:val="0"/>
          <w:sz w:val="24"/>
          <w:highlight w:val="none"/>
        </w:rPr>
      </w:pPr>
      <w:r>
        <w:rPr>
          <w:rFonts w:hint="eastAsia" w:ascii="宋体" w:hAnsi="宋体"/>
          <w:color w:val="auto"/>
          <w:kern w:val="0"/>
          <w:sz w:val="24"/>
          <w:highlight w:val="none"/>
        </w:rPr>
        <w:t>（一）卖方不得为谋求不正当的利益而向买方 和买方 的任何个人行贿，或者违犯有关规定给予买方 工作人员以财物或各种名义的回扣、手续费等。</w:t>
      </w:r>
    </w:p>
    <w:p>
      <w:pPr>
        <w:spacing w:line="360" w:lineRule="auto"/>
        <w:ind w:firstLine="480" w:firstLineChars="200"/>
        <w:contextualSpacing/>
        <w:rPr>
          <w:rFonts w:ascii="宋体" w:hAnsi="宋体"/>
          <w:color w:val="auto"/>
          <w:kern w:val="0"/>
          <w:sz w:val="24"/>
          <w:highlight w:val="none"/>
        </w:rPr>
      </w:pPr>
      <w:r>
        <w:rPr>
          <w:rFonts w:hint="eastAsia" w:ascii="宋体" w:hAnsi="宋体"/>
          <w:color w:val="auto"/>
          <w:kern w:val="0"/>
          <w:sz w:val="24"/>
          <w:highlight w:val="none"/>
        </w:rPr>
        <w:t>（二）卖方不得以任何名义为买方 及其工作人员报销应由买方 单位或个人支付的任何费用。</w:t>
      </w:r>
    </w:p>
    <w:p>
      <w:pPr>
        <w:spacing w:line="360" w:lineRule="auto"/>
        <w:ind w:firstLine="480" w:firstLineChars="200"/>
        <w:contextualSpacing/>
        <w:rPr>
          <w:rFonts w:ascii="宋体" w:hAnsi="宋体"/>
          <w:color w:val="auto"/>
          <w:kern w:val="0"/>
          <w:sz w:val="24"/>
          <w:highlight w:val="none"/>
        </w:rPr>
      </w:pPr>
      <w:r>
        <w:rPr>
          <w:rFonts w:hint="eastAsia" w:ascii="宋体" w:hAnsi="宋体"/>
          <w:color w:val="auto"/>
          <w:kern w:val="0"/>
          <w:sz w:val="24"/>
          <w:highlight w:val="none"/>
        </w:rPr>
        <w:t>（三）卖方不得以任何理由安排买方 工作人员参加超标准宴请及娱乐活动。</w:t>
      </w:r>
    </w:p>
    <w:p>
      <w:pPr>
        <w:spacing w:line="360" w:lineRule="auto"/>
        <w:ind w:firstLine="480" w:firstLineChars="200"/>
        <w:contextualSpacing/>
        <w:rPr>
          <w:rFonts w:ascii="宋体" w:hAnsi="宋体"/>
          <w:color w:val="auto"/>
          <w:kern w:val="0"/>
          <w:sz w:val="24"/>
          <w:highlight w:val="none"/>
        </w:rPr>
      </w:pPr>
      <w:r>
        <w:rPr>
          <w:rFonts w:hint="eastAsia" w:ascii="宋体" w:hAnsi="宋体"/>
          <w:color w:val="auto"/>
          <w:kern w:val="0"/>
          <w:sz w:val="24"/>
          <w:highlight w:val="none"/>
        </w:rPr>
        <w:t>（四）卖方不得为买方 单位和个人购置或提供通讯工具和高档办公用品等。</w:t>
      </w:r>
    </w:p>
    <w:p>
      <w:pPr>
        <w:spacing w:line="360" w:lineRule="auto"/>
        <w:ind w:firstLine="480" w:firstLineChars="200"/>
        <w:contextualSpacing/>
        <w:rPr>
          <w:rFonts w:ascii="宋体" w:hAnsi="宋体"/>
          <w:color w:val="auto"/>
          <w:kern w:val="0"/>
          <w:sz w:val="24"/>
          <w:highlight w:val="none"/>
        </w:rPr>
      </w:pPr>
      <w:r>
        <w:rPr>
          <w:rFonts w:hint="eastAsia" w:ascii="宋体" w:hAnsi="宋体"/>
          <w:color w:val="auto"/>
          <w:kern w:val="0"/>
          <w:sz w:val="24"/>
          <w:highlight w:val="none"/>
        </w:rPr>
        <w:t>第四条  违约责任</w:t>
      </w:r>
    </w:p>
    <w:p>
      <w:pPr>
        <w:spacing w:line="360" w:lineRule="auto"/>
        <w:ind w:firstLine="480" w:firstLineChars="200"/>
        <w:contextualSpacing/>
        <w:rPr>
          <w:rFonts w:ascii="宋体" w:hAnsi="宋体"/>
          <w:color w:val="auto"/>
          <w:kern w:val="0"/>
          <w:sz w:val="24"/>
          <w:highlight w:val="none"/>
        </w:rPr>
      </w:pPr>
      <w:r>
        <w:rPr>
          <w:rFonts w:hint="eastAsia" w:ascii="宋体" w:hAnsi="宋体"/>
          <w:color w:val="auto"/>
          <w:kern w:val="0"/>
          <w:sz w:val="24"/>
          <w:highlight w:val="none"/>
        </w:rPr>
        <w:t>（一）买方及其工作人员违反本协议约定，按管理权限，依照有关规定给予党纪、政纪或组织处理；涉嫌犯罪的，移交司法机关追究刑事责任；给卖方造成经济损失的，应予以赔偿。</w:t>
      </w:r>
    </w:p>
    <w:p>
      <w:pPr>
        <w:spacing w:line="360" w:lineRule="auto"/>
        <w:ind w:firstLine="480" w:firstLineChars="200"/>
        <w:contextualSpacing/>
        <w:rPr>
          <w:rFonts w:ascii="宋体" w:hAnsi="宋体"/>
          <w:color w:val="auto"/>
          <w:kern w:val="0"/>
          <w:sz w:val="24"/>
          <w:highlight w:val="none"/>
        </w:rPr>
      </w:pPr>
      <w:r>
        <w:rPr>
          <w:rFonts w:hint="eastAsia" w:ascii="宋体" w:hAnsi="宋体"/>
          <w:color w:val="auto"/>
          <w:kern w:val="0"/>
          <w:sz w:val="24"/>
          <w:highlight w:val="none"/>
        </w:rPr>
        <w:t>（二）卖方及其工作人员违反本协议约定，按管理权限，依照有关规定，给予党纪、政纪或组织处理，给买方 造成经济损失的，应予以赔偿。买方 有权解除合同。</w:t>
      </w:r>
    </w:p>
    <w:p>
      <w:pPr>
        <w:spacing w:line="360" w:lineRule="auto"/>
        <w:ind w:firstLine="480" w:firstLineChars="200"/>
        <w:contextualSpacing/>
        <w:rPr>
          <w:rFonts w:ascii="宋体" w:hAnsi="宋体"/>
          <w:color w:val="auto"/>
          <w:kern w:val="0"/>
          <w:sz w:val="24"/>
          <w:highlight w:val="none"/>
        </w:rPr>
      </w:pPr>
      <w:r>
        <w:rPr>
          <w:rFonts w:hint="eastAsia" w:ascii="宋体" w:hAnsi="宋体"/>
          <w:color w:val="auto"/>
          <w:kern w:val="0"/>
          <w:sz w:val="24"/>
          <w:highlight w:val="none"/>
        </w:rPr>
        <w:t>第五条  双方约定：</w:t>
      </w:r>
    </w:p>
    <w:p>
      <w:pPr>
        <w:spacing w:line="360" w:lineRule="auto"/>
        <w:ind w:firstLine="480" w:firstLineChars="200"/>
        <w:contextualSpacing/>
        <w:rPr>
          <w:rFonts w:ascii="宋体" w:hAnsi="宋体"/>
          <w:color w:val="auto"/>
          <w:kern w:val="0"/>
          <w:sz w:val="24"/>
          <w:highlight w:val="none"/>
        </w:rPr>
      </w:pPr>
      <w:r>
        <w:rPr>
          <w:rFonts w:hint="eastAsia" w:ascii="宋体" w:hAnsi="宋体"/>
          <w:color w:val="auto"/>
          <w:kern w:val="0"/>
          <w:sz w:val="24"/>
          <w:highlight w:val="none"/>
        </w:rPr>
        <w:t>本协议由双方或双方上级单位的纪检监察机关负责监督。由买方或买方上级单位的纪检监察机关约请卖方或卖方上级单位纪检监察机关对本协议履行情况进行检查，提出在本协议同规定范围内的裁定意见。</w:t>
      </w:r>
    </w:p>
    <w:p>
      <w:pPr>
        <w:spacing w:line="360" w:lineRule="auto"/>
        <w:ind w:firstLine="480" w:firstLineChars="200"/>
        <w:contextualSpacing/>
        <w:rPr>
          <w:rFonts w:ascii="宋体" w:hAnsi="宋体"/>
          <w:color w:val="auto"/>
          <w:kern w:val="0"/>
          <w:sz w:val="24"/>
          <w:highlight w:val="none"/>
        </w:rPr>
      </w:pPr>
      <w:r>
        <w:rPr>
          <w:rFonts w:hint="eastAsia" w:ascii="宋体" w:hAnsi="宋体"/>
          <w:color w:val="auto"/>
          <w:kern w:val="0"/>
          <w:sz w:val="24"/>
          <w:highlight w:val="none"/>
        </w:rPr>
        <w:t>第六条  本协议有效期为双方签署之日起至该项目验收合格后止。</w:t>
      </w:r>
    </w:p>
    <w:p>
      <w:pPr>
        <w:spacing w:line="360" w:lineRule="auto"/>
        <w:ind w:firstLine="480" w:firstLineChars="200"/>
        <w:contextualSpacing/>
        <w:rPr>
          <w:rFonts w:ascii="宋体" w:hAnsi="宋体"/>
          <w:b/>
          <w:bCs/>
          <w:color w:val="auto"/>
          <w:kern w:val="0"/>
          <w:sz w:val="24"/>
          <w:highlight w:val="none"/>
        </w:rPr>
      </w:pPr>
      <w:r>
        <w:rPr>
          <w:rFonts w:hint="eastAsia" w:ascii="宋体" w:hAnsi="宋体"/>
          <w:color w:val="auto"/>
          <w:kern w:val="0"/>
          <w:sz w:val="24"/>
          <w:highlight w:val="none"/>
        </w:rPr>
        <w:t>第七条  本协议作为</w:t>
      </w:r>
      <w:r>
        <w:rPr>
          <w:rFonts w:hint="eastAsia" w:ascii="宋体" w:hAnsi="宋体"/>
          <w:bCs/>
          <w:color w:val="auto"/>
          <w:kern w:val="0"/>
          <w:sz w:val="24"/>
          <w:highlight w:val="none"/>
          <w:lang w:eastAsia="zh-CN"/>
        </w:rPr>
        <w:t>青海锦翔询比（货物）2022-002</w:t>
      </w:r>
      <w:r>
        <w:rPr>
          <w:rFonts w:hint="eastAsia" w:ascii="宋体" w:hAnsi="宋体"/>
          <w:color w:val="auto"/>
          <w:kern w:val="0"/>
          <w:sz w:val="24"/>
          <w:highlight w:val="none"/>
        </w:rPr>
        <w:t>合同附件，与施工合同具有同等的法律效力，经合同双方签署后生效，货物验收合格后自动解除。</w:t>
      </w:r>
    </w:p>
    <w:p>
      <w:pPr>
        <w:spacing w:line="360" w:lineRule="auto"/>
        <w:contextualSpacing/>
        <w:rPr>
          <w:rFonts w:ascii="宋体" w:hAnsi="宋体"/>
          <w:color w:val="auto"/>
          <w:kern w:val="0"/>
          <w:sz w:val="24"/>
          <w:highlight w:val="none"/>
        </w:rPr>
      </w:pPr>
    </w:p>
    <w:p>
      <w:pPr>
        <w:spacing w:line="360" w:lineRule="auto"/>
        <w:contextualSpacing/>
        <w:rPr>
          <w:rFonts w:ascii="宋体" w:hAnsi="宋体"/>
          <w:color w:val="auto"/>
          <w:kern w:val="0"/>
          <w:sz w:val="24"/>
          <w:highlight w:val="none"/>
        </w:rPr>
      </w:pPr>
    </w:p>
    <w:p>
      <w:pPr>
        <w:spacing w:line="360" w:lineRule="auto"/>
        <w:contextualSpacing/>
        <w:rPr>
          <w:rFonts w:ascii="宋体" w:hAnsi="宋体"/>
          <w:color w:val="auto"/>
          <w:kern w:val="0"/>
          <w:sz w:val="24"/>
          <w:highlight w:val="none"/>
        </w:rPr>
      </w:pPr>
      <w:r>
        <w:rPr>
          <w:rFonts w:hint="eastAsia" w:ascii="宋体" w:hAnsi="宋体"/>
          <w:color w:val="auto"/>
          <w:kern w:val="0"/>
          <w:sz w:val="24"/>
          <w:highlight w:val="none"/>
        </w:rPr>
        <w:t>买方：                 （公章）         卖方：                （公章）</w:t>
      </w:r>
    </w:p>
    <w:p>
      <w:pPr>
        <w:spacing w:line="360" w:lineRule="auto"/>
        <w:contextualSpacing/>
        <w:rPr>
          <w:rFonts w:ascii="宋体" w:hAnsi="宋体"/>
          <w:color w:val="auto"/>
          <w:kern w:val="0"/>
          <w:sz w:val="24"/>
          <w:highlight w:val="none"/>
        </w:rPr>
      </w:pPr>
      <w:r>
        <w:rPr>
          <w:rFonts w:hint="eastAsia" w:ascii="宋体" w:hAnsi="宋体"/>
          <w:color w:val="auto"/>
          <w:kern w:val="0"/>
          <w:sz w:val="24"/>
          <w:highlight w:val="none"/>
        </w:rPr>
        <w:t>法定代表人：           （签字）         法定代表人：          （签字）</w:t>
      </w:r>
    </w:p>
    <w:p>
      <w:pPr>
        <w:spacing w:line="360" w:lineRule="auto"/>
        <w:contextualSpacing/>
        <w:rPr>
          <w:rFonts w:ascii="宋体" w:hAnsi="宋体"/>
          <w:color w:val="auto"/>
          <w:kern w:val="0"/>
          <w:sz w:val="24"/>
          <w:highlight w:val="none"/>
        </w:rPr>
      </w:pPr>
      <w:r>
        <w:rPr>
          <w:rFonts w:hint="eastAsia" w:ascii="宋体" w:hAnsi="宋体"/>
          <w:color w:val="auto"/>
          <w:kern w:val="0"/>
          <w:sz w:val="24"/>
          <w:highlight w:val="none"/>
        </w:rPr>
        <w:t>或委托代理人：         （签字）         或委托代理人：        （签字）</w:t>
      </w:r>
    </w:p>
    <w:p>
      <w:pPr>
        <w:spacing w:line="360" w:lineRule="auto"/>
        <w:ind w:firstLine="1200" w:firstLineChars="500"/>
        <w:contextualSpacing/>
        <w:rPr>
          <w:rFonts w:hint="eastAsia" w:ascii="宋体" w:hAnsi="宋体"/>
          <w:color w:val="auto"/>
          <w:sz w:val="24"/>
          <w:highlight w:val="none"/>
        </w:rPr>
      </w:pPr>
    </w:p>
    <w:p>
      <w:pPr>
        <w:spacing w:line="360" w:lineRule="auto"/>
        <w:ind w:firstLine="1200" w:firstLineChars="500"/>
        <w:contextualSpacing/>
        <w:rPr>
          <w:rFonts w:ascii="宋体" w:hAnsi="宋体"/>
          <w:color w:val="auto"/>
          <w:sz w:val="24"/>
          <w:highlight w:val="none"/>
        </w:rPr>
      </w:pPr>
      <w:r>
        <w:rPr>
          <w:rFonts w:hint="eastAsia" w:ascii="宋体" w:hAnsi="宋体"/>
          <w:color w:val="auto"/>
          <w:sz w:val="24"/>
          <w:highlight w:val="none"/>
        </w:rPr>
        <w:t>年   月   日                            年   月   日</w:t>
      </w:r>
    </w:p>
    <w:p>
      <w:pPr>
        <w:spacing w:line="360" w:lineRule="auto"/>
        <w:rPr>
          <w:rFonts w:ascii="宋体" w:hAnsi="宋体"/>
          <w:b/>
          <w:color w:val="auto"/>
          <w:sz w:val="40"/>
          <w:szCs w:val="40"/>
          <w:highlight w:val="none"/>
        </w:rPr>
      </w:pPr>
    </w:p>
    <w:p>
      <w:pPr>
        <w:spacing w:line="360" w:lineRule="auto"/>
        <w:rPr>
          <w:rFonts w:ascii="宋体" w:hAnsi="宋体"/>
          <w:color w:val="auto"/>
          <w:sz w:val="24"/>
          <w:highlight w:val="none"/>
        </w:rPr>
      </w:pPr>
      <w:r>
        <w:rPr>
          <w:rFonts w:hint="eastAsia" w:ascii="宋体" w:hAnsi="宋体"/>
          <w:b/>
          <w:color w:val="auto"/>
          <w:sz w:val="40"/>
          <w:szCs w:val="40"/>
          <w:highlight w:val="none"/>
        </w:rPr>
        <w:t>1.7补充合同（协议）</w:t>
      </w:r>
    </w:p>
    <w:p>
      <w:pPr>
        <w:ind w:right="282"/>
        <w:rPr>
          <w:color w:val="auto"/>
          <w:highlight w:val="none"/>
        </w:rPr>
      </w:pPr>
    </w:p>
    <w:p>
      <w:pPr>
        <w:widowControl/>
        <w:spacing w:line="360" w:lineRule="auto"/>
        <w:jc w:val="left"/>
        <w:rPr>
          <w:rFonts w:ascii="宋体" w:hAnsi="宋体"/>
          <w:color w:val="auto"/>
          <w:sz w:val="24"/>
          <w:highlight w:val="none"/>
        </w:rPr>
      </w:pPr>
    </w:p>
    <w:p>
      <w:pPr>
        <w:spacing w:line="360" w:lineRule="auto"/>
        <w:rPr>
          <w:rFonts w:ascii="宋体" w:hAnsi="宋体"/>
          <w:color w:val="auto"/>
          <w:sz w:val="24"/>
          <w:highlight w:val="none"/>
        </w:rPr>
      </w:pPr>
    </w:p>
    <w:p>
      <w:pPr>
        <w:pStyle w:val="35"/>
        <w:jc w:val="both"/>
        <w:rPr>
          <w:color w:val="auto"/>
          <w:sz w:val="44"/>
          <w:highlight w:val="none"/>
          <w:lang w:val="zh-CN"/>
        </w:rPr>
      </w:pPr>
      <w:bookmarkStart w:id="412" w:name="_Toc18211"/>
      <w:bookmarkStart w:id="413" w:name="_Toc10730576"/>
      <w:bookmarkStart w:id="414" w:name="_Toc13582336"/>
    </w:p>
    <w:bookmarkEnd w:id="412"/>
    <w:bookmarkEnd w:id="413"/>
    <w:bookmarkEnd w:id="414"/>
    <w:p>
      <w:pPr>
        <w:pStyle w:val="35"/>
        <w:spacing w:line="360" w:lineRule="auto"/>
        <w:jc w:val="center"/>
        <w:rPr>
          <w:rFonts w:hint="eastAsia"/>
          <w:color w:val="auto"/>
          <w:sz w:val="44"/>
          <w:szCs w:val="36"/>
          <w:highlight w:val="none"/>
          <w:lang w:val="en-US" w:eastAsia="zh-CN"/>
        </w:rPr>
      </w:pPr>
      <w:bookmarkStart w:id="415" w:name="_Toc28791"/>
      <w:bookmarkStart w:id="416" w:name="_Toc10164"/>
      <w:bookmarkStart w:id="417" w:name="_Toc11287"/>
      <w:bookmarkStart w:id="418" w:name="_Toc6914"/>
      <w:r>
        <w:rPr>
          <w:rFonts w:hint="eastAsia"/>
          <w:color w:val="auto"/>
          <w:sz w:val="44"/>
          <w:szCs w:val="36"/>
          <w:highlight w:val="none"/>
          <w:lang w:val="en-US" w:eastAsia="zh-CN"/>
        </w:rPr>
        <w:t>第五部分 采购人要求</w:t>
      </w:r>
      <w:bookmarkEnd w:id="415"/>
      <w:bookmarkEnd w:id="416"/>
      <w:bookmarkEnd w:id="417"/>
      <w:bookmarkEnd w:id="418"/>
    </w:p>
    <w:p>
      <w:pPr>
        <w:pStyle w:val="35"/>
        <w:spacing w:before="0" w:after="0" w:line="360" w:lineRule="auto"/>
        <w:jc w:val="left"/>
        <w:outlineLvl w:val="1"/>
        <w:rPr>
          <w:rFonts w:hint="eastAsia" w:ascii="宋体" w:hAnsi="宋体" w:eastAsia="宋体" w:cs="宋体"/>
          <w:color w:val="auto"/>
          <w:highlight w:val="none"/>
          <w:lang w:val="zh-CN"/>
        </w:rPr>
      </w:pPr>
      <w:bookmarkStart w:id="419" w:name="_Toc4601"/>
      <w:bookmarkStart w:id="420" w:name="_Toc26124"/>
      <w:bookmarkStart w:id="421" w:name="_Toc30363"/>
      <w:bookmarkStart w:id="422" w:name="_Toc6146"/>
      <w:bookmarkStart w:id="423" w:name="_Toc14500"/>
      <w:bookmarkStart w:id="424" w:name="_Toc18804"/>
      <w:bookmarkStart w:id="425" w:name="_Toc29664"/>
      <w:bookmarkStart w:id="426" w:name="_Toc4999"/>
      <w:bookmarkStart w:id="427" w:name="_Toc26277"/>
      <w:bookmarkStart w:id="428" w:name="_Toc9061"/>
      <w:r>
        <w:rPr>
          <w:rFonts w:hint="eastAsia" w:ascii="宋体" w:hAnsi="宋体" w:eastAsia="宋体" w:cs="宋体"/>
          <w:color w:val="auto"/>
          <w:sz w:val="28"/>
          <w:szCs w:val="28"/>
          <w:highlight w:val="none"/>
          <w:lang w:val="zh-CN"/>
        </w:rPr>
        <w:t>1.投标说明</w:t>
      </w:r>
      <w:bookmarkEnd w:id="419"/>
      <w:bookmarkEnd w:id="420"/>
      <w:bookmarkEnd w:id="421"/>
      <w:bookmarkEnd w:id="422"/>
      <w:bookmarkEnd w:id="423"/>
      <w:bookmarkEnd w:id="424"/>
      <w:bookmarkEnd w:id="425"/>
      <w:bookmarkEnd w:id="426"/>
      <w:bookmarkEnd w:id="427"/>
      <w:bookmarkEnd w:id="428"/>
    </w:p>
    <w:p>
      <w:pPr>
        <w:autoSpaceDE w:val="0"/>
        <w:autoSpaceDN w:val="0"/>
        <w:spacing w:line="360" w:lineRule="auto"/>
        <w:ind w:firstLine="480" w:firstLineChars="200"/>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zh-CN"/>
        </w:rPr>
        <w:t>1.1</w:t>
      </w:r>
      <w:r>
        <w:rPr>
          <w:rFonts w:hint="eastAsia" w:ascii="宋体" w:hAnsi="宋体" w:eastAsia="宋体" w:cs="宋体"/>
          <w:color w:val="auto"/>
          <w:kern w:val="0"/>
          <w:sz w:val="24"/>
          <w:szCs w:val="24"/>
          <w:highlight w:val="none"/>
        </w:rPr>
        <w:t xml:space="preserve"> </w:t>
      </w:r>
      <w:r>
        <w:rPr>
          <w:rFonts w:hint="eastAsia" w:ascii="宋体" w:hAnsi="宋体" w:eastAsia="宋体" w:cs="宋体"/>
          <w:color w:val="auto"/>
          <w:kern w:val="0"/>
          <w:sz w:val="24"/>
          <w:szCs w:val="24"/>
          <w:highlight w:val="none"/>
          <w:lang w:val="zh-CN"/>
        </w:rPr>
        <w:t>投标人可以按照招标文件规定的包号选择投标，但必须对所投包号中的所有内容作为一个整体进行投标，不能拆分或少报。否则，投标无效。</w:t>
      </w:r>
    </w:p>
    <w:p>
      <w:pPr>
        <w:autoSpaceDE w:val="0"/>
        <w:autoSpaceDN w:val="0"/>
        <w:spacing w:line="360" w:lineRule="auto"/>
        <w:ind w:firstLine="480" w:firstLineChars="200"/>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zh-CN"/>
        </w:rPr>
        <w:t>1.2</w:t>
      </w:r>
      <w:r>
        <w:rPr>
          <w:rFonts w:hint="eastAsia" w:ascii="宋体" w:hAnsi="宋体" w:eastAsia="宋体" w:cs="宋体"/>
          <w:color w:val="auto"/>
          <w:kern w:val="0"/>
          <w:sz w:val="24"/>
          <w:szCs w:val="24"/>
          <w:highlight w:val="none"/>
        </w:rPr>
        <w:t xml:space="preserve"> </w:t>
      </w:r>
      <w:r>
        <w:rPr>
          <w:rFonts w:hint="eastAsia" w:ascii="宋体" w:hAnsi="宋体" w:eastAsia="宋体" w:cs="宋体"/>
          <w:color w:val="auto"/>
          <w:kern w:val="0"/>
          <w:sz w:val="24"/>
          <w:szCs w:val="24"/>
          <w:highlight w:val="none"/>
          <w:lang w:val="zh-CN"/>
        </w:rPr>
        <w:t>投标人必须如实填写“技术规格响应表”，在“投标产品技术参数、指标”栏中列出所投产品的具体技术参数、指标；以采购人需求为最低指标要求，投标人对超出或不满足最低指标要求的指标需列出“＋、-”偏差。如果与投标文件中提供的产品检测报告、彩页等证明材料中的实质性响应情况不一致或直接复制招标文件“采购需求技术参数、指标”内容的，按无效投标处理。</w:t>
      </w:r>
    </w:p>
    <w:p>
      <w:pPr>
        <w:autoSpaceDE w:val="0"/>
        <w:autoSpaceDN w:val="0"/>
        <w:spacing w:line="360" w:lineRule="auto"/>
        <w:ind w:firstLine="480" w:firstLineChars="200"/>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zh-CN"/>
        </w:rPr>
        <w:t>1.</w:t>
      </w:r>
      <w:r>
        <w:rPr>
          <w:rFonts w:hint="eastAsia" w:ascii="宋体" w:hAnsi="宋体" w:eastAsia="宋体" w:cs="宋体"/>
          <w:color w:val="auto"/>
          <w:kern w:val="0"/>
          <w:sz w:val="24"/>
          <w:szCs w:val="24"/>
          <w:highlight w:val="none"/>
        </w:rPr>
        <w:t>3</w:t>
      </w:r>
      <w:r>
        <w:rPr>
          <w:rFonts w:hint="eastAsia" w:ascii="宋体" w:hAnsi="宋体" w:eastAsia="宋体" w:cs="宋体"/>
          <w:color w:val="auto"/>
          <w:sz w:val="24"/>
          <w:szCs w:val="24"/>
          <w:highlight w:val="none"/>
        </w:rPr>
        <w:t xml:space="preserve"> </w:t>
      </w:r>
      <w:r>
        <w:rPr>
          <w:rFonts w:hint="eastAsia" w:ascii="宋体" w:hAnsi="宋体" w:eastAsia="宋体" w:cs="宋体"/>
          <w:color w:val="auto"/>
          <w:kern w:val="0"/>
          <w:sz w:val="24"/>
          <w:szCs w:val="24"/>
          <w:highlight w:val="none"/>
          <w:lang w:val="zh-CN"/>
        </w:rPr>
        <w:t>招标内容中未特别标注为“原装进口”字样的产品，投标人必须投国产产品；标注为“原装进口”字样的产品，投标人可以投进口产品，但如果因信息不对称等原因，仍有满足采购需求的国内产品要求参与采购竞争的，可以投国产产品，并且按照公平竞争原则实施采购。</w:t>
      </w:r>
    </w:p>
    <w:p>
      <w:pPr>
        <w:autoSpaceDE w:val="0"/>
        <w:autoSpaceDN w:val="0"/>
        <w:spacing w:line="360" w:lineRule="auto"/>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1.4 项目中标后分包情况：</w:t>
      </w:r>
      <w:r>
        <w:rPr>
          <w:rFonts w:hint="eastAsia" w:ascii="宋体" w:hAnsi="宋体" w:eastAsia="宋体" w:cs="宋体"/>
          <w:color w:val="auto"/>
          <w:kern w:val="0"/>
          <w:sz w:val="24"/>
          <w:szCs w:val="24"/>
          <w:highlight w:val="none"/>
          <w:lang w:bidi="ar"/>
        </w:rPr>
        <w:t>不允许</w:t>
      </w:r>
      <w:r>
        <w:rPr>
          <w:rFonts w:hint="eastAsia" w:ascii="宋体" w:hAnsi="宋体" w:eastAsia="宋体" w:cs="宋体"/>
          <w:color w:val="auto"/>
          <w:kern w:val="0"/>
          <w:sz w:val="24"/>
          <w:szCs w:val="24"/>
          <w:highlight w:val="none"/>
        </w:rPr>
        <w:t>。（允许，投标人拟在中标后将中标项目的非主体、非关键性工作分包的，应当在投标文件中载明分包承担主体，分包承担主体应当具备相应资质条件且不得再次分包）</w:t>
      </w:r>
    </w:p>
    <w:p>
      <w:pPr>
        <w:pStyle w:val="35"/>
        <w:spacing w:before="0" w:after="0" w:line="360" w:lineRule="auto"/>
        <w:jc w:val="left"/>
        <w:outlineLvl w:val="1"/>
        <w:rPr>
          <w:rFonts w:hint="eastAsia" w:ascii="宋体" w:hAnsi="宋体" w:eastAsia="宋体" w:cs="宋体"/>
          <w:color w:val="auto"/>
          <w:highlight w:val="none"/>
          <w:lang w:val="zh-CN"/>
        </w:rPr>
      </w:pPr>
      <w:bookmarkStart w:id="429" w:name="_Toc26125"/>
      <w:bookmarkStart w:id="430" w:name="_Toc10424"/>
      <w:bookmarkStart w:id="431" w:name="_Toc9309"/>
      <w:bookmarkStart w:id="432" w:name="_Toc2337"/>
      <w:bookmarkStart w:id="433" w:name="_Toc16810"/>
      <w:bookmarkStart w:id="434" w:name="_Toc13436"/>
      <w:bookmarkStart w:id="435" w:name="_Toc29607"/>
      <w:bookmarkStart w:id="436" w:name="_Toc7454"/>
      <w:bookmarkStart w:id="437" w:name="_Toc26989"/>
      <w:bookmarkStart w:id="438" w:name="_Toc16550"/>
      <w:r>
        <w:rPr>
          <w:rFonts w:hint="eastAsia" w:ascii="宋体" w:hAnsi="宋体" w:eastAsia="宋体" w:cs="宋体"/>
          <w:color w:val="auto"/>
          <w:sz w:val="28"/>
          <w:szCs w:val="28"/>
          <w:highlight w:val="none"/>
        </w:rPr>
        <w:t>2.</w:t>
      </w:r>
      <w:bookmarkEnd w:id="429"/>
      <w:bookmarkStart w:id="439" w:name="_Toc1475"/>
      <w:r>
        <w:rPr>
          <w:rFonts w:hint="eastAsia" w:ascii="宋体" w:hAnsi="宋体" w:eastAsia="宋体" w:cs="宋体"/>
          <w:color w:val="auto"/>
          <w:sz w:val="28"/>
          <w:szCs w:val="28"/>
          <w:highlight w:val="none"/>
          <w:lang w:val="zh-CN"/>
        </w:rPr>
        <w:t>重要指标</w:t>
      </w:r>
      <w:bookmarkEnd w:id="430"/>
      <w:bookmarkEnd w:id="431"/>
      <w:bookmarkEnd w:id="432"/>
      <w:bookmarkEnd w:id="433"/>
      <w:bookmarkEnd w:id="434"/>
      <w:bookmarkEnd w:id="435"/>
      <w:bookmarkEnd w:id="436"/>
      <w:bookmarkEnd w:id="437"/>
      <w:bookmarkEnd w:id="438"/>
      <w:bookmarkEnd w:id="439"/>
    </w:p>
    <w:p>
      <w:pPr>
        <w:autoSpaceDE w:val="0"/>
        <w:autoSpaceDN w:val="0"/>
        <w:spacing w:line="360" w:lineRule="auto"/>
        <w:ind w:firstLine="480" w:firstLineChars="200"/>
        <w:rPr>
          <w:rFonts w:hint="eastAsia" w:ascii="宋体" w:hAnsi="宋体" w:eastAsia="宋体" w:cs="宋体"/>
          <w:b/>
          <w:bCs/>
          <w:color w:val="auto"/>
          <w:kern w:val="0"/>
          <w:sz w:val="24"/>
          <w:szCs w:val="24"/>
          <w:highlight w:val="none"/>
          <w:lang w:val="zh-CN"/>
        </w:rPr>
      </w:pPr>
      <w:bookmarkStart w:id="440" w:name="_Toc18880"/>
      <w:r>
        <w:rPr>
          <w:rFonts w:hint="eastAsia" w:ascii="宋体" w:hAnsi="宋体" w:eastAsia="宋体" w:cs="宋体"/>
          <w:color w:val="auto"/>
          <w:kern w:val="0"/>
          <w:sz w:val="24"/>
          <w:szCs w:val="24"/>
          <w:highlight w:val="none"/>
        </w:rPr>
        <w:t>2</w:t>
      </w:r>
      <w:r>
        <w:rPr>
          <w:rFonts w:hint="eastAsia" w:ascii="宋体" w:hAnsi="宋体" w:eastAsia="宋体" w:cs="宋体"/>
          <w:color w:val="auto"/>
          <w:kern w:val="0"/>
          <w:sz w:val="24"/>
          <w:szCs w:val="24"/>
          <w:highlight w:val="none"/>
          <w:lang w:val="zh-CN"/>
        </w:rPr>
        <w:t>.1</w:t>
      </w:r>
      <w:r>
        <w:rPr>
          <w:rFonts w:hint="eastAsia" w:ascii="宋体" w:hAnsi="宋体" w:eastAsia="宋体" w:cs="宋体"/>
          <w:color w:val="auto"/>
          <w:kern w:val="0"/>
          <w:sz w:val="24"/>
          <w:szCs w:val="24"/>
          <w:highlight w:val="none"/>
        </w:rPr>
        <w:t xml:space="preserve"> </w:t>
      </w:r>
      <w:r>
        <w:rPr>
          <w:rFonts w:hint="eastAsia" w:ascii="宋体" w:hAnsi="宋体" w:eastAsia="宋体" w:cs="宋体"/>
          <w:color w:val="auto"/>
          <w:kern w:val="0"/>
          <w:sz w:val="24"/>
          <w:szCs w:val="24"/>
          <w:highlight w:val="none"/>
          <w:lang w:val="zh-CN"/>
        </w:rPr>
        <w:t>“</w:t>
      </w:r>
      <w:r>
        <w:rPr>
          <w:rFonts w:hint="eastAsia" w:ascii="宋体" w:hAnsi="宋体" w:eastAsia="宋体" w:cs="宋体"/>
          <w:b/>
          <w:bCs/>
          <w:color w:val="auto"/>
          <w:kern w:val="0"/>
          <w:sz w:val="24"/>
          <w:szCs w:val="24"/>
          <w:highlight w:val="none"/>
          <w:lang w:val="zh-CN"/>
        </w:rPr>
        <w:t>技术参数”中用“</w:t>
      </w:r>
      <w:r>
        <w:rPr>
          <w:rFonts w:hint="eastAsia" w:ascii="宋体" w:hAnsi="宋体" w:eastAsia="宋体" w:cs="宋体"/>
          <w:b/>
          <w:bCs/>
          <w:color w:val="auto"/>
          <w:kern w:val="0"/>
          <w:sz w:val="24"/>
          <w:szCs w:val="24"/>
          <w:highlight w:val="none"/>
        </w:rPr>
        <w:t>*</w:t>
      </w:r>
      <w:r>
        <w:rPr>
          <w:rFonts w:hint="eastAsia" w:ascii="宋体" w:hAnsi="宋体" w:eastAsia="宋体" w:cs="宋体"/>
          <w:b/>
          <w:bCs/>
          <w:color w:val="auto"/>
          <w:kern w:val="0"/>
          <w:sz w:val="24"/>
          <w:szCs w:val="24"/>
          <w:highlight w:val="none"/>
          <w:lang w:val="zh-CN"/>
        </w:rPr>
        <w:t>”符号标注的属于重要技术参数、指标，必须完全响应（须提供相关证明材料）。否则，投标无效。</w:t>
      </w:r>
    </w:p>
    <w:p>
      <w:pPr>
        <w:autoSpaceDE w:val="0"/>
        <w:autoSpaceDN w:val="0"/>
        <w:spacing w:line="360" w:lineRule="auto"/>
        <w:ind w:firstLine="480" w:firstLineChars="200"/>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rPr>
        <w:t>2</w:t>
      </w:r>
      <w:r>
        <w:rPr>
          <w:rFonts w:hint="eastAsia" w:ascii="宋体" w:hAnsi="宋体" w:eastAsia="宋体" w:cs="宋体"/>
          <w:color w:val="auto"/>
          <w:kern w:val="0"/>
          <w:sz w:val="24"/>
          <w:szCs w:val="24"/>
          <w:highlight w:val="none"/>
          <w:lang w:val="zh-CN"/>
        </w:rPr>
        <w:t>.2</w:t>
      </w:r>
      <w:r>
        <w:rPr>
          <w:rFonts w:hint="eastAsia" w:ascii="宋体" w:hAnsi="宋体" w:eastAsia="宋体" w:cs="宋体"/>
          <w:color w:val="auto"/>
          <w:kern w:val="0"/>
          <w:sz w:val="24"/>
          <w:szCs w:val="24"/>
          <w:highlight w:val="none"/>
        </w:rPr>
        <w:t xml:space="preserve"> </w:t>
      </w:r>
      <w:r>
        <w:rPr>
          <w:rFonts w:hint="eastAsia" w:ascii="宋体" w:hAnsi="宋体" w:eastAsia="宋体" w:cs="宋体"/>
          <w:color w:val="auto"/>
          <w:kern w:val="0"/>
          <w:sz w:val="24"/>
          <w:szCs w:val="24"/>
          <w:highlight w:val="none"/>
          <w:lang w:val="zh-CN"/>
        </w:rPr>
        <w:t>招标文件中凡需与原有设备、系统并机、兼容、匹配等要求的，请主动和采购人联系，取得原有设备、系统相关资料。若有招标文件未提及或变更内容的，请及时与采购代理机构联系。</w:t>
      </w:r>
    </w:p>
    <w:p>
      <w:pPr>
        <w:autoSpaceDE w:val="0"/>
        <w:autoSpaceDN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2</w:t>
      </w:r>
      <w:r>
        <w:rPr>
          <w:rFonts w:hint="eastAsia" w:ascii="宋体" w:hAnsi="宋体" w:eastAsia="宋体" w:cs="宋体"/>
          <w:color w:val="auto"/>
          <w:kern w:val="0"/>
          <w:sz w:val="24"/>
          <w:szCs w:val="24"/>
          <w:highlight w:val="none"/>
          <w:lang w:val="zh-CN"/>
        </w:rPr>
        <w:t>.3</w:t>
      </w:r>
      <w:r>
        <w:rPr>
          <w:rFonts w:hint="eastAsia" w:ascii="宋体" w:hAnsi="宋体" w:eastAsia="宋体" w:cs="宋体"/>
          <w:color w:val="auto"/>
          <w:kern w:val="0"/>
          <w:sz w:val="24"/>
          <w:szCs w:val="24"/>
          <w:highlight w:val="none"/>
        </w:rPr>
        <w:t xml:space="preserve"> </w:t>
      </w:r>
      <w:r>
        <w:rPr>
          <w:rFonts w:hint="eastAsia" w:ascii="宋体" w:hAnsi="宋体" w:eastAsia="宋体" w:cs="宋体"/>
          <w:color w:val="auto"/>
          <w:kern w:val="0"/>
          <w:sz w:val="24"/>
          <w:szCs w:val="24"/>
          <w:highlight w:val="none"/>
          <w:lang w:val="zh-CN"/>
        </w:rPr>
        <w:t>技术参数中除注明签订合同时提供</w:t>
      </w:r>
      <w:r>
        <w:rPr>
          <w:rFonts w:hint="eastAsia" w:ascii="宋体" w:hAnsi="宋体" w:eastAsia="宋体" w:cs="宋体"/>
          <w:color w:val="auto"/>
          <w:sz w:val="24"/>
          <w:szCs w:val="24"/>
          <w:highlight w:val="none"/>
        </w:rPr>
        <w:t>的相关授权、服务承诺等资料以外，其余相关资料在投标时必须附在投标文件中。</w:t>
      </w:r>
    </w:p>
    <w:p>
      <w:pPr>
        <w:pStyle w:val="35"/>
        <w:spacing w:before="0" w:after="0" w:line="360" w:lineRule="auto"/>
        <w:jc w:val="left"/>
        <w:outlineLvl w:val="1"/>
        <w:rPr>
          <w:rFonts w:hint="eastAsia" w:ascii="宋体" w:hAnsi="宋体" w:eastAsia="宋体" w:cs="宋体"/>
          <w:color w:val="auto"/>
          <w:highlight w:val="none"/>
          <w:lang w:val="zh-CN"/>
        </w:rPr>
      </w:pPr>
      <w:bookmarkStart w:id="441" w:name="_Toc19353"/>
      <w:bookmarkStart w:id="442" w:name="_Toc30636"/>
      <w:bookmarkStart w:id="443" w:name="_Toc16251"/>
      <w:bookmarkStart w:id="444" w:name="_Toc338"/>
      <w:bookmarkStart w:id="445" w:name="_Toc60"/>
      <w:bookmarkStart w:id="446" w:name="_Toc32052"/>
      <w:bookmarkStart w:id="447" w:name="_Toc7926"/>
      <w:bookmarkStart w:id="448" w:name="_Toc30394"/>
      <w:bookmarkStart w:id="449" w:name="_Toc24852"/>
      <w:r>
        <w:rPr>
          <w:rFonts w:hint="eastAsia" w:ascii="宋体" w:hAnsi="宋体" w:eastAsia="宋体" w:cs="宋体"/>
          <w:color w:val="auto"/>
          <w:sz w:val="28"/>
          <w:szCs w:val="28"/>
          <w:highlight w:val="none"/>
        </w:rPr>
        <w:t>3</w:t>
      </w:r>
      <w:r>
        <w:rPr>
          <w:rFonts w:hint="eastAsia" w:ascii="宋体" w:hAnsi="宋体" w:eastAsia="宋体" w:cs="宋体"/>
          <w:color w:val="auto"/>
          <w:sz w:val="28"/>
          <w:szCs w:val="28"/>
          <w:highlight w:val="none"/>
          <w:lang w:val="zh-CN"/>
        </w:rPr>
        <w:t>.商务要求</w:t>
      </w:r>
      <w:bookmarkEnd w:id="440"/>
      <w:bookmarkEnd w:id="441"/>
      <w:bookmarkEnd w:id="442"/>
      <w:bookmarkEnd w:id="443"/>
      <w:bookmarkEnd w:id="444"/>
      <w:bookmarkEnd w:id="445"/>
      <w:bookmarkEnd w:id="446"/>
      <w:bookmarkEnd w:id="447"/>
      <w:bookmarkEnd w:id="448"/>
      <w:bookmarkEnd w:id="449"/>
    </w:p>
    <w:p>
      <w:pPr>
        <w:autoSpaceDE w:val="0"/>
        <w:autoSpaceDN w:val="0"/>
        <w:spacing w:line="360" w:lineRule="auto"/>
        <w:ind w:firstLine="480" w:firstLineChars="200"/>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rPr>
        <w:t>3</w:t>
      </w:r>
      <w:r>
        <w:rPr>
          <w:rFonts w:hint="eastAsia" w:ascii="宋体" w:hAnsi="宋体" w:eastAsia="宋体" w:cs="宋体"/>
          <w:color w:val="auto"/>
          <w:kern w:val="0"/>
          <w:sz w:val="24"/>
          <w:szCs w:val="24"/>
          <w:highlight w:val="none"/>
          <w:lang w:val="zh-CN"/>
        </w:rPr>
        <w:t>.1.交货时间：</w:t>
      </w:r>
      <w:r>
        <w:rPr>
          <w:rFonts w:hint="eastAsia" w:ascii="宋体" w:hAnsi="宋体" w:eastAsia="宋体" w:cs="宋体"/>
          <w:color w:val="auto"/>
          <w:kern w:val="0"/>
          <w:sz w:val="24"/>
          <w:szCs w:val="24"/>
          <w:highlight w:val="none"/>
          <w:lang w:val="en-US" w:eastAsia="zh-CN"/>
        </w:rPr>
        <w:t>自合同签订之日起90个日历日</w:t>
      </w:r>
      <w:r>
        <w:rPr>
          <w:rFonts w:hint="eastAsia" w:ascii="宋体" w:hAnsi="宋体" w:cs="宋体"/>
          <w:color w:val="auto"/>
          <w:kern w:val="0"/>
          <w:sz w:val="24"/>
          <w:szCs w:val="24"/>
          <w:highlight w:val="none"/>
          <w:lang w:val="en-US" w:eastAsia="zh-CN"/>
        </w:rPr>
        <w:t>内</w:t>
      </w:r>
      <w:r>
        <w:rPr>
          <w:rFonts w:hint="eastAsia" w:ascii="宋体" w:hAnsi="宋体" w:eastAsia="宋体" w:cs="宋体"/>
          <w:color w:val="auto"/>
          <w:kern w:val="0"/>
          <w:sz w:val="24"/>
          <w:szCs w:val="24"/>
          <w:highlight w:val="none"/>
          <w:lang w:val="en-US" w:eastAsia="zh-CN"/>
        </w:rPr>
        <w:t>。</w:t>
      </w:r>
    </w:p>
    <w:p>
      <w:pPr>
        <w:autoSpaceDE w:val="0"/>
        <w:autoSpaceDN w:val="0"/>
        <w:spacing w:line="360" w:lineRule="auto"/>
        <w:ind w:firstLine="480" w:firstLineChars="200"/>
        <w:rPr>
          <w:rFonts w:ascii="Times New Roman" w:hAnsi="Times New Roman" w:eastAsia="仿宋" w:cs="Times New Roman"/>
          <w:color w:val="auto"/>
          <w:sz w:val="24"/>
          <w:szCs w:val="24"/>
          <w:highlight w:val="none"/>
        </w:rPr>
      </w:pPr>
      <w:r>
        <w:rPr>
          <w:rFonts w:hint="eastAsia" w:ascii="宋体" w:hAnsi="宋体" w:eastAsia="宋体" w:cs="宋体"/>
          <w:color w:val="auto"/>
          <w:kern w:val="0"/>
          <w:sz w:val="24"/>
          <w:szCs w:val="24"/>
          <w:highlight w:val="none"/>
          <w:lang w:val="en-US" w:eastAsia="zh-CN"/>
        </w:rPr>
        <w:t>3.2</w:t>
      </w:r>
      <w:r>
        <w:rPr>
          <w:rFonts w:hint="eastAsia" w:ascii="宋体" w:hAnsi="宋体" w:eastAsia="宋体" w:cs="宋体"/>
          <w:color w:val="auto"/>
          <w:kern w:val="0"/>
          <w:sz w:val="24"/>
          <w:szCs w:val="24"/>
          <w:highlight w:val="none"/>
          <w:lang w:val="zh-CN"/>
        </w:rPr>
        <w:t>交货地点：甲方指定地点。</w:t>
      </w:r>
    </w:p>
    <w:p>
      <w:pPr>
        <w:autoSpaceDE w:val="0"/>
        <w:autoSpaceDN w:val="0"/>
        <w:spacing w:line="360" w:lineRule="auto"/>
        <w:ind w:firstLine="480" w:firstLineChars="200"/>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3</w:t>
      </w:r>
      <w:r>
        <w:rPr>
          <w:rFonts w:hint="eastAsia" w:ascii="宋体" w:hAnsi="宋体" w:eastAsia="宋体" w:cs="宋体"/>
          <w:color w:val="auto"/>
          <w:kern w:val="0"/>
          <w:sz w:val="24"/>
          <w:szCs w:val="24"/>
          <w:highlight w:val="none"/>
          <w:lang w:val="zh-CN"/>
        </w:rPr>
        <w:t>.3.付款方式：</w:t>
      </w:r>
      <w:r>
        <w:rPr>
          <w:rFonts w:hint="eastAsia" w:ascii="宋体" w:hAnsi="宋体" w:eastAsia="宋体" w:cs="宋体"/>
          <w:color w:val="auto"/>
          <w:kern w:val="0"/>
          <w:sz w:val="24"/>
          <w:szCs w:val="24"/>
          <w:highlight w:val="none"/>
        </w:rPr>
        <w:t>详见“第</w:t>
      </w:r>
      <w:r>
        <w:rPr>
          <w:rFonts w:hint="eastAsia" w:ascii="宋体" w:hAnsi="宋体" w:eastAsia="宋体" w:cs="宋体"/>
          <w:color w:val="auto"/>
          <w:kern w:val="0"/>
          <w:sz w:val="24"/>
          <w:szCs w:val="24"/>
          <w:highlight w:val="none"/>
          <w:lang w:eastAsia="zh-CN"/>
        </w:rPr>
        <w:t>四</w:t>
      </w:r>
      <w:r>
        <w:rPr>
          <w:rFonts w:hint="eastAsia" w:ascii="宋体" w:hAnsi="宋体" w:eastAsia="宋体" w:cs="宋体"/>
          <w:color w:val="auto"/>
          <w:kern w:val="0"/>
          <w:sz w:val="24"/>
          <w:szCs w:val="24"/>
          <w:highlight w:val="none"/>
        </w:rPr>
        <w:t xml:space="preserve">部分 </w:t>
      </w:r>
    </w:p>
    <w:p>
      <w:pPr>
        <w:pStyle w:val="2"/>
        <w:rPr>
          <w:rFonts w:hint="eastAsia"/>
          <w:color w:val="auto"/>
          <w:highlight w:val="none"/>
          <w:lang w:val="zh-CN"/>
        </w:rPr>
      </w:pPr>
    </w:p>
    <w:p>
      <w:pPr>
        <w:pStyle w:val="65"/>
        <w:spacing w:line="360" w:lineRule="auto"/>
        <w:ind w:firstLine="480" w:firstLineChars="200"/>
        <w:rPr>
          <w:rFonts w:hint="default" w:ascii="宋体" w:hAnsi="宋体" w:eastAsia="宋体"/>
          <w:color w:val="auto"/>
          <w:sz w:val="24"/>
          <w:szCs w:val="24"/>
          <w:highlight w:val="none"/>
          <w:lang w:val="en-US" w:eastAsia="zh-CN"/>
        </w:rPr>
      </w:pPr>
    </w:p>
    <w:p>
      <w:pPr>
        <w:pStyle w:val="35"/>
        <w:rPr>
          <w:rFonts w:ascii="宋体" w:hAnsi="宋体"/>
          <w:b w:val="0"/>
          <w:color w:val="auto"/>
          <w:highlight w:val="none"/>
        </w:rPr>
      </w:pPr>
      <w:bookmarkStart w:id="450" w:name="_Toc30959"/>
      <w:bookmarkStart w:id="451" w:name="_Toc23342"/>
      <w:bookmarkStart w:id="452" w:name="_Toc16216"/>
      <w:bookmarkStart w:id="453" w:name="_Toc12493"/>
      <w:bookmarkStart w:id="454" w:name="_Toc10730577"/>
      <w:bookmarkStart w:id="455" w:name="_Toc13582337"/>
      <w:bookmarkStart w:id="456" w:name="_Toc25547"/>
      <w:r>
        <w:rPr>
          <w:rFonts w:hint="eastAsia"/>
          <w:color w:val="auto"/>
          <w:highlight w:val="none"/>
        </w:rPr>
        <w:t>采购内容及参数</w:t>
      </w:r>
      <w:bookmarkEnd w:id="450"/>
      <w:bookmarkEnd w:id="451"/>
      <w:bookmarkEnd w:id="452"/>
      <w:bookmarkEnd w:id="453"/>
    </w:p>
    <w:p>
      <w:pPr>
        <w:rPr>
          <w:color w:val="auto"/>
          <w:highlight w:val="none"/>
          <w:lang w:val="zh-CN"/>
        </w:rPr>
      </w:pPr>
    </w:p>
    <w:tbl>
      <w:tblPr>
        <w:tblStyle w:val="36"/>
        <w:tblW w:w="1310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684"/>
        <w:gridCol w:w="2654"/>
        <w:gridCol w:w="738"/>
        <w:gridCol w:w="917"/>
        <w:gridCol w:w="810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7" w:hRule="atLeast"/>
        </w:trPr>
        <w:tc>
          <w:tcPr>
            <w:tcW w:w="13100" w:type="dxa"/>
            <w:gridSpan w:val="5"/>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8"/>
                <w:szCs w:val="28"/>
                <w:highlight w:val="none"/>
                <w:u w:val="none"/>
              </w:rPr>
            </w:pPr>
            <w:r>
              <w:rPr>
                <w:rFonts w:hint="eastAsia" w:ascii="宋体" w:hAnsi="宋体" w:eastAsia="宋体" w:cs="宋体"/>
                <w:b/>
                <w:bCs/>
                <w:i w:val="0"/>
                <w:iCs w:val="0"/>
                <w:color w:val="auto"/>
                <w:kern w:val="0"/>
                <w:sz w:val="28"/>
                <w:szCs w:val="28"/>
                <w:highlight w:val="none"/>
                <w:u w:val="none"/>
                <w:lang w:val="en-US" w:eastAsia="zh-CN" w:bidi="ar"/>
              </w:rPr>
              <w:t>一、    饼干设备清单及参数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0" w:hRule="atLeast"/>
        </w:trPr>
        <w:tc>
          <w:tcPr>
            <w:tcW w:w="68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序号</w:t>
            </w:r>
          </w:p>
        </w:tc>
        <w:tc>
          <w:tcPr>
            <w:tcW w:w="265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产品名称</w:t>
            </w:r>
          </w:p>
        </w:tc>
        <w:tc>
          <w:tcPr>
            <w:tcW w:w="7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数量</w:t>
            </w:r>
          </w:p>
        </w:tc>
        <w:tc>
          <w:tcPr>
            <w:tcW w:w="91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单位</w:t>
            </w:r>
          </w:p>
        </w:tc>
        <w:tc>
          <w:tcPr>
            <w:tcW w:w="810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技术参数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49" w:hRule="atLeast"/>
        </w:trPr>
        <w:tc>
          <w:tcPr>
            <w:tcW w:w="68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1</w:t>
            </w:r>
          </w:p>
        </w:tc>
        <w:tc>
          <w:tcPr>
            <w:tcW w:w="265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和面机</w:t>
            </w:r>
          </w:p>
        </w:tc>
        <w:tc>
          <w:tcPr>
            <w:tcW w:w="7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2</w:t>
            </w:r>
          </w:p>
        </w:tc>
        <w:tc>
          <w:tcPr>
            <w:tcW w:w="91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台</w:t>
            </w:r>
          </w:p>
        </w:tc>
        <w:tc>
          <w:tcPr>
            <w:tcW w:w="810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和面时间3-10分钟；和面量：50kg/次：电源电压：380V；功率≥5.5KW；材料：料斗为</w:t>
            </w:r>
            <w:r>
              <w:rPr>
                <w:rStyle w:val="128"/>
                <w:color w:val="auto"/>
                <w:highlight w:val="none"/>
                <w:lang w:val="en-US" w:eastAsia="zh-CN" w:bidi="ar"/>
              </w:rPr>
              <w:t>SUS304不锈钢</w:t>
            </w:r>
            <w:r>
              <w:rPr>
                <w:rStyle w:val="129"/>
                <w:color w:val="auto"/>
                <w:highlight w:val="none"/>
                <w:lang w:val="en-US" w:eastAsia="zh-CN" w:bidi="ar"/>
              </w:rPr>
              <w:t>，机架为碳钢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28" w:hRule="atLeast"/>
        </w:trPr>
        <w:tc>
          <w:tcPr>
            <w:tcW w:w="68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2</w:t>
            </w:r>
          </w:p>
        </w:tc>
        <w:tc>
          <w:tcPr>
            <w:tcW w:w="265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酥性饼干成型机</w:t>
            </w:r>
          </w:p>
        </w:tc>
        <w:tc>
          <w:tcPr>
            <w:tcW w:w="7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1</w:t>
            </w:r>
          </w:p>
        </w:tc>
        <w:tc>
          <w:tcPr>
            <w:tcW w:w="91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台</w:t>
            </w:r>
          </w:p>
        </w:tc>
        <w:tc>
          <w:tcPr>
            <w:tcW w:w="810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总功率≥2.2KW；生产能力≥100kg/h；材料：外壳、食品接触部分为</w:t>
            </w:r>
            <w:r>
              <w:rPr>
                <w:rStyle w:val="128"/>
                <w:color w:val="auto"/>
                <w:highlight w:val="none"/>
                <w:lang w:val="en-US" w:eastAsia="zh-CN" w:bidi="ar"/>
              </w:rPr>
              <w:t>SUS304不锈钢</w:t>
            </w:r>
            <w:r>
              <w:rPr>
                <w:rStyle w:val="129"/>
                <w:color w:val="auto"/>
                <w:highlight w:val="none"/>
                <w:lang w:val="en-US" w:eastAsia="zh-CN" w:bidi="ar"/>
              </w:rPr>
              <w:t>，传动部分为碳钢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20" w:hRule="atLeast"/>
        </w:trPr>
        <w:tc>
          <w:tcPr>
            <w:tcW w:w="68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3</w:t>
            </w:r>
          </w:p>
        </w:tc>
        <w:tc>
          <w:tcPr>
            <w:tcW w:w="265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前传动</w:t>
            </w:r>
          </w:p>
        </w:tc>
        <w:tc>
          <w:tcPr>
            <w:tcW w:w="7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1</w:t>
            </w:r>
          </w:p>
        </w:tc>
        <w:tc>
          <w:tcPr>
            <w:tcW w:w="91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台</w:t>
            </w:r>
          </w:p>
        </w:tc>
        <w:tc>
          <w:tcPr>
            <w:tcW w:w="810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功率≥0.75KW；材料：外壳为不锈钢，传动部分为碳钢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93" w:hRule="atLeast"/>
        </w:trPr>
        <w:tc>
          <w:tcPr>
            <w:tcW w:w="68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4</w:t>
            </w:r>
          </w:p>
        </w:tc>
        <w:tc>
          <w:tcPr>
            <w:tcW w:w="265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远红外烤炉</w:t>
            </w:r>
          </w:p>
        </w:tc>
        <w:tc>
          <w:tcPr>
            <w:tcW w:w="7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1</w:t>
            </w:r>
          </w:p>
        </w:tc>
        <w:tc>
          <w:tcPr>
            <w:tcW w:w="91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台</w:t>
            </w:r>
          </w:p>
        </w:tc>
        <w:tc>
          <w:tcPr>
            <w:tcW w:w="810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功率：90-180kw ；电压：380v，50hz；烘烤能力：≥150kg/h；火力档位：4档加热 ；操作方式：全自动一键操作，材料：外壳为SUS304不锈钢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7" w:hRule="atLeast"/>
        </w:trPr>
        <w:tc>
          <w:tcPr>
            <w:tcW w:w="68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5</w:t>
            </w:r>
          </w:p>
        </w:tc>
        <w:tc>
          <w:tcPr>
            <w:tcW w:w="265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后传动出炉机</w:t>
            </w:r>
          </w:p>
        </w:tc>
        <w:tc>
          <w:tcPr>
            <w:tcW w:w="7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1</w:t>
            </w:r>
          </w:p>
        </w:tc>
        <w:tc>
          <w:tcPr>
            <w:tcW w:w="91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台</w:t>
            </w:r>
          </w:p>
        </w:tc>
        <w:tc>
          <w:tcPr>
            <w:tcW w:w="810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功率≥2.2KW；材料：外壳为不锈钢，传动部分为碳钢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48" w:hRule="atLeast"/>
        </w:trPr>
        <w:tc>
          <w:tcPr>
            <w:tcW w:w="68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6</w:t>
            </w:r>
          </w:p>
        </w:tc>
        <w:tc>
          <w:tcPr>
            <w:tcW w:w="265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转弯输送机</w:t>
            </w:r>
          </w:p>
        </w:tc>
        <w:tc>
          <w:tcPr>
            <w:tcW w:w="7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2</w:t>
            </w:r>
          </w:p>
        </w:tc>
        <w:tc>
          <w:tcPr>
            <w:tcW w:w="91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台</w:t>
            </w:r>
          </w:p>
        </w:tc>
        <w:tc>
          <w:tcPr>
            <w:tcW w:w="810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both"/>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功率：≥1.5kw；输送能力：300－800kg/h ；输送速度：3米/min 输送长度：总长度4米；转弯输送的角度： 180°转弯；   输送宽度：750mm   输送高度：配合烤炉出料口，高度可调     材料：SUS304不锈钢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3" w:hRule="atLeast"/>
        </w:trPr>
        <w:tc>
          <w:tcPr>
            <w:tcW w:w="68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7</w:t>
            </w:r>
          </w:p>
        </w:tc>
        <w:tc>
          <w:tcPr>
            <w:tcW w:w="265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冷却输送线</w:t>
            </w:r>
          </w:p>
        </w:tc>
        <w:tc>
          <w:tcPr>
            <w:tcW w:w="7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8</w:t>
            </w:r>
          </w:p>
        </w:tc>
        <w:tc>
          <w:tcPr>
            <w:tcW w:w="91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米</w:t>
            </w:r>
          </w:p>
        </w:tc>
        <w:tc>
          <w:tcPr>
            <w:tcW w:w="810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功率：≥1.1kw；材料：</w:t>
            </w:r>
            <w:r>
              <w:rPr>
                <w:rStyle w:val="128"/>
                <w:color w:val="auto"/>
                <w:highlight w:val="none"/>
                <w:lang w:val="en-US" w:eastAsia="zh-CN" w:bidi="ar"/>
              </w:rPr>
              <w:t>SUS304不锈钢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3" w:hRule="atLeast"/>
        </w:trPr>
        <w:tc>
          <w:tcPr>
            <w:tcW w:w="68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8</w:t>
            </w:r>
          </w:p>
        </w:tc>
        <w:tc>
          <w:tcPr>
            <w:tcW w:w="265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差速理饼机</w:t>
            </w:r>
          </w:p>
        </w:tc>
        <w:tc>
          <w:tcPr>
            <w:tcW w:w="7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2</w:t>
            </w:r>
          </w:p>
        </w:tc>
        <w:tc>
          <w:tcPr>
            <w:tcW w:w="91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台</w:t>
            </w:r>
          </w:p>
        </w:tc>
        <w:tc>
          <w:tcPr>
            <w:tcW w:w="810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功率：≥2.2kw； 材料：</w:t>
            </w:r>
            <w:r>
              <w:rPr>
                <w:rStyle w:val="128"/>
                <w:color w:val="auto"/>
                <w:highlight w:val="none"/>
                <w:lang w:val="en-US" w:eastAsia="zh-CN" w:bidi="ar"/>
              </w:rPr>
              <w:t>SUS304不锈钢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3" w:hRule="atLeast"/>
        </w:trPr>
        <w:tc>
          <w:tcPr>
            <w:tcW w:w="68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9</w:t>
            </w:r>
          </w:p>
        </w:tc>
        <w:tc>
          <w:tcPr>
            <w:tcW w:w="265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包装平台</w:t>
            </w:r>
          </w:p>
        </w:tc>
        <w:tc>
          <w:tcPr>
            <w:tcW w:w="7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4</w:t>
            </w:r>
          </w:p>
        </w:tc>
        <w:tc>
          <w:tcPr>
            <w:tcW w:w="91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米</w:t>
            </w:r>
          </w:p>
        </w:tc>
        <w:tc>
          <w:tcPr>
            <w:tcW w:w="810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功率：≥0.6kw； 材料：</w:t>
            </w:r>
            <w:r>
              <w:rPr>
                <w:rStyle w:val="128"/>
                <w:color w:val="auto"/>
                <w:highlight w:val="none"/>
                <w:lang w:val="en-US" w:eastAsia="zh-CN" w:bidi="ar"/>
              </w:rPr>
              <w:t xml:space="preserve">SUS304不锈钢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7" w:hRule="atLeast"/>
        </w:trPr>
        <w:tc>
          <w:tcPr>
            <w:tcW w:w="13100" w:type="dxa"/>
            <w:gridSpan w:val="5"/>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8"/>
                <w:szCs w:val="28"/>
                <w:highlight w:val="none"/>
                <w:u w:val="none"/>
              </w:rPr>
            </w:pPr>
            <w:r>
              <w:rPr>
                <w:rFonts w:hint="eastAsia" w:ascii="宋体" w:hAnsi="宋体" w:eastAsia="宋体" w:cs="宋体"/>
                <w:b/>
                <w:bCs/>
                <w:i w:val="0"/>
                <w:iCs w:val="0"/>
                <w:color w:val="auto"/>
                <w:kern w:val="0"/>
                <w:sz w:val="28"/>
                <w:szCs w:val="28"/>
                <w:highlight w:val="none"/>
                <w:u w:val="none"/>
                <w:lang w:val="en-US" w:eastAsia="zh-CN" w:bidi="ar"/>
              </w:rPr>
              <w:t>二、藜麦麦片设备清单及参数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54" w:hRule="atLeast"/>
        </w:trPr>
        <w:tc>
          <w:tcPr>
            <w:tcW w:w="68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1</w:t>
            </w:r>
          </w:p>
        </w:tc>
        <w:tc>
          <w:tcPr>
            <w:tcW w:w="265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粉碎机</w:t>
            </w:r>
          </w:p>
        </w:tc>
        <w:tc>
          <w:tcPr>
            <w:tcW w:w="7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1</w:t>
            </w:r>
          </w:p>
        </w:tc>
        <w:tc>
          <w:tcPr>
            <w:tcW w:w="91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台</w:t>
            </w:r>
          </w:p>
        </w:tc>
        <w:tc>
          <w:tcPr>
            <w:tcW w:w="810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功率：≥9Kw； 材料：粉碎目数40-80目；</w:t>
            </w:r>
            <w:r>
              <w:rPr>
                <w:rStyle w:val="128"/>
                <w:color w:val="auto"/>
                <w:highlight w:val="none"/>
                <w:lang w:val="en-US" w:eastAsia="zh-CN" w:bidi="ar"/>
              </w:rPr>
              <w:t>SUS304不锈钢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7" w:hRule="atLeast"/>
        </w:trPr>
        <w:tc>
          <w:tcPr>
            <w:tcW w:w="68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2</w:t>
            </w:r>
          </w:p>
        </w:tc>
        <w:tc>
          <w:tcPr>
            <w:tcW w:w="265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拌粉机</w:t>
            </w:r>
          </w:p>
        </w:tc>
        <w:tc>
          <w:tcPr>
            <w:tcW w:w="7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1</w:t>
            </w:r>
          </w:p>
        </w:tc>
        <w:tc>
          <w:tcPr>
            <w:tcW w:w="91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台</w:t>
            </w:r>
          </w:p>
        </w:tc>
        <w:tc>
          <w:tcPr>
            <w:tcW w:w="810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both"/>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功率：≥4Kw，产量：≥300 kg/h</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54" w:hRule="atLeast"/>
        </w:trPr>
        <w:tc>
          <w:tcPr>
            <w:tcW w:w="68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3</w:t>
            </w:r>
          </w:p>
        </w:tc>
        <w:tc>
          <w:tcPr>
            <w:tcW w:w="265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螺旋上料机</w:t>
            </w:r>
          </w:p>
        </w:tc>
        <w:tc>
          <w:tcPr>
            <w:tcW w:w="7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1</w:t>
            </w:r>
          </w:p>
        </w:tc>
        <w:tc>
          <w:tcPr>
            <w:tcW w:w="91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台</w:t>
            </w:r>
          </w:p>
        </w:tc>
        <w:tc>
          <w:tcPr>
            <w:tcW w:w="810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功率：≥3Kw；管道直径≥50mm，输送量：300m</w:t>
            </w:r>
            <w:r>
              <w:rPr>
                <w:rFonts w:hint="eastAsia" w:ascii="宋体" w:hAnsi="宋体" w:eastAsia="宋体" w:cs="宋体"/>
                <w:i w:val="0"/>
                <w:iCs w:val="0"/>
                <w:color w:val="auto"/>
                <w:kern w:val="0"/>
                <w:sz w:val="28"/>
                <w:szCs w:val="28"/>
                <w:highlight w:val="none"/>
                <w:u w:val="none"/>
                <w:vertAlign w:val="superscript"/>
                <w:lang w:val="en-US" w:eastAsia="zh-CN" w:bidi="ar"/>
              </w:rPr>
              <w:t>3</w:t>
            </w:r>
            <w:r>
              <w:rPr>
                <w:rStyle w:val="129"/>
                <w:color w:val="auto"/>
                <w:highlight w:val="none"/>
                <w:lang w:val="en-US" w:eastAsia="zh-CN" w:bidi="ar"/>
              </w:rPr>
              <w:t>/h;配备软管连接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7" w:hRule="atLeast"/>
        </w:trPr>
        <w:tc>
          <w:tcPr>
            <w:tcW w:w="68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4</w:t>
            </w:r>
          </w:p>
        </w:tc>
        <w:tc>
          <w:tcPr>
            <w:tcW w:w="265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双螺杆主机</w:t>
            </w:r>
          </w:p>
        </w:tc>
        <w:tc>
          <w:tcPr>
            <w:tcW w:w="7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1</w:t>
            </w:r>
          </w:p>
        </w:tc>
        <w:tc>
          <w:tcPr>
            <w:tcW w:w="91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台</w:t>
            </w:r>
          </w:p>
        </w:tc>
        <w:tc>
          <w:tcPr>
            <w:tcW w:w="810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功率：≥50Kw；螺杆直径： 120  mm；生产产量：≥300  kg/h；</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28" w:hRule="atLeast"/>
        </w:trPr>
        <w:tc>
          <w:tcPr>
            <w:tcW w:w="68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5</w:t>
            </w:r>
          </w:p>
        </w:tc>
        <w:tc>
          <w:tcPr>
            <w:tcW w:w="265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振动筛</w:t>
            </w:r>
          </w:p>
        </w:tc>
        <w:tc>
          <w:tcPr>
            <w:tcW w:w="7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1</w:t>
            </w:r>
          </w:p>
        </w:tc>
        <w:tc>
          <w:tcPr>
            <w:tcW w:w="91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台</w:t>
            </w:r>
          </w:p>
        </w:tc>
        <w:tc>
          <w:tcPr>
            <w:tcW w:w="810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筛面尺寸： 1000mm*600mm；层数： 1 层；筛孔尺寸：1mm；     处理能力：≥300/h；功率：≥0.25kw</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76" w:hRule="atLeast"/>
        </w:trPr>
        <w:tc>
          <w:tcPr>
            <w:tcW w:w="68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6</w:t>
            </w:r>
          </w:p>
        </w:tc>
        <w:tc>
          <w:tcPr>
            <w:tcW w:w="265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风送机</w:t>
            </w:r>
          </w:p>
        </w:tc>
        <w:tc>
          <w:tcPr>
            <w:tcW w:w="7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2</w:t>
            </w:r>
          </w:p>
        </w:tc>
        <w:tc>
          <w:tcPr>
            <w:tcW w:w="91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台</w:t>
            </w:r>
          </w:p>
        </w:tc>
        <w:tc>
          <w:tcPr>
            <w:tcW w:w="810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both"/>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功率≥0.75KW；工作能力≥200kg\h；输送速度：≥2米/秒    输送长度：≥2450mm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30" w:hRule="atLeast"/>
        </w:trPr>
        <w:tc>
          <w:tcPr>
            <w:tcW w:w="68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7</w:t>
            </w:r>
          </w:p>
        </w:tc>
        <w:tc>
          <w:tcPr>
            <w:tcW w:w="265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压片机</w:t>
            </w:r>
          </w:p>
        </w:tc>
        <w:tc>
          <w:tcPr>
            <w:tcW w:w="7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1</w:t>
            </w:r>
          </w:p>
        </w:tc>
        <w:tc>
          <w:tcPr>
            <w:tcW w:w="91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台</w:t>
            </w:r>
          </w:p>
        </w:tc>
        <w:tc>
          <w:tcPr>
            <w:tcW w:w="810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both"/>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功率≥3KW；最大压力:≥10.2MPa；最大直径:450 mm；圆辊双面挤压，片剂厚度: 0.2mm－1mm可调；产 量: ≥300Kg/h</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4" w:hRule="atLeast"/>
        </w:trPr>
        <w:tc>
          <w:tcPr>
            <w:tcW w:w="68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8</w:t>
            </w:r>
          </w:p>
        </w:tc>
        <w:tc>
          <w:tcPr>
            <w:tcW w:w="265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5层电烤箱</w:t>
            </w:r>
          </w:p>
        </w:tc>
        <w:tc>
          <w:tcPr>
            <w:tcW w:w="7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1</w:t>
            </w:r>
          </w:p>
        </w:tc>
        <w:tc>
          <w:tcPr>
            <w:tcW w:w="91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台</w:t>
            </w:r>
          </w:p>
        </w:tc>
        <w:tc>
          <w:tcPr>
            <w:tcW w:w="810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温度范围：  60－105度可调；升温时间：10－12分钟    ，功率≥63Kw，工作能力≥200kg/h；电源：380V</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7" w:hRule="atLeast"/>
        </w:trPr>
        <w:tc>
          <w:tcPr>
            <w:tcW w:w="68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9</w:t>
            </w:r>
          </w:p>
        </w:tc>
        <w:tc>
          <w:tcPr>
            <w:tcW w:w="265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冷却机</w:t>
            </w:r>
          </w:p>
        </w:tc>
        <w:tc>
          <w:tcPr>
            <w:tcW w:w="7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1</w:t>
            </w:r>
          </w:p>
        </w:tc>
        <w:tc>
          <w:tcPr>
            <w:tcW w:w="91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台</w:t>
            </w:r>
          </w:p>
        </w:tc>
        <w:tc>
          <w:tcPr>
            <w:tcW w:w="810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both"/>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功率≥15KW；制冷功能为降温泵带动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7" w:hRule="atLeast"/>
        </w:trPr>
        <w:tc>
          <w:tcPr>
            <w:tcW w:w="13100" w:type="dxa"/>
            <w:gridSpan w:val="5"/>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三、</w:t>
            </w:r>
            <w:r>
              <w:rPr>
                <w:rStyle w:val="130"/>
                <w:color w:val="auto"/>
                <w:highlight w:val="none"/>
                <w:lang w:val="en-US" w:eastAsia="zh-CN" w:bidi="ar"/>
              </w:rPr>
              <w:t>藜麦曲奇设备清单及参数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78" w:hRule="atLeast"/>
        </w:trPr>
        <w:tc>
          <w:tcPr>
            <w:tcW w:w="68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1</w:t>
            </w:r>
          </w:p>
        </w:tc>
        <w:tc>
          <w:tcPr>
            <w:tcW w:w="265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搅拌机</w:t>
            </w:r>
          </w:p>
        </w:tc>
        <w:tc>
          <w:tcPr>
            <w:tcW w:w="7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台</w:t>
            </w:r>
          </w:p>
        </w:tc>
        <w:tc>
          <w:tcPr>
            <w:tcW w:w="91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1</w:t>
            </w:r>
          </w:p>
        </w:tc>
        <w:tc>
          <w:tcPr>
            <w:tcW w:w="810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功率≥2.2KW，搅拌容量：≥22kg</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32" w:hRule="atLeast"/>
        </w:trPr>
        <w:tc>
          <w:tcPr>
            <w:tcW w:w="68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2</w:t>
            </w:r>
          </w:p>
        </w:tc>
        <w:tc>
          <w:tcPr>
            <w:tcW w:w="265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双料斗曲奇机</w:t>
            </w:r>
          </w:p>
        </w:tc>
        <w:tc>
          <w:tcPr>
            <w:tcW w:w="7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台</w:t>
            </w:r>
          </w:p>
        </w:tc>
        <w:tc>
          <w:tcPr>
            <w:tcW w:w="91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1</w:t>
            </w:r>
          </w:p>
        </w:tc>
        <w:tc>
          <w:tcPr>
            <w:tcW w:w="810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电压：220/380V，功率：≥1.5kw；烤盘：不小于400*600mm；产量：100kg/h以上；材料：SUS304不锈钢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7" w:hRule="atLeast"/>
        </w:trPr>
        <w:tc>
          <w:tcPr>
            <w:tcW w:w="13100" w:type="dxa"/>
            <w:gridSpan w:val="5"/>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8"/>
                <w:szCs w:val="28"/>
                <w:highlight w:val="none"/>
                <w:u w:val="none"/>
              </w:rPr>
            </w:pPr>
            <w:r>
              <w:rPr>
                <w:rFonts w:hint="eastAsia" w:ascii="宋体" w:hAnsi="宋体" w:eastAsia="宋体" w:cs="宋体"/>
                <w:b/>
                <w:bCs/>
                <w:i w:val="0"/>
                <w:iCs w:val="0"/>
                <w:color w:val="auto"/>
                <w:kern w:val="0"/>
                <w:sz w:val="28"/>
                <w:szCs w:val="28"/>
                <w:highlight w:val="none"/>
                <w:u w:val="none"/>
                <w:lang w:val="en-US" w:eastAsia="zh-CN" w:bidi="ar"/>
              </w:rPr>
              <w:t>四、藜麦油茶设备清单及参数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4" w:hRule="atLeast"/>
        </w:trPr>
        <w:tc>
          <w:tcPr>
            <w:tcW w:w="68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1</w:t>
            </w:r>
          </w:p>
        </w:tc>
        <w:tc>
          <w:tcPr>
            <w:tcW w:w="265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全自动行星搅拌炒锅</w:t>
            </w:r>
          </w:p>
        </w:tc>
        <w:tc>
          <w:tcPr>
            <w:tcW w:w="7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台</w:t>
            </w:r>
          </w:p>
        </w:tc>
        <w:tc>
          <w:tcPr>
            <w:tcW w:w="91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1</w:t>
            </w:r>
          </w:p>
        </w:tc>
        <w:tc>
          <w:tcPr>
            <w:tcW w:w="810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both"/>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功率≥48KW，电压：380V；工作能力≥50kg/次；设备材质：SUS304不锈钢；锅体直径：1200 mm；锅体厚度内胆5mm,外胆4mm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12" w:hRule="atLeast"/>
        </w:trPr>
        <w:tc>
          <w:tcPr>
            <w:tcW w:w="68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2</w:t>
            </w:r>
          </w:p>
        </w:tc>
        <w:tc>
          <w:tcPr>
            <w:tcW w:w="265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超微粉碎机</w:t>
            </w:r>
          </w:p>
        </w:tc>
        <w:tc>
          <w:tcPr>
            <w:tcW w:w="7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台</w:t>
            </w:r>
          </w:p>
        </w:tc>
        <w:tc>
          <w:tcPr>
            <w:tcW w:w="91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1</w:t>
            </w:r>
          </w:p>
        </w:tc>
        <w:tc>
          <w:tcPr>
            <w:tcW w:w="810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both"/>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功率≥2.2KW，电压：380V/220V；工作能力≥300kg/h；粉碎目数 100－120 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7" w:hRule="atLeast"/>
        </w:trPr>
        <w:tc>
          <w:tcPr>
            <w:tcW w:w="13100" w:type="dxa"/>
            <w:gridSpan w:val="5"/>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8"/>
                <w:szCs w:val="28"/>
                <w:highlight w:val="none"/>
                <w:u w:val="none"/>
              </w:rPr>
            </w:pPr>
            <w:r>
              <w:rPr>
                <w:rFonts w:hint="eastAsia" w:ascii="宋体" w:hAnsi="宋体" w:eastAsia="宋体" w:cs="宋体"/>
                <w:b/>
                <w:bCs/>
                <w:i w:val="0"/>
                <w:iCs w:val="0"/>
                <w:color w:val="auto"/>
                <w:kern w:val="0"/>
                <w:sz w:val="28"/>
                <w:szCs w:val="28"/>
                <w:highlight w:val="none"/>
                <w:u w:val="none"/>
                <w:lang w:val="en-US" w:eastAsia="zh-CN" w:bidi="ar"/>
              </w:rPr>
              <w:t>五、其他设备清单及参数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4" w:hRule="atLeast"/>
        </w:trPr>
        <w:tc>
          <w:tcPr>
            <w:tcW w:w="68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1</w:t>
            </w:r>
          </w:p>
        </w:tc>
        <w:tc>
          <w:tcPr>
            <w:tcW w:w="265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全自动枕式包装机</w:t>
            </w:r>
          </w:p>
        </w:tc>
        <w:tc>
          <w:tcPr>
            <w:tcW w:w="7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台</w:t>
            </w:r>
          </w:p>
        </w:tc>
        <w:tc>
          <w:tcPr>
            <w:tcW w:w="91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1</w:t>
            </w:r>
          </w:p>
        </w:tc>
        <w:tc>
          <w:tcPr>
            <w:tcW w:w="810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both"/>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功率≥3.6KW，制袋长度120-280mm；薄膜厚度：0.22  mm；制带宽度：30－100mm可调；包装速度60-120包/分钟；电源：220V,50/60HZ</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76" w:hRule="atLeast"/>
        </w:trPr>
        <w:tc>
          <w:tcPr>
            <w:tcW w:w="68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2</w:t>
            </w:r>
          </w:p>
        </w:tc>
        <w:tc>
          <w:tcPr>
            <w:tcW w:w="265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走带包装机</w:t>
            </w:r>
          </w:p>
        </w:tc>
        <w:tc>
          <w:tcPr>
            <w:tcW w:w="7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台</w:t>
            </w:r>
          </w:p>
        </w:tc>
        <w:tc>
          <w:tcPr>
            <w:tcW w:w="91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2</w:t>
            </w:r>
          </w:p>
        </w:tc>
        <w:tc>
          <w:tcPr>
            <w:tcW w:w="810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both"/>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功率≥0.8KW，封口速度≥12米/min；带长：1200mm；         带宽：400  mm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7" w:hRule="atLeast"/>
        </w:trPr>
        <w:tc>
          <w:tcPr>
            <w:tcW w:w="68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3</w:t>
            </w:r>
          </w:p>
        </w:tc>
        <w:tc>
          <w:tcPr>
            <w:tcW w:w="265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自动盒装机</w:t>
            </w:r>
          </w:p>
        </w:tc>
        <w:tc>
          <w:tcPr>
            <w:tcW w:w="7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台</w:t>
            </w:r>
          </w:p>
        </w:tc>
        <w:tc>
          <w:tcPr>
            <w:tcW w:w="91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1</w:t>
            </w:r>
          </w:p>
        </w:tc>
        <w:tc>
          <w:tcPr>
            <w:tcW w:w="810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功率≥5.5KW，工作能力≥120kg/h</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38" w:hRule="atLeast"/>
        </w:trPr>
        <w:tc>
          <w:tcPr>
            <w:tcW w:w="68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4</w:t>
            </w:r>
          </w:p>
        </w:tc>
        <w:tc>
          <w:tcPr>
            <w:tcW w:w="265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喷码机</w:t>
            </w:r>
          </w:p>
        </w:tc>
        <w:tc>
          <w:tcPr>
            <w:tcW w:w="7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台</w:t>
            </w:r>
          </w:p>
        </w:tc>
        <w:tc>
          <w:tcPr>
            <w:tcW w:w="91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1</w:t>
            </w:r>
          </w:p>
        </w:tc>
        <w:tc>
          <w:tcPr>
            <w:tcW w:w="810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中文界面，日期、时间自动更新喷印；每秒喷印不小于2560个字符；字体可调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7" w:hRule="atLeast"/>
        </w:trPr>
        <w:tc>
          <w:tcPr>
            <w:tcW w:w="13100" w:type="dxa"/>
            <w:gridSpan w:val="5"/>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8"/>
                <w:szCs w:val="28"/>
                <w:highlight w:val="none"/>
                <w:u w:val="none"/>
              </w:rPr>
            </w:pPr>
            <w:r>
              <w:rPr>
                <w:rFonts w:hint="eastAsia" w:ascii="宋体" w:hAnsi="宋体" w:eastAsia="宋体" w:cs="宋体"/>
                <w:b/>
                <w:bCs/>
                <w:i w:val="0"/>
                <w:iCs w:val="0"/>
                <w:color w:val="auto"/>
                <w:kern w:val="0"/>
                <w:sz w:val="28"/>
                <w:szCs w:val="28"/>
                <w:highlight w:val="none"/>
                <w:u w:val="none"/>
                <w:lang w:val="en-US" w:eastAsia="zh-CN" w:bidi="ar"/>
              </w:rPr>
              <w:t>五、新建一座300立方冷库，成品采购</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4" w:hRule="atLeast"/>
        </w:trPr>
        <w:tc>
          <w:tcPr>
            <w:tcW w:w="684"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1</w:t>
            </w:r>
          </w:p>
        </w:tc>
        <w:tc>
          <w:tcPr>
            <w:tcW w:w="2654"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新建一座300立方冷库</w:t>
            </w:r>
          </w:p>
        </w:tc>
        <w:tc>
          <w:tcPr>
            <w:tcW w:w="738"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座</w:t>
            </w:r>
          </w:p>
        </w:tc>
        <w:tc>
          <w:tcPr>
            <w:tcW w:w="917"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1</w:t>
            </w:r>
          </w:p>
        </w:tc>
        <w:tc>
          <w:tcPr>
            <w:tcW w:w="810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新建一座300立方冷库，成品采购，具体参数要求：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19" w:hRule="atLeast"/>
        </w:trPr>
        <w:tc>
          <w:tcPr>
            <w:tcW w:w="684"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auto"/>
                <w:sz w:val="28"/>
                <w:szCs w:val="28"/>
                <w:highlight w:val="none"/>
                <w:u w:val="none"/>
              </w:rPr>
            </w:pPr>
          </w:p>
        </w:tc>
        <w:tc>
          <w:tcPr>
            <w:tcW w:w="2654"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auto"/>
                <w:sz w:val="28"/>
                <w:szCs w:val="28"/>
                <w:highlight w:val="none"/>
                <w:u w:val="none"/>
              </w:rPr>
            </w:pPr>
          </w:p>
        </w:tc>
        <w:tc>
          <w:tcPr>
            <w:tcW w:w="738"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auto"/>
                <w:sz w:val="28"/>
                <w:szCs w:val="28"/>
                <w:highlight w:val="none"/>
                <w:u w:val="none"/>
              </w:rPr>
            </w:pPr>
          </w:p>
        </w:tc>
        <w:tc>
          <w:tcPr>
            <w:tcW w:w="917"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auto"/>
                <w:sz w:val="28"/>
                <w:szCs w:val="28"/>
                <w:highlight w:val="none"/>
                <w:u w:val="none"/>
              </w:rPr>
            </w:pPr>
          </w:p>
        </w:tc>
        <w:tc>
          <w:tcPr>
            <w:tcW w:w="810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1、聚氨酯冷库保温板：密度：≥401kg/m3；2、导热系数：≤0.020W/mk；抗压强度：≥160kPa；粘结强度≥0. 14MPa；抗弯承载能力≥6mm；阻燃指数不低于B2级</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76" w:hRule="atLeast"/>
        </w:trPr>
        <w:tc>
          <w:tcPr>
            <w:tcW w:w="684"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auto"/>
                <w:sz w:val="28"/>
                <w:szCs w:val="28"/>
                <w:highlight w:val="none"/>
                <w:u w:val="none"/>
              </w:rPr>
            </w:pPr>
          </w:p>
        </w:tc>
        <w:tc>
          <w:tcPr>
            <w:tcW w:w="2654"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auto"/>
                <w:sz w:val="28"/>
                <w:szCs w:val="28"/>
                <w:highlight w:val="none"/>
                <w:u w:val="none"/>
              </w:rPr>
            </w:pPr>
          </w:p>
        </w:tc>
        <w:tc>
          <w:tcPr>
            <w:tcW w:w="738"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auto"/>
                <w:sz w:val="28"/>
                <w:szCs w:val="28"/>
                <w:highlight w:val="none"/>
                <w:u w:val="none"/>
              </w:rPr>
            </w:pPr>
          </w:p>
        </w:tc>
        <w:tc>
          <w:tcPr>
            <w:tcW w:w="917"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auto"/>
                <w:sz w:val="28"/>
                <w:szCs w:val="28"/>
                <w:highlight w:val="none"/>
                <w:u w:val="none"/>
              </w:rPr>
            </w:pPr>
          </w:p>
        </w:tc>
        <w:tc>
          <w:tcPr>
            <w:tcW w:w="810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2、保温门：硬质聚氨酯材料，尺寸1.0*2.0m右开门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4" w:hRule="atLeast"/>
        </w:trPr>
        <w:tc>
          <w:tcPr>
            <w:tcW w:w="684"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auto"/>
                <w:sz w:val="28"/>
                <w:szCs w:val="28"/>
                <w:highlight w:val="none"/>
                <w:u w:val="none"/>
              </w:rPr>
            </w:pPr>
          </w:p>
        </w:tc>
        <w:tc>
          <w:tcPr>
            <w:tcW w:w="2654"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auto"/>
                <w:sz w:val="28"/>
                <w:szCs w:val="28"/>
                <w:highlight w:val="none"/>
                <w:u w:val="none"/>
              </w:rPr>
            </w:pPr>
          </w:p>
        </w:tc>
        <w:tc>
          <w:tcPr>
            <w:tcW w:w="738"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auto"/>
                <w:sz w:val="28"/>
                <w:szCs w:val="28"/>
                <w:highlight w:val="none"/>
                <w:u w:val="none"/>
              </w:rPr>
            </w:pPr>
          </w:p>
        </w:tc>
        <w:tc>
          <w:tcPr>
            <w:tcW w:w="917"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auto"/>
                <w:sz w:val="28"/>
                <w:szCs w:val="28"/>
                <w:highlight w:val="none"/>
                <w:u w:val="none"/>
              </w:rPr>
            </w:pPr>
          </w:p>
        </w:tc>
        <w:tc>
          <w:tcPr>
            <w:tcW w:w="810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3、制冷机组：气缸数4,最大消耗功率9.6KW,电源380V交流三相电，活塞压缩机，风冷冷凝器，封闭式箱式机组</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35" w:hRule="atLeast"/>
        </w:trPr>
        <w:tc>
          <w:tcPr>
            <w:tcW w:w="684"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auto"/>
                <w:sz w:val="28"/>
                <w:szCs w:val="28"/>
                <w:highlight w:val="none"/>
                <w:u w:val="none"/>
              </w:rPr>
            </w:pPr>
          </w:p>
        </w:tc>
        <w:tc>
          <w:tcPr>
            <w:tcW w:w="2654"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auto"/>
                <w:sz w:val="28"/>
                <w:szCs w:val="28"/>
                <w:highlight w:val="none"/>
                <w:u w:val="none"/>
              </w:rPr>
            </w:pPr>
          </w:p>
        </w:tc>
        <w:tc>
          <w:tcPr>
            <w:tcW w:w="738"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auto"/>
                <w:sz w:val="28"/>
                <w:szCs w:val="28"/>
                <w:highlight w:val="none"/>
                <w:u w:val="none"/>
              </w:rPr>
            </w:pPr>
          </w:p>
        </w:tc>
        <w:tc>
          <w:tcPr>
            <w:tcW w:w="917"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auto"/>
                <w:sz w:val="28"/>
                <w:szCs w:val="28"/>
                <w:highlight w:val="none"/>
                <w:u w:val="none"/>
              </w:rPr>
            </w:pPr>
          </w:p>
        </w:tc>
        <w:tc>
          <w:tcPr>
            <w:tcW w:w="810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4、空气冷却器：制冷量不小于13700W，冷却面积不小于100m</w:t>
            </w:r>
            <w:r>
              <w:rPr>
                <w:rFonts w:hint="eastAsia" w:ascii="宋体" w:hAnsi="宋体" w:eastAsia="宋体" w:cs="宋体"/>
                <w:i w:val="0"/>
                <w:iCs w:val="0"/>
                <w:color w:val="auto"/>
                <w:kern w:val="0"/>
                <w:sz w:val="28"/>
                <w:szCs w:val="28"/>
                <w:highlight w:val="none"/>
                <w:u w:val="none"/>
                <w:vertAlign w:val="superscript"/>
                <w:lang w:val="en-US" w:eastAsia="zh-CN" w:bidi="ar"/>
              </w:rPr>
              <w:t>2</w:t>
            </w:r>
            <w:r>
              <w:rPr>
                <w:rStyle w:val="129"/>
                <w:color w:val="auto"/>
                <w:highlight w:val="none"/>
                <w:lang w:val="en-US" w:eastAsia="zh-CN" w:bidi="ar"/>
              </w:rPr>
              <w:t>，风量不小于3×6290W，风压不小于90Pa，射程不小于15m，风机功率不小于3×400W，材质：不锈钢外壳;电压 380V/50HZ</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7" w:hRule="atLeast"/>
        </w:trPr>
        <w:tc>
          <w:tcPr>
            <w:tcW w:w="684"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auto"/>
                <w:sz w:val="28"/>
                <w:szCs w:val="28"/>
                <w:highlight w:val="none"/>
                <w:u w:val="none"/>
              </w:rPr>
            </w:pPr>
          </w:p>
        </w:tc>
        <w:tc>
          <w:tcPr>
            <w:tcW w:w="2654"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auto"/>
                <w:sz w:val="28"/>
                <w:szCs w:val="28"/>
                <w:highlight w:val="none"/>
                <w:u w:val="none"/>
              </w:rPr>
            </w:pPr>
          </w:p>
        </w:tc>
        <w:tc>
          <w:tcPr>
            <w:tcW w:w="738"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auto"/>
                <w:sz w:val="28"/>
                <w:szCs w:val="28"/>
                <w:highlight w:val="none"/>
                <w:u w:val="none"/>
              </w:rPr>
            </w:pPr>
          </w:p>
        </w:tc>
        <w:tc>
          <w:tcPr>
            <w:tcW w:w="917"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auto"/>
                <w:sz w:val="28"/>
                <w:szCs w:val="28"/>
                <w:highlight w:val="none"/>
                <w:u w:val="none"/>
              </w:rPr>
            </w:pPr>
          </w:p>
        </w:tc>
        <w:tc>
          <w:tcPr>
            <w:tcW w:w="810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5、微电脑控制箱：温度范围－35℃-10℃,电流不小于40A</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90" w:hRule="atLeast"/>
        </w:trPr>
        <w:tc>
          <w:tcPr>
            <w:tcW w:w="684"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auto"/>
                <w:sz w:val="28"/>
                <w:szCs w:val="28"/>
                <w:highlight w:val="none"/>
                <w:u w:val="none"/>
              </w:rPr>
            </w:pPr>
          </w:p>
        </w:tc>
        <w:tc>
          <w:tcPr>
            <w:tcW w:w="2654"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auto"/>
                <w:sz w:val="28"/>
                <w:szCs w:val="28"/>
                <w:highlight w:val="none"/>
                <w:u w:val="none"/>
              </w:rPr>
            </w:pPr>
          </w:p>
        </w:tc>
        <w:tc>
          <w:tcPr>
            <w:tcW w:w="738"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auto"/>
                <w:sz w:val="28"/>
                <w:szCs w:val="28"/>
                <w:highlight w:val="none"/>
                <w:u w:val="none"/>
              </w:rPr>
            </w:pPr>
          </w:p>
        </w:tc>
        <w:tc>
          <w:tcPr>
            <w:tcW w:w="917"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auto"/>
                <w:sz w:val="28"/>
                <w:szCs w:val="28"/>
                <w:highlight w:val="none"/>
                <w:u w:val="none"/>
              </w:rPr>
            </w:pPr>
          </w:p>
        </w:tc>
        <w:tc>
          <w:tcPr>
            <w:tcW w:w="810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6、膨胀阀：制冷剂R22；蒸发温度范围－40°-+10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7" w:hRule="atLeast"/>
        </w:trPr>
        <w:tc>
          <w:tcPr>
            <w:tcW w:w="684"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auto"/>
                <w:sz w:val="28"/>
                <w:szCs w:val="28"/>
                <w:highlight w:val="none"/>
                <w:u w:val="none"/>
              </w:rPr>
            </w:pPr>
          </w:p>
        </w:tc>
        <w:tc>
          <w:tcPr>
            <w:tcW w:w="2654"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auto"/>
                <w:sz w:val="28"/>
                <w:szCs w:val="28"/>
                <w:highlight w:val="none"/>
                <w:u w:val="none"/>
              </w:rPr>
            </w:pPr>
          </w:p>
        </w:tc>
        <w:tc>
          <w:tcPr>
            <w:tcW w:w="738"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auto"/>
                <w:sz w:val="28"/>
                <w:szCs w:val="28"/>
                <w:highlight w:val="none"/>
                <w:u w:val="none"/>
              </w:rPr>
            </w:pPr>
          </w:p>
        </w:tc>
        <w:tc>
          <w:tcPr>
            <w:tcW w:w="917"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auto"/>
                <w:sz w:val="28"/>
                <w:szCs w:val="28"/>
                <w:highlight w:val="none"/>
                <w:u w:val="none"/>
              </w:rPr>
            </w:pPr>
          </w:p>
        </w:tc>
        <w:tc>
          <w:tcPr>
            <w:tcW w:w="810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7、冷库灯：工作电压220V；防爆照明灯；防护等级不小于IP66；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96" w:hRule="atLeast"/>
        </w:trPr>
        <w:tc>
          <w:tcPr>
            <w:tcW w:w="684"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auto"/>
                <w:sz w:val="28"/>
                <w:szCs w:val="28"/>
                <w:highlight w:val="none"/>
                <w:u w:val="none"/>
              </w:rPr>
            </w:pPr>
          </w:p>
        </w:tc>
        <w:tc>
          <w:tcPr>
            <w:tcW w:w="2654"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auto"/>
                <w:sz w:val="28"/>
                <w:szCs w:val="28"/>
                <w:highlight w:val="none"/>
                <w:u w:val="none"/>
              </w:rPr>
            </w:pPr>
          </w:p>
        </w:tc>
        <w:tc>
          <w:tcPr>
            <w:tcW w:w="738"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auto"/>
                <w:sz w:val="28"/>
                <w:szCs w:val="28"/>
                <w:highlight w:val="none"/>
                <w:u w:val="none"/>
              </w:rPr>
            </w:pPr>
          </w:p>
        </w:tc>
        <w:tc>
          <w:tcPr>
            <w:tcW w:w="917"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auto"/>
                <w:sz w:val="28"/>
                <w:szCs w:val="28"/>
                <w:highlight w:val="none"/>
                <w:u w:val="none"/>
              </w:rPr>
            </w:pPr>
          </w:p>
        </w:tc>
        <w:tc>
          <w:tcPr>
            <w:tcW w:w="810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8、铜管：直管外径≥25mm；壁厚≮1.2mm；</w:t>
            </w:r>
          </w:p>
        </w:tc>
      </w:tr>
    </w:tbl>
    <w:p>
      <w:pPr>
        <w:pStyle w:val="2"/>
        <w:rPr>
          <w:color w:val="auto"/>
          <w:highlight w:val="none"/>
          <w:lang w:val="zh-CN"/>
        </w:rPr>
        <w:sectPr>
          <w:headerReference r:id="rId5" w:type="default"/>
          <w:footerReference r:id="rId6" w:type="default"/>
          <w:pgSz w:w="15840" w:h="12240" w:orient="landscape"/>
          <w:pgMar w:top="1800" w:right="1440" w:bottom="1800" w:left="1440" w:header="720" w:footer="720" w:gutter="0"/>
          <w:cols w:space="720" w:num="1"/>
          <w:docGrid w:linePitch="286" w:charSpace="0"/>
        </w:sectPr>
      </w:pPr>
    </w:p>
    <w:p>
      <w:pPr>
        <w:pStyle w:val="35"/>
        <w:spacing w:line="360" w:lineRule="auto"/>
        <w:jc w:val="center"/>
        <w:rPr>
          <w:rFonts w:hint="eastAsia"/>
          <w:color w:val="auto"/>
          <w:sz w:val="44"/>
          <w:szCs w:val="36"/>
          <w:highlight w:val="none"/>
          <w:lang w:val="zh-CN" w:eastAsia="zh-CN"/>
        </w:rPr>
      </w:pPr>
      <w:r>
        <w:rPr>
          <w:rFonts w:hint="eastAsia"/>
          <w:color w:val="auto"/>
          <w:sz w:val="44"/>
          <w:szCs w:val="36"/>
          <w:highlight w:val="none"/>
          <w:lang w:val="zh-CN" w:eastAsia="zh-CN"/>
        </w:rPr>
        <w:t>第六部分</w:t>
      </w:r>
      <w:r>
        <w:rPr>
          <w:rFonts w:hint="eastAsia"/>
          <w:color w:val="auto"/>
          <w:sz w:val="44"/>
          <w:szCs w:val="36"/>
          <w:highlight w:val="none"/>
          <w:lang w:val="en-US" w:eastAsia="zh-CN"/>
        </w:rPr>
        <w:t xml:space="preserve">  </w:t>
      </w:r>
      <w:r>
        <w:rPr>
          <w:rFonts w:hint="eastAsia"/>
          <w:color w:val="auto"/>
          <w:sz w:val="44"/>
          <w:szCs w:val="36"/>
          <w:highlight w:val="none"/>
          <w:lang w:val="zh-CN" w:eastAsia="zh-CN"/>
        </w:rPr>
        <w:t>响应文件格式</w:t>
      </w:r>
      <w:bookmarkEnd w:id="454"/>
      <w:bookmarkEnd w:id="455"/>
      <w:bookmarkEnd w:id="456"/>
    </w:p>
    <w:p>
      <w:pPr>
        <w:pStyle w:val="35"/>
        <w:jc w:val="both"/>
        <w:rPr>
          <w:rFonts w:ascii="宋体" w:hAnsi="宋体"/>
          <w:color w:val="auto"/>
          <w:sz w:val="32"/>
          <w:highlight w:val="none"/>
          <w:lang w:val="zh-CN"/>
        </w:rPr>
      </w:pPr>
      <w:bookmarkStart w:id="457" w:name="_Toc10730578"/>
      <w:bookmarkStart w:id="458" w:name="_Toc13582338"/>
      <w:bookmarkStart w:id="459" w:name="_Toc6838165"/>
      <w:bookmarkStart w:id="460" w:name="_Toc26792"/>
    </w:p>
    <w:p>
      <w:pPr>
        <w:rPr>
          <w:color w:val="auto"/>
          <w:highlight w:val="none"/>
          <w:lang w:val="zh-CN"/>
        </w:rPr>
      </w:pPr>
    </w:p>
    <w:p>
      <w:pPr>
        <w:pStyle w:val="35"/>
        <w:jc w:val="left"/>
        <w:rPr>
          <w:rFonts w:ascii="宋体" w:hAnsi="宋体" w:cs="Cambria"/>
          <w:color w:val="auto"/>
          <w:sz w:val="32"/>
          <w:highlight w:val="none"/>
        </w:rPr>
      </w:pPr>
      <w:bookmarkStart w:id="461" w:name="_Toc11511"/>
      <w:bookmarkStart w:id="462" w:name="_Toc8799"/>
      <w:bookmarkStart w:id="463" w:name="_Toc11915"/>
      <w:bookmarkStart w:id="464" w:name="_Toc9334"/>
      <w:r>
        <w:rPr>
          <w:rFonts w:hint="eastAsia" w:ascii="宋体" w:hAnsi="宋体"/>
          <w:color w:val="auto"/>
          <w:sz w:val="32"/>
          <w:highlight w:val="none"/>
          <w:lang w:val="zh-CN"/>
        </w:rPr>
        <w:t>格式</w:t>
      </w:r>
      <w:r>
        <w:rPr>
          <w:rFonts w:ascii="宋体" w:hAnsi="宋体" w:cs="Cambria"/>
          <w:color w:val="auto"/>
          <w:sz w:val="32"/>
          <w:highlight w:val="none"/>
        </w:rPr>
        <w:t>1</w:t>
      </w:r>
      <w:r>
        <w:rPr>
          <w:rFonts w:hint="eastAsia" w:ascii="宋体" w:hAnsi="宋体"/>
          <w:color w:val="auto"/>
          <w:sz w:val="32"/>
          <w:highlight w:val="none"/>
          <w:lang w:val="zh-CN"/>
        </w:rPr>
        <w:t>：响应文件封面</w:t>
      </w:r>
      <w:bookmarkEnd w:id="457"/>
      <w:bookmarkEnd w:id="458"/>
      <w:bookmarkEnd w:id="459"/>
      <w:bookmarkEnd w:id="460"/>
      <w:bookmarkEnd w:id="461"/>
      <w:bookmarkEnd w:id="462"/>
      <w:bookmarkEnd w:id="463"/>
      <w:bookmarkEnd w:id="464"/>
    </w:p>
    <w:p>
      <w:pPr>
        <w:autoSpaceDE w:val="0"/>
        <w:autoSpaceDN w:val="0"/>
        <w:adjustRightInd w:val="0"/>
        <w:rPr>
          <w:rFonts w:ascii="仿宋" w:hAnsi="Cambria" w:eastAsia="仿宋" w:cs="仿宋"/>
          <w:b/>
          <w:bCs/>
          <w:color w:val="auto"/>
          <w:kern w:val="0"/>
          <w:sz w:val="52"/>
          <w:szCs w:val="52"/>
          <w:highlight w:val="none"/>
        </w:rPr>
      </w:pPr>
    </w:p>
    <w:p>
      <w:pPr>
        <w:autoSpaceDE w:val="0"/>
        <w:autoSpaceDN w:val="0"/>
        <w:adjustRightInd w:val="0"/>
        <w:rPr>
          <w:rFonts w:ascii="仿宋" w:hAnsi="Cambria" w:eastAsia="仿宋" w:cs="仿宋"/>
          <w:b/>
          <w:bCs/>
          <w:color w:val="auto"/>
          <w:kern w:val="0"/>
          <w:sz w:val="52"/>
          <w:szCs w:val="52"/>
          <w:highlight w:val="none"/>
        </w:rPr>
      </w:pPr>
    </w:p>
    <w:p>
      <w:pPr>
        <w:autoSpaceDE w:val="0"/>
        <w:autoSpaceDN w:val="0"/>
        <w:adjustRightInd w:val="0"/>
        <w:rPr>
          <w:rFonts w:eastAsia="仿宋" w:cs="Calibri"/>
          <w:color w:val="auto"/>
          <w:kern w:val="0"/>
          <w:sz w:val="28"/>
          <w:szCs w:val="28"/>
          <w:highlight w:val="none"/>
        </w:rPr>
      </w:pPr>
    </w:p>
    <w:p>
      <w:pPr>
        <w:autoSpaceDE w:val="0"/>
        <w:autoSpaceDN w:val="0"/>
        <w:adjustRightInd w:val="0"/>
        <w:rPr>
          <w:rFonts w:eastAsia="仿宋" w:cs="Calibri"/>
          <w:color w:val="auto"/>
          <w:kern w:val="0"/>
          <w:sz w:val="28"/>
          <w:szCs w:val="28"/>
          <w:highlight w:val="none"/>
        </w:rPr>
      </w:pPr>
    </w:p>
    <w:p>
      <w:pPr>
        <w:autoSpaceDE w:val="0"/>
        <w:autoSpaceDN w:val="0"/>
        <w:adjustRightInd w:val="0"/>
        <w:jc w:val="center"/>
        <w:rPr>
          <w:rFonts w:cs="Calibri"/>
          <w:b/>
          <w:bCs/>
          <w:color w:val="auto"/>
          <w:kern w:val="0"/>
          <w:sz w:val="72"/>
          <w:szCs w:val="72"/>
          <w:highlight w:val="none"/>
        </w:rPr>
      </w:pPr>
      <w:r>
        <w:rPr>
          <w:rFonts w:hint="eastAsia" w:ascii="宋体" w:cs="宋体"/>
          <w:b/>
          <w:bCs/>
          <w:color w:val="auto"/>
          <w:kern w:val="0"/>
          <w:sz w:val="72"/>
          <w:szCs w:val="72"/>
          <w:highlight w:val="none"/>
          <w:lang w:val="zh-CN"/>
        </w:rPr>
        <w:t>响 应文件</w:t>
      </w:r>
    </w:p>
    <w:p>
      <w:pPr>
        <w:autoSpaceDE w:val="0"/>
        <w:autoSpaceDN w:val="0"/>
        <w:adjustRightInd w:val="0"/>
        <w:rPr>
          <w:rFonts w:cs="Calibri"/>
          <w:color w:val="auto"/>
          <w:kern w:val="0"/>
          <w:sz w:val="28"/>
          <w:szCs w:val="28"/>
          <w:highlight w:val="none"/>
        </w:rPr>
      </w:pPr>
    </w:p>
    <w:p>
      <w:pPr>
        <w:autoSpaceDE w:val="0"/>
        <w:autoSpaceDN w:val="0"/>
        <w:adjustRightInd w:val="0"/>
        <w:rPr>
          <w:rFonts w:cs="Calibri"/>
          <w:color w:val="auto"/>
          <w:kern w:val="0"/>
          <w:sz w:val="28"/>
          <w:szCs w:val="28"/>
          <w:highlight w:val="none"/>
        </w:rPr>
      </w:pPr>
    </w:p>
    <w:p>
      <w:pPr>
        <w:autoSpaceDE w:val="0"/>
        <w:autoSpaceDN w:val="0"/>
        <w:adjustRightInd w:val="0"/>
        <w:rPr>
          <w:rFonts w:cs="Calibri"/>
          <w:color w:val="auto"/>
          <w:kern w:val="0"/>
          <w:sz w:val="28"/>
          <w:szCs w:val="28"/>
          <w:highlight w:val="none"/>
        </w:rPr>
      </w:pPr>
    </w:p>
    <w:p>
      <w:pPr>
        <w:autoSpaceDE w:val="0"/>
        <w:autoSpaceDN w:val="0"/>
        <w:adjustRightInd w:val="0"/>
        <w:rPr>
          <w:rFonts w:cs="Calibri"/>
          <w:color w:val="auto"/>
          <w:kern w:val="0"/>
          <w:sz w:val="28"/>
          <w:szCs w:val="28"/>
          <w:highlight w:val="none"/>
        </w:rPr>
      </w:pPr>
    </w:p>
    <w:p>
      <w:pPr>
        <w:autoSpaceDE w:val="0"/>
        <w:autoSpaceDN w:val="0"/>
        <w:adjustRightInd w:val="0"/>
        <w:rPr>
          <w:rFonts w:cs="Calibri"/>
          <w:color w:val="auto"/>
          <w:kern w:val="0"/>
          <w:sz w:val="28"/>
          <w:szCs w:val="28"/>
          <w:highlight w:val="none"/>
        </w:rPr>
      </w:pPr>
    </w:p>
    <w:p>
      <w:pPr>
        <w:autoSpaceDE w:val="0"/>
        <w:autoSpaceDN w:val="0"/>
        <w:adjustRightInd w:val="0"/>
        <w:spacing w:line="360" w:lineRule="auto"/>
        <w:rPr>
          <w:rFonts w:cs="Calibri"/>
          <w:b/>
          <w:bCs/>
          <w:color w:val="auto"/>
          <w:kern w:val="0"/>
          <w:sz w:val="36"/>
          <w:szCs w:val="36"/>
          <w:highlight w:val="none"/>
        </w:rPr>
      </w:pPr>
      <w:r>
        <w:rPr>
          <w:rFonts w:hint="eastAsia" w:ascii="宋体" w:cs="宋体"/>
          <w:b/>
          <w:bCs/>
          <w:color w:val="auto"/>
          <w:kern w:val="0"/>
          <w:sz w:val="36"/>
          <w:szCs w:val="36"/>
          <w:highlight w:val="none"/>
          <w:lang w:val="zh-CN"/>
        </w:rPr>
        <w:t>项目编号：</w:t>
      </w:r>
    </w:p>
    <w:p>
      <w:pPr>
        <w:autoSpaceDE w:val="0"/>
        <w:autoSpaceDN w:val="0"/>
        <w:adjustRightInd w:val="0"/>
        <w:spacing w:line="360" w:lineRule="auto"/>
        <w:rPr>
          <w:rFonts w:cs="Calibri"/>
          <w:b/>
          <w:bCs/>
          <w:color w:val="auto"/>
          <w:kern w:val="0"/>
          <w:sz w:val="36"/>
          <w:szCs w:val="36"/>
          <w:highlight w:val="none"/>
        </w:rPr>
      </w:pPr>
      <w:r>
        <w:rPr>
          <w:rFonts w:hint="eastAsia" w:ascii="宋体" w:cs="宋体"/>
          <w:b/>
          <w:bCs/>
          <w:color w:val="auto"/>
          <w:kern w:val="0"/>
          <w:sz w:val="36"/>
          <w:szCs w:val="36"/>
          <w:highlight w:val="none"/>
          <w:lang w:val="zh-CN"/>
        </w:rPr>
        <w:t>项目名称</w:t>
      </w:r>
      <w:r>
        <w:rPr>
          <w:rFonts w:cs="Calibri"/>
          <w:b/>
          <w:bCs/>
          <w:color w:val="auto"/>
          <w:kern w:val="0"/>
          <w:sz w:val="36"/>
          <w:szCs w:val="36"/>
          <w:highlight w:val="none"/>
        </w:rPr>
        <w:t xml:space="preserve">: </w:t>
      </w:r>
    </w:p>
    <w:p>
      <w:pPr>
        <w:autoSpaceDE w:val="0"/>
        <w:autoSpaceDN w:val="0"/>
        <w:adjustRightInd w:val="0"/>
        <w:spacing w:line="360" w:lineRule="auto"/>
        <w:rPr>
          <w:rFonts w:cs="Calibri"/>
          <w:b/>
          <w:bCs/>
          <w:color w:val="auto"/>
          <w:kern w:val="0"/>
          <w:sz w:val="36"/>
          <w:szCs w:val="36"/>
          <w:highlight w:val="none"/>
        </w:rPr>
      </w:pPr>
    </w:p>
    <w:p>
      <w:pPr>
        <w:autoSpaceDE w:val="0"/>
        <w:autoSpaceDN w:val="0"/>
        <w:adjustRightInd w:val="0"/>
        <w:spacing w:line="360" w:lineRule="auto"/>
        <w:rPr>
          <w:rFonts w:cs="Calibri"/>
          <w:b/>
          <w:bCs/>
          <w:color w:val="auto"/>
          <w:kern w:val="0"/>
          <w:sz w:val="36"/>
          <w:szCs w:val="36"/>
          <w:highlight w:val="none"/>
        </w:rPr>
      </w:pPr>
    </w:p>
    <w:p>
      <w:pPr>
        <w:autoSpaceDE w:val="0"/>
        <w:autoSpaceDN w:val="0"/>
        <w:adjustRightInd w:val="0"/>
        <w:spacing w:line="360" w:lineRule="auto"/>
        <w:rPr>
          <w:rFonts w:cs="Calibri"/>
          <w:b/>
          <w:bCs/>
          <w:color w:val="auto"/>
          <w:kern w:val="0"/>
          <w:sz w:val="32"/>
          <w:szCs w:val="32"/>
          <w:highlight w:val="none"/>
        </w:rPr>
      </w:pPr>
      <w:r>
        <w:rPr>
          <w:rFonts w:hint="eastAsia" w:ascii="宋体" w:cs="宋体"/>
          <w:b/>
          <w:bCs/>
          <w:color w:val="auto"/>
          <w:kern w:val="0"/>
          <w:sz w:val="32"/>
          <w:szCs w:val="32"/>
          <w:highlight w:val="none"/>
          <w:lang w:val="zh-CN"/>
        </w:rPr>
        <w:t>供应商：</w:t>
      </w:r>
      <w:r>
        <w:rPr>
          <w:rFonts w:hint="eastAsia" w:cs="Calibri"/>
          <w:b/>
          <w:bCs/>
          <w:color w:val="auto"/>
          <w:kern w:val="0"/>
          <w:sz w:val="32"/>
          <w:szCs w:val="32"/>
          <w:highlight w:val="none"/>
        </w:rPr>
        <w:t>（</w:t>
      </w:r>
      <w:r>
        <w:rPr>
          <w:rFonts w:hint="eastAsia" w:ascii="宋体" w:cs="宋体"/>
          <w:b/>
          <w:bCs/>
          <w:color w:val="auto"/>
          <w:kern w:val="0"/>
          <w:sz w:val="32"/>
          <w:szCs w:val="32"/>
          <w:highlight w:val="none"/>
          <w:lang w:val="zh-CN"/>
        </w:rPr>
        <w:t>公章）</w:t>
      </w:r>
    </w:p>
    <w:p>
      <w:pPr>
        <w:autoSpaceDE w:val="0"/>
        <w:autoSpaceDN w:val="0"/>
        <w:adjustRightInd w:val="0"/>
        <w:spacing w:line="360" w:lineRule="auto"/>
        <w:rPr>
          <w:rFonts w:cs="Calibri"/>
          <w:b/>
          <w:bCs/>
          <w:color w:val="auto"/>
          <w:kern w:val="0"/>
          <w:sz w:val="32"/>
          <w:szCs w:val="32"/>
          <w:highlight w:val="none"/>
        </w:rPr>
      </w:pPr>
      <w:r>
        <w:rPr>
          <w:rFonts w:hint="eastAsia" w:ascii="宋体" w:cs="宋体"/>
          <w:b/>
          <w:bCs/>
          <w:color w:val="auto"/>
          <w:kern w:val="0"/>
          <w:sz w:val="32"/>
          <w:szCs w:val="32"/>
          <w:highlight w:val="none"/>
          <w:lang w:val="zh-CN"/>
        </w:rPr>
        <w:t>法定代表人或委托代理人：（签字）</w:t>
      </w:r>
    </w:p>
    <w:p>
      <w:pPr>
        <w:autoSpaceDE w:val="0"/>
        <w:autoSpaceDN w:val="0"/>
        <w:adjustRightInd w:val="0"/>
        <w:spacing w:line="360" w:lineRule="auto"/>
        <w:rPr>
          <w:rFonts w:cs="Calibri"/>
          <w:b/>
          <w:bCs/>
          <w:color w:val="auto"/>
          <w:kern w:val="0"/>
          <w:sz w:val="32"/>
          <w:szCs w:val="32"/>
          <w:highlight w:val="none"/>
        </w:rPr>
      </w:pPr>
    </w:p>
    <w:p>
      <w:pPr>
        <w:autoSpaceDE w:val="0"/>
        <w:autoSpaceDN w:val="0"/>
        <w:adjustRightInd w:val="0"/>
        <w:spacing w:line="360" w:lineRule="auto"/>
        <w:rPr>
          <w:rFonts w:cs="Calibri"/>
          <w:b/>
          <w:bCs/>
          <w:color w:val="auto"/>
          <w:kern w:val="0"/>
          <w:sz w:val="32"/>
          <w:szCs w:val="32"/>
          <w:highlight w:val="none"/>
        </w:rPr>
      </w:pPr>
    </w:p>
    <w:p>
      <w:pPr>
        <w:autoSpaceDE w:val="0"/>
        <w:autoSpaceDN w:val="0"/>
        <w:adjustRightInd w:val="0"/>
        <w:spacing w:line="360" w:lineRule="auto"/>
        <w:ind w:firstLine="4498" w:firstLineChars="1400"/>
        <w:rPr>
          <w:rFonts w:ascii="宋体" w:cs="宋体"/>
          <w:b/>
          <w:bCs/>
          <w:color w:val="auto"/>
          <w:kern w:val="0"/>
          <w:sz w:val="32"/>
          <w:szCs w:val="32"/>
          <w:highlight w:val="none"/>
          <w:lang w:val="zh-CN"/>
        </w:rPr>
      </w:pPr>
      <w:r>
        <w:rPr>
          <w:rFonts w:hint="eastAsia" w:ascii="宋体" w:cs="宋体"/>
          <w:b/>
          <w:bCs/>
          <w:color w:val="auto"/>
          <w:kern w:val="0"/>
          <w:sz w:val="32"/>
          <w:szCs w:val="32"/>
          <w:highlight w:val="none"/>
          <w:lang w:val="zh-CN"/>
        </w:rPr>
        <w:t>年</w:t>
      </w:r>
      <w:r>
        <w:rPr>
          <w:rFonts w:hint="eastAsia" w:ascii="宋体" w:cs="宋体"/>
          <w:b/>
          <w:bCs/>
          <w:color w:val="auto"/>
          <w:kern w:val="0"/>
          <w:sz w:val="32"/>
          <w:szCs w:val="32"/>
          <w:highlight w:val="none"/>
          <w:lang w:val="en-US" w:eastAsia="zh-CN"/>
        </w:rPr>
        <w:t xml:space="preserve">   </w:t>
      </w:r>
      <w:r>
        <w:rPr>
          <w:rFonts w:hint="eastAsia" w:ascii="宋体" w:cs="宋体"/>
          <w:b/>
          <w:bCs/>
          <w:color w:val="auto"/>
          <w:kern w:val="0"/>
          <w:sz w:val="32"/>
          <w:szCs w:val="32"/>
          <w:highlight w:val="none"/>
          <w:lang w:val="zh-CN"/>
        </w:rPr>
        <w:t>月</w:t>
      </w:r>
      <w:r>
        <w:rPr>
          <w:rFonts w:hint="eastAsia" w:ascii="宋体" w:cs="宋体"/>
          <w:b/>
          <w:bCs/>
          <w:color w:val="auto"/>
          <w:kern w:val="0"/>
          <w:sz w:val="32"/>
          <w:szCs w:val="32"/>
          <w:highlight w:val="none"/>
          <w:lang w:val="en-US" w:eastAsia="zh-CN"/>
        </w:rPr>
        <w:t xml:space="preserve">   </w:t>
      </w:r>
      <w:r>
        <w:rPr>
          <w:rFonts w:hint="eastAsia" w:ascii="宋体" w:cs="宋体"/>
          <w:b/>
          <w:bCs/>
          <w:color w:val="auto"/>
          <w:kern w:val="0"/>
          <w:sz w:val="32"/>
          <w:szCs w:val="32"/>
          <w:highlight w:val="none"/>
          <w:lang w:val="zh-CN"/>
        </w:rPr>
        <w:t>日</w:t>
      </w:r>
    </w:p>
    <w:p>
      <w:pPr>
        <w:pStyle w:val="35"/>
        <w:jc w:val="left"/>
        <w:rPr>
          <w:rFonts w:ascii="宋体" w:hAnsi="宋体"/>
          <w:color w:val="auto"/>
          <w:sz w:val="32"/>
          <w:highlight w:val="none"/>
          <w:lang w:val="zh-CN"/>
        </w:rPr>
      </w:pPr>
      <w:bookmarkStart w:id="465" w:name="_Toc13582339"/>
      <w:bookmarkStart w:id="466" w:name="_Toc6838166"/>
      <w:bookmarkStart w:id="467" w:name="_Toc10730579"/>
    </w:p>
    <w:p>
      <w:pPr>
        <w:pStyle w:val="35"/>
        <w:jc w:val="left"/>
        <w:rPr>
          <w:rFonts w:ascii="宋体" w:hAnsi="宋体" w:cs="Cambria"/>
          <w:color w:val="auto"/>
          <w:sz w:val="32"/>
          <w:highlight w:val="none"/>
        </w:rPr>
      </w:pPr>
      <w:bookmarkStart w:id="468" w:name="_Toc32607"/>
      <w:bookmarkStart w:id="469" w:name="_Toc30208"/>
      <w:bookmarkStart w:id="470" w:name="_Toc12608"/>
      <w:bookmarkStart w:id="471" w:name="_Toc2602"/>
      <w:bookmarkStart w:id="472" w:name="_Toc22017"/>
      <w:r>
        <w:rPr>
          <w:rFonts w:hint="eastAsia" w:ascii="宋体" w:hAnsi="宋体"/>
          <w:color w:val="auto"/>
          <w:sz w:val="32"/>
          <w:highlight w:val="none"/>
          <w:lang w:val="zh-CN"/>
        </w:rPr>
        <w:t>格式</w:t>
      </w:r>
      <w:r>
        <w:rPr>
          <w:rFonts w:ascii="宋体" w:hAnsi="宋体" w:cs="Cambria"/>
          <w:color w:val="auto"/>
          <w:sz w:val="32"/>
          <w:highlight w:val="none"/>
        </w:rPr>
        <w:t>2</w:t>
      </w:r>
      <w:r>
        <w:rPr>
          <w:rFonts w:hint="eastAsia" w:ascii="宋体" w:hAnsi="宋体"/>
          <w:color w:val="auto"/>
          <w:sz w:val="32"/>
          <w:highlight w:val="none"/>
          <w:lang w:val="zh-CN"/>
        </w:rPr>
        <w:t>：响应文件目录</w:t>
      </w:r>
      <w:bookmarkEnd w:id="465"/>
      <w:bookmarkEnd w:id="466"/>
      <w:bookmarkEnd w:id="467"/>
      <w:bookmarkEnd w:id="468"/>
      <w:bookmarkEnd w:id="469"/>
      <w:bookmarkEnd w:id="470"/>
      <w:bookmarkEnd w:id="471"/>
      <w:bookmarkEnd w:id="472"/>
    </w:p>
    <w:p>
      <w:pPr>
        <w:autoSpaceDE w:val="0"/>
        <w:autoSpaceDN w:val="0"/>
        <w:adjustRightInd w:val="0"/>
        <w:spacing w:line="360" w:lineRule="auto"/>
        <w:ind w:right="700"/>
        <w:rPr>
          <w:rFonts w:ascii="宋体" w:hAnsi="Cambria" w:cs="宋体"/>
          <w:color w:val="auto"/>
          <w:kern w:val="0"/>
          <w:sz w:val="24"/>
          <w:highlight w:val="none"/>
          <w:lang w:val="zh-CN"/>
        </w:rPr>
      </w:pPr>
      <w:r>
        <w:rPr>
          <w:rFonts w:hint="eastAsia" w:ascii="宋体" w:hAnsi="Cambria" w:cs="宋体"/>
          <w:color w:val="auto"/>
          <w:kern w:val="0"/>
          <w:sz w:val="24"/>
          <w:highlight w:val="none"/>
          <w:lang w:val="zh-CN"/>
        </w:rPr>
        <w:t>（</w:t>
      </w:r>
      <w:r>
        <w:rPr>
          <w:rFonts w:ascii="宋体" w:hAnsi="Cambria" w:cs="宋体"/>
          <w:color w:val="auto"/>
          <w:kern w:val="0"/>
          <w:sz w:val="24"/>
          <w:highlight w:val="none"/>
          <w:lang w:val="zh-CN"/>
        </w:rPr>
        <w:t>1</w:t>
      </w:r>
      <w:r>
        <w:rPr>
          <w:rFonts w:hint="eastAsia" w:ascii="宋体" w:hAnsi="Cambria" w:cs="宋体"/>
          <w:color w:val="auto"/>
          <w:kern w:val="0"/>
          <w:sz w:val="24"/>
          <w:highlight w:val="none"/>
          <w:lang w:val="zh-CN"/>
        </w:rPr>
        <w:t>）响应文件封面…………………………………………所在页码</w:t>
      </w:r>
    </w:p>
    <w:p>
      <w:pPr>
        <w:autoSpaceDE w:val="0"/>
        <w:autoSpaceDN w:val="0"/>
        <w:adjustRightInd w:val="0"/>
        <w:spacing w:line="360" w:lineRule="auto"/>
        <w:ind w:right="560"/>
        <w:rPr>
          <w:rFonts w:ascii="宋体" w:hAnsi="Cambria" w:cs="宋体"/>
          <w:color w:val="auto"/>
          <w:kern w:val="0"/>
          <w:sz w:val="24"/>
          <w:highlight w:val="none"/>
          <w:lang w:val="zh-CN"/>
        </w:rPr>
      </w:pPr>
      <w:r>
        <w:rPr>
          <w:rFonts w:hint="eastAsia" w:ascii="宋体" w:hAnsi="Cambria" w:cs="宋体"/>
          <w:color w:val="auto"/>
          <w:kern w:val="0"/>
          <w:sz w:val="24"/>
          <w:highlight w:val="none"/>
          <w:lang w:val="zh-CN"/>
        </w:rPr>
        <w:t>（</w:t>
      </w:r>
      <w:r>
        <w:rPr>
          <w:rFonts w:ascii="宋体" w:hAnsi="Cambria" w:cs="宋体"/>
          <w:color w:val="auto"/>
          <w:kern w:val="0"/>
          <w:sz w:val="24"/>
          <w:highlight w:val="none"/>
          <w:lang w:val="zh-CN"/>
        </w:rPr>
        <w:t>2</w:t>
      </w:r>
      <w:r>
        <w:rPr>
          <w:rFonts w:hint="eastAsia" w:ascii="宋体" w:hAnsi="Cambria" w:cs="宋体"/>
          <w:color w:val="auto"/>
          <w:kern w:val="0"/>
          <w:sz w:val="24"/>
          <w:highlight w:val="none"/>
          <w:lang w:val="zh-CN"/>
        </w:rPr>
        <w:t>）响应文件目录…………………………………………所在页码</w:t>
      </w:r>
    </w:p>
    <w:p>
      <w:pPr>
        <w:autoSpaceDE w:val="0"/>
        <w:autoSpaceDN w:val="0"/>
        <w:adjustRightInd w:val="0"/>
        <w:spacing w:line="360" w:lineRule="auto"/>
        <w:ind w:right="560"/>
        <w:rPr>
          <w:rFonts w:ascii="宋体" w:hAnsi="Cambria" w:cs="宋体"/>
          <w:color w:val="auto"/>
          <w:kern w:val="0"/>
          <w:sz w:val="24"/>
          <w:highlight w:val="none"/>
          <w:lang w:val="zh-CN"/>
        </w:rPr>
      </w:pPr>
      <w:r>
        <w:rPr>
          <w:rFonts w:hint="eastAsia" w:ascii="宋体" w:hAnsi="Cambria" w:cs="宋体"/>
          <w:color w:val="auto"/>
          <w:kern w:val="0"/>
          <w:sz w:val="24"/>
          <w:highlight w:val="none"/>
          <w:lang w:val="zh-CN"/>
        </w:rPr>
        <w:t>（3）响应函…………………………………………………所在页码</w:t>
      </w:r>
    </w:p>
    <w:p>
      <w:pPr>
        <w:autoSpaceDE w:val="0"/>
        <w:autoSpaceDN w:val="0"/>
        <w:adjustRightInd w:val="0"/>
        <w:spacing w:line="360" w:lineRule="auto"/>
        <w:ind w:right="560"/>
        <w:rPr>
          <w:rFonts w:ascii="宋体" w:hAnsi="Cambria" w:cs="宋体"/>
          <w:color w:val="auto"/>
          <w:kern w:val="0"/>
          <w:sz w:val="24"/>
          <w:highlight w:val="none"/>
          <w:lang w:val="zh-CN"/>
        </w:rPr>
      </w:pPr>
      <w:r>
        <w:rPr>
          <w:rFonts w:hint="eastAsia" w:ascii="宋体" w:hAnsi="Cambria" w:cs="宋体"/>
          <w:color w:val="auto"/>
          <w:kern w:val="0"/>
          <w:sz w:val="24"/>
          <w:highlight w:val="none"/>
          <w:lang w:val="zh-CN"/>
        </w:rPr>
        <w:t>（4）法定代表人证明书……………………………………所在页码</w:t>
      </w:r>
    </w:p>
    <w:p>
      <w:pPr>
        <w:autoSpaceDE w:val="0"/>
        <w:autoSpaceDN w:val="0"/>
        <w:adjustRightInd w:val="0"/>
        <w:spacing w:line="360" w:lineRule="auto"/>
        <w:ind w:right="560"/>
        <w:rPr>
          <w:rFonts w:ascii="宋体" w:hAnsi="Cambria" w:cs="宋体"/>
          <w:color w:val="auto"/>
          <w:kern w:val="0"/>
          <w:sz w:val="24"/>
          <w:highlight w:val="none"/>
          <w:lang w:val="zh-CN"/>
        </w:rPr>
      </w:pPr>
      <w:r>
        <w:rPr>
          <w:rFonts w:hint="eastAsia" w:ascii="宋体" w:hAnsi="Cambria" w:cs="宋体"/>
          <w:color w:val="auto"/>
          <w:kern w:val="0"/>
          <w:sz w:val="24"/>
          <w:highlight w:val="none"/>
          <w:lang w:val="zh-CN"/>
        </w:rPr>
        <w:t>（5）法定代表人授权书……………………………………所在页码</w:t>
      </w:r>
    </w:p>
    <w:p>
      <w:pPr>
        <w:autoSpaceDE w:val="0"/>
        <w:autoSpaceDN w:val="0"/>
        <w:adjustRightInd w:val="0"/>
        <w:spacing w:line="360" w:lineRule="auto"/>
        <w:ind w:right="560"/>
        <w:rPr>
          <w:rFonts w:ascii="宋体" w:hAnsi="Cambria" w:cs="宋体"/>
          <w:color w:val="auto"/>
          <w:kern w:val="0"/>
          <w:sz w:val="24"/>
          <w:highlight w:val="none"/>
          <w:lang w:val="zh-CN"/>
        </w:rPr>
      </w:pPr>
      <w:r>
        <w:rPr>
          <w:rFonts w:hint="eastAsia" w:ascii="宋体" w:hAnsi="Cambria" w:cs="宋体"/>
          <w:color w:val="auto"/>
          <w:kern w:val="0"/>
          <w:sz w:val="24"/>
          <w:highlight w:val="none"/>
          <w:lang w:val="zh-CN"/>
        </w:rPr>
        <w:t>（</w:t>
      </w:r>
      <w:r>
        <w:rPr>
          <w:rFonts w:hint="eastAsia" w:ascii="宋体" w:hAnsi="Cambria" w:cs="宋体"/>
          <w:color w:val="auto"/>
          <w:kern w:val="0"/>
          <w:sz w:val="24"/>
          <w:highlight w:val="none"/>
        </w:rPr>
        <w:t>6</w:t>
      </w:r>
      <w:r>
        <w:rPr>
          <w:rFonts w:hint="eastAsia" w:ascii="宋体" w:hAnsi="Cambria" w:cs="宋体"/>
          <w:color w:val="auto"/>
          <w:kern w:val="0"/>
          <w:sz w:val="24"/>
          <w:highlight w:val="none"/>
          <w:lang w:val="zh-CN"/>
        </w:rPr>
        <w:t>）报价表…………………………………………………所在页码</w:t>
      </w:r>
    </w:p>
    <w:p>
      <w:pPr>
        <w:autoSpaceDE w:val="0"/>
        <w:autoSpaceDN w:val="0"/>
        <w:adjustRightInd w:val="0"/>
        <w:spacing w:line="360" w:lineRule="auto"/>
        <w:ind w:right="560"/>
        <w:rPr>
          <w:rFonts w:ascii="宋体" w:hAnsi="Cambria" w:cs="宋体"/>
          <w:color w:val="auto"/>
          <w:kern w:val="0"/>
          <w:sz w:val="24"/>
          <w:highlight w:val="none"/>
          <w:lang w:val="zh-CN"/>
        </w:rPr>
      </w:pPr>
      <w:r>
        <w:rPr>
          <w:rFonts w:hint="eastAsia" w:ascii="宋体" w:hAnsi="Cambria" w:cs="宋体"/>
          <w:color w:val="auto"/>
          <w:kern w:val="0"/>
          <w:sz w:val="24"/>
          <w:highlight w:val="none"/>
          <w:lang w:val="zh-CN"/>
        </w:rPr>
        <w:t>（</w:t>
      </w:r>
      <w:r>
        <w:rPr>
          <w:rFonts w:hint="eastAsia" w:ascii="宋体" w:hAnsi="Cambria" w:cs="宋体"/>
          <w:color w:val="auto"/>
          <w:kern w:val="0"/>
          <w:sz w:val="24"/>
          <w:highlight w:val="none"/>
        </w:rPr>
        <w:t>7</w:t>
      </w:r>
      <w:r>
        <w:rPr>
          <w:rFonts w:hint="eastAsia" w:ascii="宋体" w:hAnsi="Cambria" w:cs="宋体"/>
          <w:color w:val="auto"/>
          <w:kern w:val="0"/>
          <w:sz w:val="24"/>
          <w:highlight w:val="none"/>
          <w:lang w:val="zh-CN"/>
        </w:rPr>
        <w:t>）响应方案………………………………………………所在页码</w:t>
      </w:r>
    </w:p>
    <w:p>
      <w:pPr>
        <w:wordWrap w:val="0"/>
        <w:autoSpaceDE w:val="0"/>
        <w:autoSpaceDN w:val="0"/>
        <w:adjustRightInd w:val="0"/>
        <w:spacing w:line="360" w:lineRule="auto"/>
        <w:ind w:right="560"/>
        <w:rPr>
          <w:rFonts w:ascii="宋体" w:hAnsi="Cambria" w:cs="宋体"/>
          <w:color w:val="auto"/>
          <w:kern w:val="0"/>
          <w:sz w:val="24"/>
          <w:highlight w:val="none"/>
          <w:lang w:val="zh-CN"/>
        </w:rPr>
      </w:pPr>
      <w:r>
        <w:rPr>
          <w:rFonts w:hint="eastAsia" w:ascii="宋体" w:hAnsi="Cambria" w:cs="宋体"/>
          <w:color w:val="auto"/>
          <w:kern w:val="0"/>
          <w:sz w:val="24"/>
          <w:highlight w:val="none"/>
          <w:lang w:val="zh-CN"/>
        </w:rPr>
        <w:t>（</w:t>
      </w:r>
      <w:r>
        <w:rPr>
          <w:rFonts w:hint="eastAsia" w:ascii="宋体" w:hAnsi="Cambria" w:cs="宋体"/>
          <w:color w:val="auto"/>
          <w:kern w:val="0"/>
          <w:sz w:val="24"/>
          <w:highlight w:val="none"/>
        </w:rPr>
        <w:t>8</w:t>
      </w:r>
      <w:r>
        <w:rPr>
          <w:rFonts w:hint="eastAsia" w:ascii="宋体" w:hAnsi="Cambria" w:cs="宋体"/>
          <w:color w:val="auto"/>
          <w:kern w:val="0"/>
          <w:sz w:val="24"/>
          <w:highlight w:val="none"/>
          <w:lang w:val="zh-CN"/>
        </w:rPr>
        <w:t>）货物制造厂商授权书…………………………………所在页码</w:t>
      </w:r>
    </w:p>
    <w:p>
      <w:pPr>
        <w:autoSpaceDE w:val="0"/>
        <w:autoSpaceDN w:val="0"/>
        <w:adjustRightInd w:val="0"/>
        <w:spacing w:line="360" w:lineRule="auto"/>
        <w:ind w:right="560"/>
        <w:rPr>
          <w:rFonts w:ascii="宋体" w:hAnsi="Cambria" w:cs="宋体"/>
          <w:color w:val="auto"/>
          <w:kern w:val="0"/>
          <w:sz w:val="24"/>
          <w:highlight w:val="none"/>
          <w:lang w:val="zh-CN"/>
        </w:rPr>
      </w:pPr>
      <w:r>
        <w:rPr>
          <w:rFonts w:hint="eastAsia" w:ascii="宋体" w:hAnsi="Cambria" w:cs="宋体"/>
          <w:color w:val="auto"/>
          <w:kern w:val="0"/>
          <w:sz w:val="24"/>
          <w:highlight w:val="none"/>
          <w:lang w:val="zh-CN"/>
        </w:rPr>
        <w:t>（9）项目主要人员一览表…………………………………所在页码</w:t>
      </w:r>
    </w:p>
    <w:p>
      <w:pPr>
        <w:autoSpaceDE w:val="0"/>
        <w:autoSpaceDN w:val="0"/>
        <w:adjustRightInd w:val="0"/>
        <w:spacing w:line="360" w:lineRule="auto"/>
        <w:rPr>
          <w:rFonts w:ascii="宋体" w:hAnsi="Cambria" w:cs="宋体"/>
          <w:color w:val="auto"/>
          <w:kern w:val="0"/>
          <w:sz w:val="24"/>
          <w:highlight w:val="none"/>
          <w:lang w:val="zh-CN"/>
        </w:rPr>
      </w:pPr>
      <w:r>
        <w:rPr>
          <w:rFonts w:hint="eastAsia" w:ascii="宋体" w:hAnsi="Cambria" w:cs="宋体"/>
          <w:color w:val="auto"/>
          <w:kern w:val="0"/>
          <w:sz w:val="24"/>
          <w:highlight w:val="none"/>
          <w:lang w:val="zh-CN"/>
        </w:rPr>
        <w:t>（1</w:t>
      </w:r>
      <w:r>
        <w:rPr>
          <w:rFonts w:hint="eastAsia" w:ascii="宋体" w:hAnsi="Cambria" w:cs="宋体"/>
          <w:color w:val="auto"/>
          <w:kern w:val="0"/>
          <w:sz w:val="24"/>
          <w:highlight w:val="none"/>
        </w:rPr>
        <w:t>0</w:t>
      </w:r>
      <w:r>
        <w:rPr>
          <w:rFonts w:hint="eastAsia" w:ascii="宋体" w:hAnsi="Cambria" w:cs="宋体"/>
          <w:color w:val="auto"/>
          <w:kern w:val="0"/>
          <w:sz w:val="24"/>
          <w:highlight w:val="none"/>
          <w:lang w:val="zh-CN"/>
        </w:rPr>
        <w:t>）资格审查资料 ………………………………………所在页码</w:t>
      </w:r>
    </w:p>
    <w:p>
      <w:pPr>
        <w:autoSpaceDE w:val="0"/>
        <w:autoSpaceDN w:val="0"/>
        <w:adjustRightInd w:val="0"/>
        <w:spacing w:line="360" w:lineRule="auto"/>
        <w:ind w:right="560"/>
        <w:rPr>
          <w:rFonts w:ascii="宋体" w:hAnsi="Cambria" w:cs="宋体"/>
          <w:color w:val="auto"/>
          <w:kern w:val="0"/>
          <w:sz w:val="24"/>
          <w:highlight w:val="none"/>
          <w:lang w:val="zh-CN"/>
        </w:rPr>
      </w:pPr>
      <w:r>
        <w:rPr>
          <w:rFonts w:hint="eastAsia" w:ascii="宋体" w:hAnsi="Cambria" w:cs="宋体"/>
          <w:color w:val="auto"/>
          <w:kern w:val="0"/>
          <w:sz w:val="24"/>
          <w:highlight w:val="none"/>
          <w:lang w:val="zh-CN"/>
        </w:rPr>
        <w:t>（11）业绩证明材料一览表 ………………………………所在页码</w:t>
      </w:r>
    </w:p>
    <w:p>
      <w:pPr>
        <w:autoSpaceDE w:val="0"/>
        <w:autoSpaceDN w:val="0"/>
        <w:adjustRightInd w:val="0"/>
        <w:spacing w:line="360" w:lineRule="auto"/>
        <w:ind w:right="560"/>
        <w:rPr>
          <w:rFonts w:ascii="宋体" w:hAnsi="Cambria" w:cs="宋体"/>
          <w:color w:val="auto"/>
          <w:kern w:val="0"/>
          <w:sz w:val="24"/>
          <w:highlight w:val="none"/>
          <w:lang w:val="zh-CN"/>
        </w:rPr>
      </w:pPr>
      <w:r>
        <w:rPr>
          <w:rFonts w:hint="eastAsia" w:ascii="宋体" w:hAnsi="Cambria" w:cs="宋体"/>
          <w:color w:val="auto"/>
          <w:kern w:val="0"/>
          <w:sz w:val="24"/>
          <w:highlight w:val="none"/>
          <w:lang w:val="zh-CN"/>
        </w:rPr>
        <w:t>（12）采购文件中要求提供的其他材料……………………所在页码</w:t>
      </w:r>
    </w:p>
    <w:p>
      <w:pPr>
        <w:wordWrap w:val="0"/>
        <w:autoSpaceDE w:val="0"/>
        <w:autoSpaceDN w:val="0"/>
        <w:adjustRightInd w:val="0"/>
        <w:spacing w:line="360" w:lineRule="auto"/>
        <w:ind w:right="560"/>
        <w:rPr>
          <w:rFonts w:ascii="宋体" w:hAnsi="Cambria" w:cs="宋体"/>
          <w:color w:val="auto"/>
          <w:kern w:val="0"/>
          <w:sz w:val="24"/>
          <w:highlight w:val="none"/>
          <w:lang w:val="zh-CN"/>
        </w:rPr>
      </w:pPr>
      <w:r>
        <w:rPr>
          <w:rFonts w:hint="eastAsia" w:ascii="宋体" w:hAnsi="Cambria" w:cs="宋体"/>
          <w:color w:val="auto"/>
          <w:kern w:val="0"/>
          <w:sz w:val="24"/>
          <w:highlight w:val="none"/>
          <w:lang w:val="zh-CN"/>
        </w:rPr>
        <w:t>（13）供应商认为在其他方面有必要说明的事项…………所在页码</w:t>
      </w:r>
    </w:p>
    <w:p>
      <w:pPr>
        <w:keepNext/>
        <w:keepLines/>
        <w:autoSpaceDE w:val="0"/>
        <w:autoSpaceDN w:val="0"/>
        <w:adjustRightInd w:val="0"/>
        <w:spacing w:before="260" w:after="260" w:line="416" w:lineRule="atLeast"/>
        <w:jc w:val="right"/>
        <w:rPr>
          <w:rFonts w:ascii="宋体" w:cs="宋体"/>
          <w:b/>
          <w:bCs/>
          <w:color w:val="auto"/>
          <w:kern w:val="0"/>
          <w:sz w:val="28"/>
          <w:szCs w:val="28"/>
          <w:highlight w:val="none"/>
          <w:lang w:val="zh-CN"/>
        </w:rPr>
      </w:pPr>
    </w:p>
    <w:p>
      <w:pPr>
        <w:keepNext/>
        <w:keepLines/>
        <w:autoSpaceDE w:val="0"/>
        <w:autoSpaceDN w:val="0"/>
        <w:adjustRightInd w:val="0"/>
        <w:spacing w:before="260" w:after="260" w:line="416" w:lineRule="atLeast"/>
        <w:rPr>
          <w:rFonts w:ascii="宋体" w:cs="宋体"/>
          <w:b/>
          <w:bCs/>
          <w:color w:val="auto"/>
          <w:kern w:val="0"/>
          <w:sz w:val="28"/>
          <w:szCs w:val="28"/>
          <w:highlight w:val="none"/>
          <w:lang w:val="zh-CN"/>
        </w:rPr>
      </w:pPr>
    </w:p>
    <w:p>
      <w:pPr>
        <w:keepNext/>
        <w:keepLines/>
        <w:autoSpaceDE w:val="0"/>
        <w:autoSpaceDN w:val="0"/>
        <w:adjustRightInd w:val="0"/>
        <w:spacing w:before="260" w:after="260" w:line="416" w:lineRule="atLeast"/>
        <w:rPr>
          <w:rFonts w:ascii="宋体" w:cs="宋体"/>
          <w:b/>
          <w:bCs/>
          <w:color w:val="auto"/>
          <w:kern w:val="0"/>
          <w:sz w:val="28"/>
          <w:szCs w:val="28"/>
          <w:highlight w:val="none"/>
          <w:lang w:val="zh-CN"/>
        </w:rPr>
      </w:pPr>
    </w:p>
    <w:p>
      <w:pPr>
        <w:keepNext/>
        <w:keepLines/>
        <w:autoSpaceDE w:val="0"/>
        <w:autoSpaceDN w:val="0"/>
        <w:adjustRightInd w:val="0"/>
        <w:spacing w:before="260" w:after="260" w:line="416" w:lineRule="atLeast"/>
        <w:rPr>
          <w:rFonts w:ascii="宋体" w:cs="宋体"/>
          <w:b/>
          <w:bCs/>
          <w:color w:val="auto"/>
          <w:kern w:val="0"/>
          <w:sz w:val="28"/>
          <w:szCs w:val="28"/>
          <w:highlight w:val="none"/>
          <w:lang w:val="zh-CN"/>
        </w:rPr>
      </w:pPr>
    </w:p>
    <w:p>
      <w:pPr>
        <w:pStyle w:val="21"/>
        <w:rPr>
          <w:color w:val="auto"/>
          <w:highlight w:val="none"/>
          <w:lang w:val="zh-CN"/>
        </w:rPr>
      </w:pPr>
    </w:p>
    <w:p>
      <w:pPr>
        <w:keepNext/>
        <w:keepLines/>
        <w:autoSpaceDE w:val="0"/>
        <w:autoSpaceDN w:val="0"/>
        <w:adjustRightInd w:val="0"/>
        <w:spacing w:before="260" w:after="260" w:line="416" w:lineRule="atLeast"/>
        <w:rPr>
          <w:rFonts w:ascii="宋体" w:cs="宋体"/>
          <w:b/>
          <w:bCs/>
          <w:color w:val="auto"/>
          <w:kern w:val="0"/>
          <w:sz w:val="28"/>
          <w:szCs w:val="28"/>
          <w:highlight w:val="none"/>
          <w:lang w:val="zh-CN"/>
        </w:rPr>
      </w:pPr>
    </w:p>
    <w:p>
      <w:pPr>
        <w:autoSpaceDE w:val="0"/>
        <w:autoSpaceDN w:val="0"/>
        <w:adjustRightInd w:val="0"/>
        <w:spacing w:line="400" w:lineRule="exact"/>
        <w:rPr>
          <w:rFonts w:ascii="宋体" w:hAnsi="Cambria" w:cs="宋体"/>
          <w:color w:val="auto"/>
          <w:kern w:val="0"/>
          <w:sz w:val="24"/>
          <w:highlight w:val="none"/>
          <w:lang w:val="zh-CN"/>
        </w:rPr>
      </w:pPr>
    </w:p>
    <w:p>
      <w:pPr>
        <w:pStyle w:val="35"/>
        <w:jc w:val="left"/>
        <w:rPr>
          <w:rFonts w:ascii="宋体" w:hAnsi="宋体"/>
          <w:color w:val="auto"/>
          <w:sz w:val="32"/>
          <w:highlight w:val="none"/>
          <w:lang w:val="zh-CN"/>
        </w:rPr>
      </w:pPr>
    </w:p>
    <w:p>
      <w:pPr>
        <w:pStyle w:val="35"/>
        <w:jc w:val="left"/>
        <w:rPr>
          <w:rFonts w:ascii="宋体" w:hAnsi="宋体"/>
          <w:color w:val="auto"/>
          <w:sz w:val="32"/>
          <w:highlight w:val="none"/>
          <w:lang w:val="zh-CN"/>
        </w:rPr>
      </w:pPr>
      <w:bookmarkStart w:id="473" w:name="_Toc10730580"/>
      <w:bookmarkStart w:id="474" w:name="_Toc29309952"/>
      <w:bookmarkStart w:id="475" w:name="_Toc13582513"/>
      <w:bookmarkStart w:id="476" w:name="_Toc13582340"/>
      <w:bookmarkStart w:id="477" w:name="_Toc15196"/>
      <w:bookmarkStart w:id="478" w:name="_Toc6838167"/>
      <w:bookmarkStart w:id="479" w:name="_Toc23264"/>
      <w:bookmarkStart w:id="480" w:name="_Toc10730581"/>
      <w:bookmarkStart w:id="481" w:name="_Toc6838168"/>
      <w:bookmarkStart w:id="482" w:name="_Toc13582341"/>
    </w:p>
    <w:p>
      <w:pPr>
        <w:pStyle w:val="35"/>
        <w:jc w:val="left"/>
        <w:rPr>
          <w:rFonts w:ascii="宋体" w:hAnsi="宋体"/>
          <w:color w:val="auto"/>
          <w:sz w:val="32"/>
          <w:highlight w:val="none"/>
          <w:lang w:val="zh-CN"/>
        </w:rPr>
      </w:pPr>
      <w:bookmarkStart w:id="483" w:name="_Toc19356"/>
      <w:bookmarkStart w:id="484" w:name="_Toc25197"/>
      <w:bookmarkStart w:id="485" w:name="_Toc11753"/>
      <w:bookmarkStart w:id="486" w:name="_Toc26982"/>
      <w:r>
        <w:rPr>
          <w:rFonts w:hint="eastAsia" w:ascii="宋体" w:hAnsi="宋体"/>
          <w:color w:val="auto"/>
          <w:sz w:val="32"/>
          <w:highlight w:val="none"/>
          <w:lang w:val="zh-CN"/>
        </w:rPr>
        <w:t>格式</w:t>
      </w:r>
      <w:r>
        <w:rPr>
          <w:rFonts w:hint="eastAsia" w:ascii="宋体" w:hAnsi="宋体"/>
          <w:color w:val="auto"/>
          <w:sz w:val="32"/>
          <w:highlight w:val="none"/>
        </w:rPr>
        <w:t>3</w:t>
      </w:r>
      <w:r>
        <w:rPr>
          <w:rFonts w:hint="eastAsia" w:ascii="宋体" w:hAnsi="宋体"/>
          <w:color w:val="auto"/>
          <w:sz w:val="32"/>
          <w:highlight w:val="none"/>
          <w:lang w:val="zh-CN"/>
        </w:rPr>
        <w:t>：响 应函</w:t>
      </w:r>
      <w:bookmarkEnd w:id="473"/>
      <w:bookmarkEnd w:id="474"/>
      <w:bookmarkEnd w:id="475"/>
      <w:bookmarkEnd w:id="476"/>
      <w:bookmarkEnd w:id="477"/>
      <w:bookmarkEnd w:id="478"/>
      <w:bookmarkEnd w:id="479"/>
      <w:bookmarkEnd w:id="483"/>
      <w:bookmarkEnd w:id="484"/>
      <w:bookmarkEnd w:id="485"/>
      <w:bookmarkEnd w:id="486"/>
    </w:p>
    <w:p>
      <w:pPr>
        <w:autoSpaceDE w:val="0"/>
        <w:autoSpaceDN w:val="0"/>
        <w:adjustRightInd w:val="0"/>
        <w:spacing w:line="400" w:lineRule="exact"/>
        <w:rPr>
          <w:rFonts w:ascii="宋体" w:hAnsi="Cambria" w:cs="宋体"/>
          <w:b/>
          <w:bCs/>
          <w:color w:val="auto"/>
          <w:kern w:val="0"/>
          <w:sz w:val="36"/>
          <w:szCs w:val="36"/>
          <w:highlight w:val="none"/>
          <w:lang w:val="zh-CN"/>
        </w:rPr>
      </w:pPr>
    </w:p>
    <w:p>
      <w:pPr>
        <w:autoSpaceDE w:val="0"/>
        <w:autoSpaceDN w:val="0"/>
        <w:adjustRightInd w:val="0"/>
        <w:spacing w:line="400" w:lineRule="exact"/>
        <w:jc w:val="center"/>
        <w:rPr>
          <w:rFonts w:hint="eastAsia" w:ascii="宋体" w:hAnsi="Cambria" w:cs="宋体"/>
          <w:b/>
          <w:bCs/>
          <w:color w:val="auto"/>
          <w:kern w:val="0"/>
          <w:sz w:val="36"/>
          <w:szCs w:val="36"/>
          <w:highlight w:val="none"/>
          <w:lang w:val="zh-CN"/>
        </w:rPr>
      </w:pPr>
      <w:r>
        <w:rPr>
          <w:rFonts w:hint="eastAsia" w:ascii="宋体" w:hAnsi="Cambria" w:cs="宋体"/>
          <w:b/>
          <w:bCs/>
          <w:color w:val="auto"/>
          <w:kern w:val="0"/>
          <w:sz w:val="36"/>
          <w:szCs w:val="36"/>
          <w:highlight w:val="none"/>
          <w:lang w:val="zh-CN"/>
        </w:rPr>
        <w:t>响 应 函</w:t>
      </w:r>
    </w:p>
    <w:p>
      <w:pPr>
        <w:pStyle w:val="2"/>
        <w:rPr>
          <w:color w:val="auto"/>
          <w:highlight w:val="none"/>
          <w:lang w:val="zh-CN"/>
        </w:rPr>
      </w:pPr>
    </w:p>
    <w:p>
      <w:pPr>
        <w:autoSpaceDE w:val="0"/>
        <w:autoSpaceDN w:val="0"/>
        <w:adjustRightInd w:val="0"/>
        <w:spacing w:line="360" w:lineRule="auto"/>
        <w:rPr>
          <w:rFonts w:ascii="宋体" w:hAnsi="Cambria" w:cs="宋体"/>
          <w:color w:val="auto"/>
          <w:kern w:val="0"/>
          <w:sz w:val="24"/>
          <w:highlight w:val="none"/>
          <w:lang w:val="zh-CN"/>
        </w:rPr>
      </w:pPr>
      <w:r>
        <w:rPr>
          <w:rFonts w:hint="eastAsia" w:ascii="宋体" w:hAnsi="Cambria" w:cs="宋体"/>
          <w:color w:val="auto"/>
          <w:kern w:val="0"/>
          <w:sz w:val="24"/>
          <w:highlight w:val="none"/>
          <w:lang w:val="zh-CN"/>
        </w:rPr>
        <w:t>致：青海锦翔工程项目管理有限公司</w:t>
      </w:r>
    </w:p>
    <w:p>
      <w:pPr>
        <w:autoSpaceDE w:val="0"/>
        <w:autoSpaceDN w:val="0"/>
        <w:adjustRightInd w:val="0"/>
        <w:spacing w:line="360" w:lineRule="auto"/>
        <w:rPr>
          <w:rFonts w:ascii="宋体" w:hAnsi="Cambria" w:cs="宋体"/>
          <w:color w:val="auto"/>
          <w:kern w:val="0"/>
          <w:sz w:val="24"/>
          <w:highlight w:val="none"/>
          <w:lang w:val="zh-CN"/>
        </w:rPr>
      </w:pPr>
    </w:p>
    <w:p>
      <w:pPr>
        <w:autoSpaceDE w:val="0"/>
        <w:autoSpaceDN w:val="0"/>
        <w:adjustRightInd w:val="0"/>
        <w:spacing w:line="360" w:lineRule="auto"/>
        <w:ind w:firstLine="480"/>
        <w:rPr>
          <w:rFonts w:ascii="宋体" w:hAnsi="Cambria" w:cs="宋体"/>
          <w:color w:val="auto"/>
          <w:kern w:val="0"/>
          <w:sz w:val="24"/>
          <w:highlight w:val="none"/>
          <w:lang w:val="zh-CN"/>
        </w:rPr>
      </w:pPr>
      <w:r>
        <w:rPr>
          <w:rFonts w:hint="eastAsia" w:ascii="宋体" w:hAnsi="Cambria" w:cs="宋体"/>
          <w:color w:val="auto"/>
          <w:kern w:val="0"/>
          <w:sz w:val="24"/>
          <w:highlight w:val="none"/>
          <w:lang w:val="zh-CN"/>
        </w:rPr>
        <w:t>我们收到项目名称（采购项目编号）采购文件，经研究，法定代表人（姓名、职务）正式授权（委托代理人姓名、职务）代表供应商（供应商名称、地址）提交响应文件。</w:t>
      </w:r>
    </w:p>
    <w:p>
      <w:pPr>
        <w:autoSpaceDE w:val="0"/>
        <w:autoSpaceDN w:val="0"/>
        <w:adjustRightInd w:val="0"/>
        <w:spacing w:line="360" w:lineRule="auto"/>
        <w:ind w:firstLine="480"/>
        <w:rPr>
          <w:rFonts w:ascii="宋体" w:hAnsi="Cambria" w:cs="宋体"/>
          <w:color w:val="auto"/>
          <w:kern w:val="0"/>
          <w:sz w:val="24"/>
          <w:highlight w:val="none"/>
          <w:lang w:val="zh-CN"/>
        </w:rPr>
      </w:pPr>
      <w:r>
        <w:rPr>
          <w:rFonts w:hint="eastAsia" w:ascii="宋体" w:hAnsi="Cambria" w:cs="宋体"/>
          <w:color w:val="auto"/>
          <w:kern w:val="0"/>
          <w:sz w:val="24"/>
          <w:highlight w:val="none"/>
          <w:lang w:val="zh-CN"/>
        </w:rPr>
        <w:t>据此函，签字代表宣布同意如下：</w:t>
      </w:r>
    </w:p>
    <w:p>
      <w:pPr>
        <w:autoSpaceDE w:val="0"/>
        <w:autoSpaceDN w:val="0"/>
        <w:adjustRightInd w:val="0"/>
        <w:spacing w:line="360" w:lineRule="auto"/>
        <w:ind w:firstLine="480"/>
        <w:rPr>
          <w:rFonts w:ascii="宋体" w:hAnsi="Cambria" w:cs="宋体"/>
          <w:color w:val="auto"/>
          <w:kern w:val="0"/>
          <w:sz w:val="24"/>
          <w:highlight w:val="none"/>
          <w:lang w:val="zh-CN"/>
        </w:rPr>
      </w:pPr>
      <w:r>
        <w:rPr>
          <w:rFonts w:ascii="宋体" w:hAnsi="Cambria" w:cs="宋体"/>
          <w:color w:val="auto"/>
          <w:kern w:val="0"/>
          <w:sz w:val="24"/>
          <w:highlight w:val="none"/>
          <w:lang w:val="zh-CN"/>
        </w:rPr>
        <w:t>1.</w:t>
      </w:r>
      <w:r>
        <w:rPr>
          <w:rFonts w:hint="eastAsia" w:ascii="宋体" w:hAnsi="Cambria" w:cs="宋体"/>
          <w:color w:val="auto"/>
          <w:kern w:val="0"/>
          <w:sz w:val="24"/>
          <w:highlight w:val="none"/>
          <w:lang w:val="zh-CN"/>
        </w:rPr>
        <w:t>我方已详阅询比采购文件的全部内容，包括澄清、修改条款等有关附件，承诺对其完全理解并接受。</w:t>
      </w:r>
    </w:p>
    <w:p>
      <w:pPr>
        <w:autoSpaceDE w:val="0"/>
        <w:autoSpaceDN w:val="0"/>
        <w:adjustRightInd w:val="0"/>
        <w:spacing w:line="360" w:lineRule="auto"/>
        <w:ind w:firstLine="480"/>
        <w:rPr>
          <w:rFonts w:ascii="宋体" w:hAnsi="Cambria" w:cs="宋体"/>
          <w:color w:val="auto"/>
          <w:kern w:val="0"/>
          <w:sz w:val="24"/>
          <w:highlight w:val="none"/>
          <w:lang w:val="zh-CN"/>
        </w:rPr>
      </w:pPr>
      <w:r>
        <w:rPr>
          <w:rFonts w:ascii="宋体" w:hAnsi="Cambria" w:cs="宋体"/>
          <w:color w:val="auto"/>
          <w:kern w:val="0"/>
          <w:sz w:val="24"/>
          <w:highlight w:val="none"/>
          <w:lang w:val="zh-CN"/>
        </w:rPr>
        <w:t>2.</w:t>
      </w:r>
      <w:r>
        <w:rPr>
          <w:rFonts w:hint="eastAsia" w:ascii="宋体" w:hAnsi="Cambria" w:cs="宋体"/>
          <w:color w:val="auto"/>
          <w:kern w:val="0"/>
          <w:sz w:val="24"/>
          <w:highlight w:val="none"/>
          <w:lang w:val="zh-CN"/>
        </w:rPr>
        <w:t>响应文件有效期自递交响应文件</w:t>
      </w:r>
      <w:r>
        <w:rPr>
          <w:rFonts w:hint="eastAsia" w:ascii="宋体" w:hAnsi="Cambria" w:cs="宋体"/>
          <w:color w:val="auto"/>
          <w:kern w:val="0"/>
          <w:sz w:val="24"/>
          <w:highlight w:val="none"/>
          <w:u w:val="single"/>
          <w:lang w:val="en-US" w:eastAsia="zh-CN"/>
        </w:rPr>
        <w:t xml:space="preserve">   </w:t>
      </w:r>
      <w:r>
        <w:rPr>
          <w:rFonts w:hint="eastAsia" w:ascii="宋体" w:hAnsi="Cambria" w:cs="宋体"/>
          <w:color w:val="auto"/>
          <w:kern w:val="0"/>
          <w:sz w:val="24"/>
          <w:highlight w:val="none"/>
          <w:lang w:val="zh-CN"/>
        </w:rPr>
        <w:t>之日起天内有效。</w:t>
      </w:r>
    </w:p>
    <w:p>
      <w:pPr>
        <w:autoSpaceDE w:val="0"/>
        <w:autoSpaceDN w:val="0"/>
        <w:adjustRightInd w:val="0"/>
        <w:spacing w:line="360" w:lineRule="auto"/>
        <w:ind w:firstLine="480"/>
        <w:rPr>
          <w:rFonts w:ascii="宋体" w:hAnsi="Cambria" w:cs="宋体"/>
          <w:color w:val="auto"/>
          <w:kern w:val="0"/>
          <w:sz w:val="24"/>
          <w:highlight w:val="none"/>
          <w:lang w:val="zh-CN"/>
        </w:rPr>
      </w:pPr>
      <w:r>
        <w:rPr>
          <w:rFonts w:ascii="宋体" w:hAnsi="Cambria" w:cs="宋体"/>
          <w:color w:val="auto"/>
          <w:kern w:val="0"/>
          <w:sz w:val="24"/>
          <w:highlight w:val="none"/>
          <w:lang w:val="zh-CN"/>
        </w:rPr>
        <w:t>3.</w:t>
      </w:r>
      <w:r>
        <w:rPr>
          <w:rFonts w:hint="eastAsia" w:ascii="宋体" w:hAnsi="Cambria" w:cs="宋体"/>
          <w:color w:val="auto"/>
          <w:kern w:val="0"/>
          <w:sz w:val="24"/>
          <w:highlight w:val="none"/>
          <w:lang w:val="zh-CN"/>
        </w:rPr>
        <w:t>我方同意按照贵方要求提供与谈判采购有关的一切数据或资料，理解并接受贵方制定的评审办法。</w:t>
      </w:r>
    </w:p>
    <w:p>
      <w:pPr>
        <w:autoSpaceDE w:val="0"/>
        <w:autoSpaceDN w:val="0"/>
        <w:adjustRightInd w:val="0"/>
        <w:spacing w:line="360" w:lineRule="auto"/>
        <w:ind w:firstLine="480"/>
        <w:rPr>
          <w:rFonts w:ascii="宋体" w:hAnsi="Cambria" w:cs="宋体"/>
          <w:color w:val="auto"/>
          <w:kern w:val="0"/>
          <w:sz w:val="24"/>
          <w:highlight w:val="none"/>
          <w:lang w:val="zh-CN"/>
        </w:rPr>
      </w:pPr>
      <w:r>
        <w:rPr>
          <w:rFonts w:ascii="宋体" w:hAnsi="Cambria" w:cs="宋体"/>
          <w:color w:val="auto"/>
          <w:kern w:val="0"/>
          <w:sz w:val="24"/>
          <w:highlight w:val="none"/>
          <w:lang w:val="zh-CN"/>
        </w:rPr>
        <w:t>4.</w:t>
      </w:r>
      <w:r>
        <w:rPr>
          <w:rFonts w:hint="eastAsia" w:ascii="宋体" w:hAnsi="Cambria" w:cs="宋体"/>
          <w:color w:val="auto"/>
          <w:kern w:val="0"/>
          <w:sz w:val="24"/>
          <w:highlight w:val="none"/>
          <w:lang w:val="zh-CN"/>
        </w:rPr>
        <w:t>与本次采购有关的一切正式往来通讯请寄：</w:t>
      </w:r>
    </w:p>
    <w:p>
      <w:pPr>
        <w:autoSpaceDE w:val="0"/>
        <w:autoSpaceDN w:val="0"/>
        <w:adjustRightInd w:val="0"/>
        <w:spacing w:line="360" w:lineRule="auto"/>
        <w:rPr>
          <w:rFonts w:ascii="宋体" w:hAnsi="Cambria" w:cs="宋体"/>
          <w:color w:val="auto"/>
          <w:kern w:val="0"/>
          <w:sz w:val="24"/>
          <w:highlight w:val="none"/>
          <w:lang w:val="zh-CN"/>
        </w:rPr>
      </w:pPr>
      <w:r>
        <w:rPr>
          <w:rFonts w:hint="eastAsia" w:ascii="宋体" w:hAnsi="Cambria" w:cs="宋体"/>
          <w:color w:val="auto"/>
          <w:kern w:val="0"/>
          <w:sz w:val="24"/>
          <w:highlight w:val="none"/>
          <w:lang w:val="zh-CN"/>
        </w:rPr>
        <w:t>地址：</w:t>
      </w:r>
      <w:r>
        <w:rPr>
          <w:rFonts w:ascii="宋体" w:hAnsi="Cambria" w:cs="宋体"/>
          <w:color w:val="auto"/>
          <w:kern w:val="0"/>
          <w:sz w:val="24"/>
          <w:highlight w:val="none"/>
          <w:lang w:val="zh-CN"/>
        </w:rPr>
        <w:t xml:space="preserve">_______________          </w:t>
      </w:r>
      <w:r>
        <w:rPr>
          <w:rFonts w:hint="eastAsia" w:ascii="宋体" w:hAnsi="Cambria" w:cs="宋体"/>
          <w:color w:val="auto"/>
          <w:kern w:val="0"/>
          <w:sz w:val="24"/>
          <w:highlight w:val="none"/>
          <w:lang w:val="zh-CN"/>
        </w:rPr>
        <w:t>邮编：</w:t>
      </w:r>
      <w:r>
        <w:rPr>
          <w:rFonts w:ascii="宋体" w:hAnsi="Cambria" w:cs="宋体"/>
          <w:color w:val="auto"/>
          <w:kern w:val="0"/>
          <w:sz w:val="24"/>
          <w:highlight w:val="none"/>
          <w:lang w:val="zh-CN"/>
        </w:rPr>
        <w:t>______________</w:t>
      </w:r>
    </w:p>
    <w:p>
      <w:pPr>
        <w:autoSpaceDE w:val="0"/>
        <w:autoSpaceDN w:val="0"/>
        <w:adjustRightInd w:val="0"/>
        <w:spacing w:line="360" w:lineRule="auto"/>
        <w:rPr>
          <w:rFonts w:ascii="宋体" w:hAnsi="Cambria" w:cs="宋体"/>
          <w:color w:val="auto"/>
          <w:kern w:val="0"/>
          <w:sz w:val="24"/>
          <w:highlight w:val="none"/>
          <w:lang w:val="zh-CN"/>
        </w:rPr>
      </w:pPr>
      <w:r>
        <w:rPr>
          <w:rFonts w:hint="eastAsia" w:ascii="宋体" w:hAnsi="Cambria" w:cs="宋体"/>
          <w:color w:val="auto"/>
          <w:kern w:val="0"/>
          <w:sz w:val="24"/>
          <w:highlight w:val="none"/>
          <w:lang w:val="zh-CN"/>
        </w:rPr>
        <w:t>电话：</w:t>
      </w:r>
      <w:r>
        <w:rPr>
          <w:rFonts w:ascii="宋体" w:hAnsi="Cambria" w:cs="宋体"/>
          <w:color w:val="auto"/>
          <w:kern w:val="0"/>
          <w:sz w:val="24"/>
          <w:highlight w:val="none"/>
          <w:lang w:val="zh-CN"/>
        </w:rPr>
        <w:t xml:space="preserve">_______________          </w:t>
      </w:r>
      <w:r>
        <w:rPr>
          <w:rFonts w:hint="eastAsia" w:ascii="宋体" w:hAnsi="Cambria" w:cs="宋体"/>
          <w:color w:val="auto"/>
          <w:kern w:val="0"/>
          <w:sz w:val="24"/>
          <w:highlight w:val="none"/>
          <w:lang w:val="zh-CN"/>
        </w:rPr>
        <w:t>传真：</w:t>
      </w:r>
      <w:r>
        <w:rPr>
          <w:rFonts w:ascii="宋体" w:hAnsi="Cambria" w:cs="宋体"/>
          <w:color w:val="auto"/>
          <w:kern w:val="0"/>
          <w:sz w:val="24"/>
          <w:highlight w:val="none"/>
          <w:lang w:val="zh-CN"/>
        </w:rPr>
        <w:t>______________</w:t>
      </w:r>
    </w:p>
    <w:p>
      <w:pPr>
        <w:autoSpaceDE w:val="0"/>
        <w:autoSpaceDN w:val="0"/>
        <w:adjustRightInd w:val="0"/>
        <w:spacing w:line="360" w:lineRule="auto"/>
        <w:rPr>
          <w:rFonts w:ascii="宋体" w:hAnsi="Cambria" w:cs="宋体"/>
          <w:color w:val="auto"/>
          <w:kern w:val="0"/>
          <w:sz w:val="24"/>
          <w:highlight w:val="none"/>
          <w:lang w:val="zh-CN"/>
        </w:rPr>
      </w:pPr>
      <w:r>
        <w:rPr>
          <w:rFonts w:hint="eastAsia" w:ascii="宋体" w:hAnsi="Cambria" w:cs="宋体"/>
          <w:color w:val="auto"/>
          <w:kern w:val="0"/>
          <w:sz w:val="24"/>
          <w:highlight w:val="none"/>
          <w:lang w:val="zh-CN"/>
        </w:rPr>
        <w:t>法定代表人姓名：</w:t>
      </w:r>
      <w:r>
        <w:rPr>
          <w:rFonts w:ascii="宋体" w:hAnsi="Cambria" w:cs="宋体"/>
          <w:color w:val="auto"/>
          <w:kern w:val="0"/>
          <w:sz w:val="24"/>
          <w:highlight w:val="none"/>
          <w:lang w:val="zh-CN"/>
        </w:rPr>
        <w:t xml:space="preserve"> ___________   </w:t>
      </w:r>
      <w:r>
        <w:rPr>
          <w:rFonts w:hint="eastAsia" w:ascii="宋体" w:hAnsi="Cambria" w:cs="宋体"/>
          <w:color w:val="auto"/>
          <w:kern w:val="0"/>
          <w:sz w:val="24"/>
          <w:highlight w:val="none"/>
          <w:lang w:val="zh-CN"/>
        </w:rPr>
        <w:t>职务：</w:t>
      </w:r>
      <w:r>
        <w:rPr>
          <w:rFonts w:ascii="宋体" w:hAnsi="Cambria" w:cs="宋体"/>
          <w:color w:val="auto"/>
          <w:kern w:val="0"/>
          <w:sz w:val="24"/>
          <w:highlight w:val="none"/>
          <w:lang w:val="zh-CN"/>
        </w:rPr>
        <w:t>____________</w:t>
      </w:r>
    </w:p>
    <w:p>
      <w:pPr>
        <w:autoSpaceDE w:val="0"/>
        <w:autoSpaceDN w:val="0"/>
        <w:adjustRightInd w:val="0"/>
        <w:spacing w:line="360" w:lineRule="auto"/>
        <w:rPr>
          <w:rFonts w:ascii="宋体" w:hAnsi="Cambria" w:cs="宋体"/>
          <w:color w:val="auto"/>
          <w:kern w:val="0"/>
          <w:sz w:val="24"/>
          <w:highlight w:val="none"/>
          <w:lang w:val="zh-CN"/>
        </w:rPr>
      </w:pPr>
    </w:p>
    <w:p>
      <w:pPr>
        <w:rPr>
          <w:color w:val="auto"/>
          <w:highlight w:val="none"/>
          <w:lang w:val="zh-CN"/>
        </w:rPr>
      </w:pPr>
    </w:p>
    <w:p>
      <w:pPr>
        <w:pStyle w:val="35"/>
        <w:rPr>
          <w:color w:val="auto"/>
          <w:highlight w:val="none"/>
          <w:lang w:val="zh-CN"/>
        </w:rPr>
      </w:pPr>
    </w:p>
    <w:p>
      <w:pPr>
        <w:autoSpaceDE w:val="0"/>
        <w:autoSpaceDN w:val="0"/>
        <w:adjustRightInd w:val="0"/>
        <w:spacing w:line="480" w:lineRule="auto"/>
        <w:ind w:firstLine="3132" w:firstLineChars="1300"/>
        <w:jc w:val="right"/>
        <w:rPr>
          <w:rFonts w:ascii="宋体" w:hAnsi="Cambria" w:cs="宋体"/>
          <w:b/>
          <w:bCs/>
          <w:color w:val="auto"/>
          <w:kern w:val="0"/>
          <w:sz w:val="24"/>
          <w:highlight w:val="none"/>
          <w:lang w:val="zh-CN"/>
        </w:rPr>
      </w:pPr>
      <w:r>
        <w:rPr>
          <w:rFonts w:hint="eastAsia" w:ascii="宋体" w:hAnsi="Cambria" w:cs="宋体"/>
          <w:b/>
          <w:bCs/>
          <w:color w:val="auto"/>
          <w:kern w:val="0"/>
          <w:sz w:val="24"/>
          <w:highlight w:val="none"/>
          <w:lang w:val="zh-CN"/>
        </w:rPr>
        <w:t>供应商：（公章）</w:t>
      </w:r>
    </w:p>
    <w:p>
      <w:pPr>
        <w:autoSpaceDE w:val="0"/>
        <w:autoSpaceDN w:val="0"/>
        <w:adjustRightInd w:val="0"/>
        <w:spacing w:line="480" w:lineRule="auto"/>
        <w:jc w:val="right"/>
        <w:rPr>
          <w:rFonts w:ascii="宋体" w:hAnsi="Cambria" w:cs="宋体"/>
          <w:b/>
          <w:bCs/>
          <w:color w:val="auto"/>
          <w:kern w:val="0"/>
          <w:sz w:val="24"/>
          <w:highlight w:val="none"/>
          <w:lang w:val="zh-CN"/>
        </w:rPr>
      </w:pPr>
      <w:r>
        <w:rPr>
          <w:rFonts w:hint="eastAsia" w:ascii="宋体" w:hAnsi="Cambria" w:cs="宋体"/>
          <w:b/>
          <w:bCs/>
          <w:color w:val="auto"/>
          <w:kern w:val="0"/>
          <w:sz w:val="24"/>
          <w:highlight w:val="none"/>
          <w:lang w:val="zh-CN"/>
        </w:rPr>
        <w:t xml:space="preserve">                  法定代表人或委托代理人：（签字）</w:t>
      </w:r>
    </w:p>
    <w:p>
      <w:pPr>
        <w:autoSpaceDE w:val="0"/>
        <w:autoSpaceDN w:val="0"/>
        <w:adjustRightInd w:val="0"/>
        <w:spacing w:line="480" w:lineRule="auto"/>
        <w:jc w:val="right"/>
        <w:rPr>
          <w:rFonts w:ascii="宋体" w:hAnsi="Cambria" w:cs="宋体"/>
          <w:b/>
          <w:bCs/>
          <w:color w:val="auto"/>
          <w:kern w:val="0"/>
          <w:sz w:val="24"/>
          <w:highlight w:val="none"/>
          <w:lang w:val="zh-CN"/>
        </w:rPr>
      </w:pPr>
      <w:r>
        <w:rPr>
          <w:rFonts w:hint="eastAsia" w:ascii="宋体" w:hAnsi="Cambria" w:cs="宋体"/>
          <w:b/>
          <w:bCs/>
          <w:color w:val="auto"/>
          <w:kern w:val="0"/>
          <w:sz w:val="24"/>
          <w:highlight w:val="none"/>
          <w:lang w:val="zh-CN"/>
        </w:rPr>
        <w:t xml:space="preserve">                                  年</w:t>
      </w:r>
      <w:r>
        <w:rPr>
          <w:rFonts w:hint="eastAsia" w:ascii="宋体" w:hAnsi="Cambria" w:cs="宋体"/>
          <w:b/>
          <w:bCs/>
          <w:color w:val="auto"/>
          <w:kern w:val="0"/>
          <w:sz w:val="24"/>
          <w:highlight w:val="none"/>
          <w:lang w:val="en-US" w:eastAsia="zh-CN"/>
        </w:rPr>
        <w:t xml:space="preserve"> </w:t>
      </w:r>
      <w:r>
        <w:rPr>
          <w:rFonts w:hint="eastAsia" w:ascii="宋体" w:hAnsi="Cambria" w:cs="宋体"/>
          <w:b/>
          <w:bCs/>
          <w:color w:val="auto"/>
          <w:kern w:val="0"/>
          <w:sz w:val="24"/>
          <w:highlight w:val="none"/>
          <w:lang w:val="zh-CN"/>
        </w:rPr>
        <w:t xml:space="preserve"> 月</w:t>
      </w:r>
      <w:r>
        <w:rPr>
          <w:rFonts w:hint="eastAsia" w:ascii="宋体" w:hAnsi="Cambria" w:cs="宋体"/>
          <w:b/>
          <w:bCs/>
          <w:color w:val="auto"/>
          <w:kern w:val="0"/>
          <w:sz w:val="24"/>
          <w:highlight w:val="none"/>
          <w:lang w:val="en-US" w:eastAsia="zh-CN"/>
        </w:rPr>
        <w:t xml:space="preserve">  </w:t>
      </w:r>
      <w:r>
        <w:rPr>
          <w:rFonts w:hint="eastAsia" w:ascii="宋体" w:hAnsi="Cambria" w:cs="宋体"/>
          <w:b/>
          <w:bCs/>
          <w:color w:val="auto"/>
          <w:kern w:val="0"/>
          <w:sz w:val="24"/>
          <w:highlight w:val="none"/>
          <w:lang w:val="zh-CN"/>
        </w:rPr>
        <w:t>日</w:t>
      </w:r>
    </w:p>
    <w:p>
      <w:pPr>
        <w:pStyle w:val="35"/>
        <w:jc w:val="left"/>
        <w:rPr>
          <w:rFonts w:ascii="宋体" w:hAnsi="宋体"/>
          <w:color w:val="auto"/>
          <w:sz w:val="32"/>
          <w:highlight w:val="none"/>
          <w:lang w:val="zh-CN"/>
        </w:rPr>
      </w:pPr>
      <w:bookmarkStart w:id="487" w:name="_Toc30968"/>
    </w:p>
    <w:p>
      <w:pPr>
        <w:pStyle w:val="35"/>
        <w:jc w:val="left"/>
        <w:rPr>
          <w:rFonts w:ascii="宋体" w:hAnsi="宋体"/>
          <w:color w:val="auto"/>
          <w:sz w:val="32"/>
          <w:highlight w:val="none"/>
          <w:lang w:val="zh-CN"/>
        </w:rPr>
      </w:pPr>
      <w:bookmarkStart w:id="488" w:name="_Toc22286"/>
      <w:bookmarkStart w:id="489" w:name="_Toc426"/>
      <w:bookmarkStart w:id="490" w:name="_Toc27990"/>
      <w:bookmarkStart w:id="491" w:name="_Toc15966"/>
      <w:r>
        <w:rPr>
          <w:rFonts w:hint="eastAsia" w:ascii="宋体" w:hAnsi="宋体"/>
          <w:color w:val="auto"/>
          <w:sz w:val="32"/>
          <w:highlight w:val="none"/>
          <w:lang w:val="zh-CN"/>
        </w:rPr>
        <w:t>格式</w:t>
      </w:r>
      <w:r>
        <w:rPr>
          <w:rFonts w:hint="eastAsia" w:ascii="宋体" w:hAnsi="宋体"/>
          <w:color w:val="auto"/>
          <w:sz w:val="32"/>
          <w:highlight w:val="none"/>
        </w:rPr>
        <w:t>4</w:t>
      </w:r>
      <w:r>
        <w:rPr>
          <w:rFonts w:hint="eastAsia" w:ascii="宋体" w:hAnsi="宋体"/>
          <w:color w:val="auto"/>
          <w:sz w:val="32"/>
          <w:highlight w:val="none"/>
          <w:lang w:val="zh-CN"/>
        </w:rPr>
        <w:t>：法定代表人证明书</w:t>
      </w:r>
      <w:bookmarkEnd w:id="480"/>
      <w:bookmarkEnd w:id="481"/>
      <w:bookmarkEnd w:id="482"/>
      <w:bookmarkEnd w:id="487"/>
      <w:bookmarkEnd w:id="488"/>
      <w:bookmarkEnd w:id="489"/>
      <w:bookmarkEnd w:id="490"/>
      <w:bookmarkEnd w:id="491"/>
    </w:p>
    <w:p>
      <w:pPr>
        <w:autoSpaceDE w:val="0"/>
        <w:autoSpaceDN w:val="0"/>
        <w:adjustRightInd w:val="0"/>
        <w:rPr>
          <w:rFonts w:ascii="宋体" w:hAnsi="宋体"/>
          <w:b/>
          <w:bCs/>
          <w:color w:val="auto"/>
          <w:sz w:val="32"/>
          <w:szCs w:val="32"/>
          <w:highlight w:val="none"/>
          <w:lang w:val="zh-CN"/>
        </w:rPr>
      </w:pPr>
    </w:p>
    <w:p>
      <w:pPr>
        <w:autoSpaceDE w:val="0"/>
        <w:autoSpaceDN w:val="0"/>
        <w:adjustRightInd w:val="0"/>
        <w:spacing w:line="400" w:lineRule="exact"/>
        <w:jc w:val="center"/>
        <w:rPr>
          <w:rFonts w:ascii="宋体" w:hAnsi="Cambria" w:cs="宋体"/>
          <w:b/>
          <w:bCs/>
          <w:color w:val="auto"/>
          <w:kern w:val="0"/>
          <w:sz w:val="36"/>
          <w:szCs w:val="36"/>
          <w:highlight w:val="none"/>
          <w:lang w:val="zh-CN"/>
        </w:rPr>
      </w:pPr>
      <w:r>
        <w:rPr>
          <w:rFonts w:hint="eastAsia" w:ascii="宋体" w:hAnsi="Cambria" w:cs="宋体"/>
          <w:b/>
          <w:bCs/>
          <w:color w:val="auto"/>
          <w:kern w:val="0"/>
          <w:sz w:val="36"/>
          <w:szCs w:val="36"/>
          <w:highlight w:val="none"/>
          <w:lang w:val="zh-CN"/>
        </w:rPr>
        <w:t>法定代表人证明书</w:t>
      </w:r>
    </w:p>
    <w:p>
      <w:pPr>
        <w:autoSpaceDE w:val="0"/>
        <w:autoSpaceDN w:val="0"/>
        <w:spacing w:line="360" w:lineRule="auto"/>
        <w:rPr>
          <w:rFonts w:ascii="宋体" w:hAnsi="宋体" w:cs="宋体"/>
          <w:b/>
          <w:bCs/>
          <w:color w:val="auto"/>
          <w:kern w:val="0"/>
          <w:sz w:val="28"/>
          <w:szCs w:val="28"/>
          <w:highlight w:val="none"/>
          <w:lang w:val="zh-CN"/>
        </w:rPr>
      </w:pPr>
    </w:p>
    <w:p>
      <w:pPr>
        <w:autoSpaceDE w:val="0"/>
        <w:autoSpaceDN w:val="0"/>
        <w:adjustRightInd w:val="0"/>
        <w:spacing w:line="360" w:lineRule="auto"/>
        <w:rPr>
          <w:rFonts w:ascii="宋体" w:hAnsi="Cambria" w:cs="宋体"/>
          <w:bCs/>
          <w:color w:val="auto"/>
          <w:kern w:val="0"/>
          <w:sz w:val="24"/>
          <w:highlight w:val="none"/>
          <w:lang w:val="zh-CN"/>
        </w:rPr>
      </w:pPr>
      <w:r>
        <w:rPr>
          <w:rFonts w:hint="eastAsia" w:ascii="宋体" w:hAnsi="Cambria" w:cs="宋体"/>
          <w:bCs/>
          <w:color w:val="auto"/>
          <w:kern w:val="0"/>
          <w:sz w:val="24"/>
          <w:highlight w:val="none"/>
          <w:lang w:val="zh-CN"/>
        </w:rPr>
        <w:t>致：</w:t>
      </w:r>
      <w:r>
        <w:rPr>
          <w:rFonts w:hint="eastAsia" w:ascii="宋体" w:hAnsi="Cambria" w:cs="宋体"/>
          <w:color w:val="auto"/>
          <w:kern w:val="0"/>
          <w:sz w:val="24"/>
          <w:highlight w:val="none"/>
          <w:lang w:val="zh-CN"/>
        </w:rPr>
        <w:t>青海锦翔工程项目管理有限公司</w:t>
      </w:r>
    </w:p>
    <w:p>
      <w:pPr>
        <w:autoSpaceDE w:val="0"/>
        <w:autoSpaceDN w:val="0"/>
        <w:adjustRightInd w:val="0"/>
        <w:spacing w:line="360" w:lineRule="auto"/>
        <w:rPr>
          <w:rFonts w:ascii="宋体" w:hAnsi="Cambria" w:cs="宋体"/>
          <w:color w:val="auto"/>
          <w:kern w:val="0"/>
          <w:sz w:val="24"/>
          <w:highlight w:val="none"/>
          <w:lang w:val="zh-CN"/>
        </w:rPr>
      </w:pPr>
    </w:p>
    <w:p>
      <w:pPr>
        <w:autoSpaceDE w:val="0"/>
        <w:autoSpaceDN w:val="0"/>
        <w:adjustRightInd w:val="0"/>
        <w:spacing w:line="360" w:lineRule="auto"/>
        <w:rPr>
          <w:rFonts w:ascii="宋体" w:hAnsi="Cambria" w:cs="宋体"/>
          <w:color w:val="auto"/>
          <w:kern w:val="0"/>
          <w:sz w:val="24"/>
          <w:highlight w:val="none"/>
          <w:lang w:val="zh-CN"/>
        </w:rPr>
      </w:pPr>
      <w:r>
        <w:rPr>
          <w:rFonts w:hint="eastAsia" w:ascii="宋体" w:hAnsi="Cambria" w:cs="宋体"/>
          <w:color w:val="auto"/>
          <w:kern w:val="0"/>
          <w:sz w:val="24"/>
          <w:highlight w:val="none"/>
          <w:u w:val="single"/>
          <w:lang w:val="zh-CN"/>
        </w:rPr>
        <w:t>（法定代表人姓名）</w:t>
      </w:r>
      <w:r>
        <w:rPr>
          <w:rFonts w:hint="eastAsia" w:ascii="宋体" w:hAnsi="Cambria" w:cs="宋体"/>
          <w:color w:val="auto"/>
          <w:kern w:val="0"/>
          <w:sz w:val="24"/>
          <w:highlight w:val="none"/>
          <w:lang w:val="zh-CN"/>
        </w:rPr>
        <w:t>现任我单位职务，为法定代表人，特此证明。</w:t>
      </w:r>
    </w:p>
    <w:p>
      <w:pPr>
        <w:autoSpaceDE w:val="0"/>
        <w:autoSpaceDN w:val="0"/>
        <w:adjustRightInd w:val="0"/>
        <w:spacing w:line="360" w:lineRule="auto"/>
        <w:rPr>
          <w:rFonts w:ascii="宋体" w:hAnsi="Cambria" w:cs="宋体"/>
          <w:color w:val="auto"/>
          <w:kern w:val="0"/>
          <w:sz w:val="24"/>
          <w:highlight w:val="none"/>
          <w:lang w:val="zh-CN"/>
        </w:rPr>
      </w:pPr>
    </w:p>
    <w:p>
      <w:pPr>
        <w:autoSpaceDE w:val="0"/>
        <w:autoSpaceDN w:val="0"/>
        <w:adjustRightInd w:val="0"/>
        <w:spacing w:line="360" w:lineRule="auto"/>
        <w:rPr>
          <w:rFonts w:ascii="宋体" w:hAnsi="Cambria" w:cs="宋体"/>
          <w:color w:val="auto"/>
          <w:kern w:val="0"/>
          <w:sz w:val="24"/>
          <w:highlight w:val="none"/>
          <w:lang w:val="zh-CN"/>
        </w:rPr>
      </w:pPr>
      <w:r>
        <w:rPr>
          <w:rFonts w:hint="eastAsia" w:ascii="宋体" w:hAnsi="Cambria" w:cs="宋体"/>
          <w:color w:val="auto"/>
          <w:kern w:val="0"/>
          <w:sz w:val="24"/>
          <w:highlight w:val="none"/>
          <w:lang w:val="zh-CN"/>
        </w:rPr>
        <w:t>法定代表人基本情况：</w:t>
      </w:r>
    </w:p>
    <w:p>
      <w:pPr>
        <w:autoSpaceDE w:val="0"/>
        <w:autoSpaceDN w:val="0"/>
        <w:adjustRightInd w:val="0"/>
        <w:spacing w:line="360" w:lineRule="auto"/>
        <w:rPr>
          <w:rFonts w:ascii="宋体" w:hAnsi="Cambria" w:cs="宋体"/>
          <w:color w:val="auto"/>
          <w:kern w:val="0"/>
          <w:sz w:val="24"/>
          <w:highlight w:val="none"/>
          <w:lang w:val="zh-CN"/>
        </w:rPr>
      </w:pPr>
    </w:p>
    <w:p>
      <w:pPr>
        <w:autoSpaceDE w:val="0"/>
        <w:autoSpaceDN w:val="0"/>
        <w:adjustRightInd w:val="0"/>
        <w:spacing w:line="360" w:lineRule="auto"/>
        <w:rPr>
          <w:rFonts w:ascii="宋体" w:hAnsi="Cambria" w:cs="宋体"/>
          <w:color w:val="auto"/>
          <w:kern w:val="0"/>
          <w:sz w:val="24"/>
          <w:highlight w:val="none"/>
          <w:u w:val="single"/>
          <w:lang w:val="zh-CN"/>
        </w:rPr>
      </w:pPr>
      <w:r>
        <w:rPr>
          <w:rFonts w:hint="eastAsia" w:ascii="宋体" w:hAnsi="Cambria" w:cs="宋体"/>
          <w:color w:val="auto"/>
          <w:kern w:val="0"/>
          <w:sz w:val="24"/>
          <w:highlight w:val="none"/>
          <w:lang w:val="zh-CN"/>
        </w:rPr>
        <w:t>性别：年龄：民族：</w:t>
      </w:r>
    </w:p>
    <w:p>
      <w:pPr>
        <w:autoSpaceDE w:val="0"/>
        <w:autoSpaceDN w:val="0"/>
        <w:adjustRightInd w:val="0"/>
        <w:spacing w:line="360" w:lineRule="auto"/>
        <w:rPr>
          <w:rFonts w:ascii="宋体" w:hAnsi="Cambria" w:cs="宋体"/>
          <w:color w:val="auto"/>
          <w:kern w:val="0"/>
          <w:sz w:val="24"/>
          <w:highlight w:val="none"/>
          <w:lang w:val="zh-CN"/>
        </w:rPr>
      </w:pPr>
    </w:p>
    <w:p>
      <w:pPr>
        <w:autoSpaceDE w:val="0"/>
        <w:autoSpaceDN w:val="0"/>
        <w:adjustRightInd w:val="0"/>
        <w:spacing w:line="360" w:lineRule="auto"/>
        <w:rPr>
          <w:rFonts w:ascii="宋体" w:hAnsi="Cambria" w:cs="宋体"/>
          <w:color w:val="auto"/>
          <w:kern w:val="0"/>
          <w:sz w:val="24"/>
          <w:highlight w:val="none"/>
          <w:u w:val="single"/>
          <w:lang w:val="zh-CN"/>
        </w:rPr>
      </w:pPr>
      <w:r>
        <w:rPr>
          <w:rFonts w:hint="eastAsia" w:ascii="宋体" w:hAnsi="Cambria" w:cs="宋体"/>
          <w:color w:val="auto"/>
          <w:kern w:val="0"/>
          <w:sz w:val="24"/>
          <w:highlight w:val="none"/>
          <w:lang w:val="zh-CN"/>
        </w:rPr>
        <w:t>地址：</w:t>
      </w:r>
    </w:p>
    <w:p>
      <w:pPr>
        <w:autoSpaceDE w:val="0"/>
        <w:autoSpaceDN w:val="0"/>
        <w:adjustRightInd w:val="0"/>
        <w:spacing w:line="360" w:lineRule="auto"/>
        <w:rPr>
          <w:rFonts w:ascii="宋体" w:hAnsi="Cambria" w:cs="宋体"/>
          <w:color w:val="auto"/>
          <w:kern w:val="0"/>
          <w:sz w:val="24"/>
          <w:highlight w:val="none"/>
          <w:lang w:val="zh-CN"/>
        </w:rPr>
      </w:pPr>
    </w:p>
    <w:p>
      <w:pPr>
        <w:autoSpaceDE w:val="0"/>
        <w:autoSpaceDN w:val="0"/>
        <w:adjustRightInd w:val="0"/>
        <w:spacing w:line="360" w:lineRule="auto"/>
        <w:rPr>
          <w:rFonts w:ascii="宋体" w:hAnsi="Cambria" w:cs="宋体"/>
          <w:color w:val="auto"/>
          <w:kern w:val="0"/>
          <w:sz w:val="24"/>
          <w:highlight w:val="none"/>
          <w:lang w:val="zh-CN"/>
        </w:rPr>
      </w:pPr>
      <w:r>
        <w:rPr>
          <w:rFonts w:hint="eastAsia" w:ascii="宋体" w:hAnsi="Cambria" w:cs="宋体"/>
          <w:color w:val="auto"/>
          <w:kern w:val="0"/>
          <w:sz w:val="24"/>
          <w:highlight w:val="none"/>
          <w:lang w:val="zh-CN"/>
        </w:rPr>
        <w:t>身份证号码：</w:t>
      </w:r>
    </w:p>
    <w:p>
      <w:pPr>
        <w:autoSpaceDE w:val="0"/>
        <w:autoSpaceDN w:val="0"/>
        <w:adjustRightInd w:val="0"/>
        <w:spacing w:line="360" w:lineRule="auto"/>
        <w:rPr>
          <w:rFonts w:ascii="宋体" w:hAnsi="Cambria" w:cs="宋体"/>
          <w:color w:val="auto"/>
          <w:kern w:val="0"/>
          <w:sz w:val="24"/>
          <w:highlight w:val="none"/>
          <w:lang w:val="zh-CN"/>
        </w:rPr>
      </w:pPr>
    </w:p>
    <w:p>
      <w:pPr>
        <w:autoSpaceDE w:val="0"/>
        <w:autoSpaceDN w:val="0"/>
        <w:adjustRightInd w:val="0"/>
        <w:spacing w:line="360" w:lineRule="auto"/>
        <w:rPr>
          <w:rFonts w:ascii="宋体" w:hAnsi="Cambria" w:cs="宋体"/>
          <w:color w:val="auto"/>
          <w:kern w:val="0"/>
          <w:sz w:val="24"/>
          <w:highlight w:val="none"/>
          <w:lang w:val="zh-CN"/>
        </w:rPr>
      </w:pPr>
      <w:r>
        <w:rPr>
          <w:rFonts w:hint="eastAsia" w:ascii="宋体" w:hAnsi="Cambria" w:cs="宋体"/>
          <w:color w:val="auto"/>
          <w:kern w:val="0"/>
          <w:sz w:val="24"/>
          <w:highlight w:val="none"/>
          <w:lang w:val="zh-CN"/>
        </w:rPr>
        <w:t>附法定代表人第二代身份证双面扫描（或复印）件</w:t>
      </w:r>
    </w:p>
    <w:p>
      <w:pPr>
        <w:autoSpaceDE w:val="0"/>
        <w:autoSpaceDN w:val="0"/>
        <w:spacing w:line="360" w:lineRule="auto"/>
        <w:rPr>
          <w:rFonts w:ascii="宋体" w:hAnsi="宋体" w:cs="宋体"/>
          <w:color w:val="auto"/>
          <w:kern w:val="0"/>
          <w:sz w:val="24"/>
          <w:highlight w:val="none"/>
          <w:lang w:val="zh-CN"/>
        </w:rPr>
      </w:pPr>
    </w:p>
    <w:p>
      <w:pPr>
        <w:pStyle w:val="21"/>
        <w:spacing w:line="360" w:lineRule="auto"/>
        <w:rPr>
          <w:color w:val="auto"/>
          <w:sz w:val="24"/>
          <w:szCs w:val="24"/>
          <w:highlight w:val="none"/>
          <w:lang w:val="zh-CN"/>
        </w:rPr>
      </w:pPr>
    </w:p>
    <w:p>
      <w:pPr>
        <w:pStyle w:val="21"/>
        <w:spacing w:line="360" w:lineRule="auto"/>
        <w:rPr>
          <w:color w:val="auto"/>
          <w:sz w:val="24"/>
          <w:szCs w:val="24"/>
          <w:highlight w:val="none"/>
          <w:lang w:val="zh-CN"/>
        </w:rPr>
      </w:pPr>
    </w:p>
    <w:p>
      <w:pPr>
        <w:pStyle w:val="21"/>
        <w:spacing w:line="360" w:lineRule="auto"/>
        <w:rPr>
          <w:color w:val="auto"/>
          <w:sz w:val="24"/>
          <w:szCs w:val="24"/>
          <w:highlight w:val="none"/>
          <w:lang w:val="zh-CN"/>
        </w:rPr>
      </w:pPr>
    </w:p>
    <w:p>
      <w:pPr>
        <w:pStyle w:val="21"/>
        <w:spacing w:line="360" w:lineRule="auto"/>
        <w:rPr>
          <w:color w:val="auto"/>
          <w:sz w:val="24"/>
          <w:szCs w:val="24"/>
          <w:highlight w:val="none"/>
          <w:lang w:val="zh-CN"/>
        </w:rPr>
      </w:pPr>
    </w:p>
    <w:p>
      <w:pPr>
        <w:autoSpaceDE w:val="0"/>
        <w:autoSpaceDN w:val="0"/>
        <w:spacing w:line="360" w:lineRule="auto"/>
        <w:jc w:val="right"/>
        <w:rPr>
          <w:rFonts w:ascii="宋体" w:hAnsi="宋体" w:cs="宋体"/>
          <w:b/>
          <w:bCs/>
          <w:color w:val="auto"/>
          <w:kern w:val="0"/>
          <w:sz w:val="24"/>
          <w:highlight w:val="none"/>
          <w:lang w:val="zh-CN"/>
        </w:rPr>
      </w:pPr>
      <w:r>
        <w:rPr>
          <w:rFonts w:hint="eastAsia" w:ascii="宋体" w:hAnsi="宋体" w:cs="宋体"/>
          <w:b/>
          <w:bCs/>
          <w:color w:val="auto"/>
          <w:kern w:val="0"/>
          <w:sz w:val="24"/>
          <w:highlight w:val="none"/>
          <w:lang w:val="zh-CN"/>
        </w:rPr>
        <w:t xml:space="preserve">    供应商：（公章）</w:t>
      </w:r>
    </w:p>
    <w:p>
      <w:pPr>
        <w:autoSpaceDE w:val="0"/>
        <w:autoSpaceDN w:val="0"/>
        <w:spacing w:line="360" w:lineRule="auto"/>
        <w:jc w:val="right"/>
        <w:rPr>
          <w:rFonts w:ascii="宋体" w:hAnsi="宋体" w:cs="宋体"/>
          <w:b/>
          <w:bCs/>
          <w:color w:val="auto"/>
          <w:kern w:val="0"/>
          <w:sz w:val="24"/>
          <w:highlight w:val="none"/>
          <w:lang w:val="zh-CN"/>
        </w:rPr>
      </w:pPr>
    </w:p>
    <w:p>
      <w:pPr>
        <w:autoSpaceDE w:val="0"/>
        <w:autoSpaceDN w:val="0"/>
        <w:spacing w:line="360" w:lineRule="auto"/>
        <w:jc w:val="right"/>
        <w:rPr>
          <w:rFonts w:ascii="宋体" w:hAnsi="宋体" w:cs="宋体"/>
          <w:color w:val="auto"/>
          <w:kern w:val="0"/>
          <w:sz w:val="24"/>
          <w:highlight w:val="none"/>
          <w:lang w:val="zh-CN"/>
        </w:rPr>
      </w:pPr>
      <w:r>
        <w:rPr>
          <w:rFonts w:hint="eastAsia" w:ascii="宋体" w:hAnsi="宋体" w:cs="宋体"/>
          <w:b/>
          <w:bCs/>
          <w:color w:val="auto"/>
          <w:kern w:val="0"/>
          <w:sz w:val="24"/>
          <w:highlight w:val="none"/>
          <w:lang w:val="zh-CN"/>
        </w:rPr>
        <w:t>年   月   日</w:t>
      </w:r>
    </w:p>
    <w:p>
      <w:pPr>
        <w:pStyle w:val="35"/>
        <w:jc w:val="left"/>
        <w:rPr>
          <w:rFonts w:ascii="宋体" w:hAnsi="宋体"/>
          <w:color w:val="auto"/>
          <w:sz w:val="32"/>
          <w:highlight w:val="none"/>
          <w:lang w:val="zh-CN"/>
        </w:rPr>
      </w:pPr>
      <w:bookmarkStart w:id="492" w:name="_Toc13582342"/>
      <w:bookmarkStart w:id="493" w:name="_Toc7731"/>
      <w:bookmarkStart w:id="494" w:name="_Toc10730582"/>
      <w:bookmarkStart w:id="495" w:name="_Toc6838169"/>
    </w:p>
    <w:p>
      <w:pPr>
        <w:pStyle w:val="35"/>
        <w:jc w:val="left"/>
        <w:rPr>
          <w:rFonts w:ascii="宋体" w:hAnsi="宋体"/>
          <w:color w:val="auto"/>
          <w:sz w:val="32"/>
          <w:highlight w:val="none"/>
          <w:lang w:val="zh-CN"/>
        </w:rPr>
      </w:pPr>
    </w:p>
    <w:p>
      <w:pPr>
        <w:pStyle w:val="35"/>
        <w:jc w:val="left"/>
        <w:rPr>
          <w:rFonts w:ascii="宋体" w:hAnsi="宋体"/>
          <w:color w:val="auto"/>
          <w:sz w:val="32"/>
          <w:highlight w:val="none"/>
          <w:lang w:val="zh-CN"/>
        </w:rPr>
      </w:pPr>
      <w:bookmarkStart w:id="496" w:name="_Toc16999"/>
      <w:bookmarkStart w:id="497" w:name="_Toc351"/>
      <w:bookmarkStart w:id="498" w:name="_Toc1788"/>
      <w:bookmarkStart w:id="499" w:name="_Toc20666"/>
      <w:r>
        <w:rPr>
          <w:rFonts w:hint="eastAsia" w:ascii="宋体" w:hAnsi="宋体"/>
          <w:color w:val="auto"/>
          <w:sz w:val="32"/>
          <w:highlight w:val="none"/>
          <w:lang w:val="zh-CN"/>
        </w:rPr>
        <w:t>格式</w:t>
      </w:r>
      <w:r>
        <w:rPr>
          <w:rFonts w:hint="eastAsia" w:ascii="宋体" w:hAnsi="宋体"/>
          <w:color w:val="auto"/>
          <w:sz w:val="32"/>
          <w:highlight w:val="none"/>
        </w:rPr>
        <w:t>5</w:t>
      </w:r>
      <w:r>
        <w:rPr>
          <w:rFonts w:hint="eastAsia" w:ascii="宋体" w:hAnsi="宋体"/>
          <w:color w:val="auto"/>
          <w:sz w:val="32"/>
          <w:highlight w:val="none"/>
          <w:lang w:val="zh-CN"/>
        </w:rPr>
        <w:t>：法定代表人授权书</w:t>
      </w:r>
      <w:bookmarkEnd w:id="492"/>
      <w:bookmarkEnd w:id="493"/>
      <w:bookmarkEnd w:id="494"/>
      <w:bookmarkEnd w:id="495"/>
      <w:bookmarkEnd w:id="496"/>
      <w:bookmarkEnd w:id="497"/>
      <w:bookmarkEnd w:id="498"/>
      <w:bookmarkEnd w:id="499"/>
    </w:p>
    <w:p>
      <w:pPr>
        <w:spacing w:line="360" w:lineRule="auto"/>
        <w:rPr>
          <w:rFonts w:ascii="宋体" w:hAnsi="宋体" w:cs="宋体"/>
          <w:color w:val="auto"/>
          <w:sz w:val="28"/>
          <w:szCs w:val="28"/>
          <w:highlight w:val="none"/>
          <w:lang w:val="zh-CN"/>
        </w:rPr>
      </w:pPr>
    </w:p>
    <w:p>
      <w:pPr>
        <w:autoSpaceDE w:val="0"/>
        <w:autoSpaceDN w:val="0"/>
        <w:adjustRightInd w:val="0"/>
        <w:spacing w:line="400" w:lineRule="exact"/>
        <w:jc w:val="center"/>
        <w:rPr>
          <w:rFonts w:ascii="宋体" w:hAnsi="Cambria" w:cs="宋体"/>
          <w:b/>
          <w:bCs/>
          <w:color w:val="auto"/>
          <w:kern w:val="0"/>
          <w:sz w:val="36"/>
          <w:szCs w:val="36"/>
          <w:highlight w:val="none"/>
          <w:lang w:val="zh-CN"/>
        </w:rPr>
      </w:pPr>
      <w:r>
        <w:rPr>
          <w:rFonts w:hint="eastAsia" w:ascii="宋体" w:hAnsi="Cambria" w:cs="宋体"/>
          <w:b/>
          <w:bCs/>
          <w:color w:val="auto"/>
          <w:kern w:val="0"/>
          <w:sz w:val="36"/>
          <w:szCs w:val="36"/>
          <w:highlight w:val="none"/>
          <w:lang w:val="zh-CN"/>
        </w:rPr>
        <w:t>法定代表人授权书</w:t>
      </w:r>
    </w:p>
    <w:p>
      <w:pPr>
        <w:autoSpaceDE w:val="0"/>
        <w:autoSpaceDN w:val="0"/>
        <w:adjustRightInd w:val="0"/>
        <w:spacing w:line="400" w:lineRule="exact"/>
        <w:rPr>
          <w:rFonts w:ascii="宋体" w:hAnsi="宋体" w:cs="宋体"/>
          <w:b/>
          <w:bCs/>
          <w:color w:val="auto"/>
          <w:kern w:val="0"/>
          <w:highlight w:val="none"/>
          <w:lang w:val="zh-CN"/>
        </w:rPr>
      </w:pPr>
    </w:p>
    <w:p>
      <w:pPr>
        <w:autoSpaceDE w:val="0"/>
        <w:autoSpaceDN w:val="0"/>
        <w:adjustRightInd w:val="0"/>
        <w:spacing w:line="360" w:lineRule="auto"/>
        <w:rPr>
          <w:rFonts w:ascii="宋体" w:hAnsi="Cambria" w:cs="宋体"/>
          <w:b/>
          <w:bCs/>
          <w:color w:val="auto"/>
          <w:kern w:val="0"/>
          <w:sz w:val="24"/>
          <w:highlight w:val="none"/>
          <w:lang w:val="zh-CN"/>
        </w:rPr>
      </w:pPr>
      <w:r>
        <w:rPr>
          <w:rFonts w:hint="eastAsia" w:ascii="宋体" w:hAnsi="Cambria" w:cs="宋体"/>
          <w:b/>
          <w:bCs/>
          <w:color w:val="auto"/>
          <w:kern w:val="0"/>
          <w:sz w:val="24"/>
          <w:highlight w:val="none"/>
          <w:lang w:val="zh-CN"/>
        </w:rPr>
        <w:t>致：</w:t>
      </w:r>
      <w:r>
        <w:rPr>
          <w:rFonts w:hint="eastAsia" w:ascii="宋体" w:hAnsi="Cambria" w:cs="宋体"/>
          <w:color w:val="auto"/>
          <w:kern w:val="0"/>
          <w:sz w:val="24"/>
          <w:highlight w:val="none"/>
          <w:lang w:val="zh-CN"/>
        </w:rPr>
        <w:t>青海锦翔工程项目管理有限公司</w:t>
      </w:r>
    </w:p>
    <w:p>
      <w:pPr>
        <w:autoSpaceDE w:val="0"/>
        <w:autoSpaceDN w:val="0"/>
        <w:adjustRightInd w:val="0"/>
        <w:spacing w:line="360" w:lineRule="auto"/>
        <w:rPr>
          <w:rFonts w:ascii="宋体" w:hAnsi="Cambria" w:cs="宋体"/>
          <w:color w:val="auto"/>
          <w:kern w:val="0"/>
          <w:sz w:val="24"/>
          <w:highlight w:val="none"/>
          <w:lang w:val="zh-CN"/>
        </w:rPr>
      </w:pPr>
    </w:p>
    <w:p>
      <w:pPr>
        <w:autoSpaceDE w:val="0"/>
        <w:autoSpaceDN w:val="0"/>
        <w:adjustRightInd w:val="0"/>
        <w:spacing w:line="360" w:lineRule="auto"/>
        <w:rPr>
          <w:rFonts w:ascii="宋体" w:hAnsi="Cambria" w:cs="宋体"/>
          <w:color w:val="auto"/>
          <w:kern w:val="0"/>
          <w:sz w:val="24"/>
          <w:highlight w:val="none"/>
          <w:lang w:val="zh-CN"/>
        </w:rPr>
      </w:pPr>
      <w:r>
        <w:rPr>
          <w:rFonts w:hint="eastAsia" w:ascii="宋体" w:hAnsi="Cambria" w:cs="宋体"/>
          <w:color w:val="auto"/>
          <w:kern w:val="0"/>
          <w:sz w:val="24"/>
          <w:highlight w:val="none"/>
          <w:u w:val="single"/>
          <w:lang w:val="zh-CN"/>
        </w:rPr>
        <w:t>（供应商名称）</w:t>
      </w:r>
      <w:r>
        <w:rPr>
          <w:rFonts w:hint="eastAsia" w:ascii="宋体" w:hAnsi="Cambria" w:cs="宋体"/>
          <w:color w:val="auto"/>
          <w:kern w:val="0"/>
          <w:sz w:val="24"/>
          <w:highlight w:val="none"/>
          <w:lang w:val="zh-CN"/>
        </w:rPr>
        <w:t>系中华人民共和国合法企业，法定地址。</w:t>
      </w:r>
    </w:p>
    <w:p>
      <w:pPr>
        <w:autoSpaceDE w:val="0"/>
        <w:autoSpaceDN w:val="0"/>
        <w:adjustRightInd w:val="0"/>
        <w:spacing w:line="360" w:lineRule="auto"/>
        <w:rPr>
          <w:rFonts w:ascii="宋体" w:hAnsi="Cambria" w:cs="宋体"/>
          <w:color w:val="auto"/>
          <w:kern w:val="0"/>
          <w:sz w:val="24"/>
          <w:highlight w:val="none"/>
          <w:lang w:val="zh-CN"/>
        </w:rPr>
      </w:pPr>
      <w:r>
        <w:rPr>
          <w:rFonts w:hint="eastAsia" w:ascii="宋体" w:hAnsi="Cambria" w:cs="宋体"/>
          <w:color w:val="auto"/>
          <w:kern w:val="0"/>
          <w:sz w:val="24"/>
          <w:highlight w:val="none"/>
          <w:u w:val="single"/>
          <w:lang w:val="zh-CN"/>
        </w:rPr>
        <w:t>（法定代表人姓名）</w:t>
      </w:r>
      <w:r>
        <w:rPr>
          <w:rFonts w:hint="eastAsia" w:ascii="宋体" w:hAnsi="Cambria" w:cs="宋体"/>
          <w:color w:val="auto"/>
          <w:kern w:val="0"/>
          <w:sz w:val="24"/>
          <w:highlight w:val="none"/>
          <w:lang w:val="zh-CN"/>
        </w:rPr>
        <w:t>特授权</w:t>
      </w:r>
      <w:r>
        <w:rPr>
          <w:rFonts w:hint="eastAsia" w:ascii="宋体" w:hAnsi="Cambria" w:cs="宋体"/>
          <w:color w:val="auto"/>
          <w:kern w:val="0"/>
          <w:sz w:val="24"/>
          <w:highlight w:val="none"/>
          <w:u w:val="single"/>
          <w:lang w:val="zh-CN"/>
        </w:rPr>
        <w:t>（委托代理人姓名）</w:t>
      </w:r>
      <w:r>
        <w:rPr>
          <w:rFonts w:hint="eastAsia" w:ascii="宋体" w:hAnsi="Cambria" w:cs="宋体"/>
          <w:color w:val="auto"/>
          <w:kern w:val="0"/>
          <w:sz w:val="24"/>
          <w:highlight w:val="none"/>
          <w:lang w:val="zh-CN"/>
        </w:rPr>
        <w:t>代表我单位全权办理项目的递交响应文件  、现场答疑、进行现场最终报价或最终方案确定等具体工作，并签署全部有关的文件、资料。</w:t>
      </w:r>
    </w:p>
    <w:p>
      <w:pPr>
        <w:autoSpaceDE w:val="0"/>
        <w:autoSpaceDN w:val="0"/>
        <w:adjustRightInd w:val="0"/>
        <w:spacing w:line="360" w:lineRule="auto"/>
        <w:rPr>
          <w:rFonts w:ascii="宋体" w:hAnsi="Cambria" w:cs="宋体"/>
          <w:color w:val="auto"/>
          <w:kern w:val="0"/>
          <w:sz w:val="24"/>
          <w:highlight w:val="none"/>
          <w:lang w:val="zh-CN"/>
        </w:rPr>
      </w:pPr>
      <w:r>
        <w:rPr>
          <w:rFonts w:hint="eastAsia" w:ascii="宋体" w:hAnsi="Cambria" w:cs="宋体"/>
          <w:color w:val="auto"/>
          <w:kern w:val="0"/>
          <w:sz w:val="24"/>
          <w:highlight w:val="none"/>
          <w:lang w:val="zh-CN"/>
        </w:rPr>
        <w:t>我单位对被授权人的签名负全部责任。</w:t>
      </w:r>
    </w:p>
    <w:p>
      <w:pPr>
        <w:autoSpaceDE w:val="0"/>
        <w:autoSpaceDN w:val="0"/>
        <w:adjustRightInd w:val="0"/>
        <w:spacing w:line="360" w:lineRule="auto"/>
        <w:rPr>
          <w:rFonts w:ascii="宋体" w:hAnsi="Cambria" w:cs="宋体"/>
          <w:color w:val="auto"/>
          <w:kern w:val="0"/>
          <w:sz w:val="24"/>
          <w:highlight w:val="none"/>
          <w:lang w:val="zh-CN"/>
        </w:rPr>
      </w:pPr>
      <w:r>
        <w:rPr>
          <w:rFonts w:hint="eastAsia" w:ascii="宋体" w:hAnsi="Cambria" w:cs="宋体"/>
          <w:color w:val="auto"/>
          <w:kern w:val="0"/>
          <w:sz w:val="24"/>
          <w:highlight w:val="none"/>
          <w:lang w:val="zh-CN"/>
        </w:rPr>
        <w:t>在撤销授权的书面通知以前，本授权书一直有效，被授权人签署的所有文件（在授权书有效期内签署的）不因授权的撤销而失效。</w:t>
      </w:r>
    </w:p>
    <w:p>
      <w:pPr>
        <w:autoSpaceDE w:val="0"/>
        <w:autoSpaceDN w:val="0"/>
        <w:adjustRightInd w:val="0"/>
        <w:spacing w:line="360" w:lineRule="auto"/>
        <w:rPr>
          <w:rFonts w:ascii="宋体" w:hAnsi="Cambria" w:cs="宋体"/>
          <w:color w:val="auto"/>
          <w:kern w:val="0"/>
          <w:sz w:val="24"/>
          <w:highlight w:val="none"/>
          <w:lang w:val="zh-CN"/>
        </w:rPr>
      </w:pPr>
      <w:r>
        <w:rPr>
          <w:rFonts w:hint="eastAsia" w:ascii="宋体" w:hAnsi="Cambria" w:cs="宋体"/>
          <w:color w:val="auto"/>
          <w:kern w:val="0"/>
          <w:sz w:val="24"/>
          <w:highlight w:val="none"/>
          <w:lang w:val="zh-CN"/>
        </w:rPr>
        <w:t>授权期限：自年月日起至年月日止（授权期限必须满足响应文件有效期的要求）。</w:t>
      </w:r>
    </w:p>
    <w:p>
      <w:pPr>
        <w:autoSpaceDE w:val="0"/>
        <w:autoSpaceDN w:val="0"/>
        <w:adjustRightInd w:val="0"/>
        <w:spacing w:line="360" w:lineRule="auto"/>
        <w:rPr>
          <w:rFonts w:ascii="宋体" w:hAnsi="Cambria" w:cs="宋体"/>
          <w:color w:val="auto"/>
          <w:kern w:val="0"/>
          <w:sz w:val="24"/>
          <w:highlight w:val="none"/>
          <w:u w:val="single"/>
          <w:lang w:val="zh-CN"/>
        </w:rPr>
      </w:pPr>
      <w:r>
        <w:rPr>
          <w:rFonts w:hint="eastAsia" w:ascii="宋体" w:hAnsi="Cambria" w:cs="宋体"/>
          <w:color w:val="auto"/>
          <w:kern w:val="0"/>
          <w:sz w:val="24"/>
          <w:highlight w:val="none"/>
          <w:lang w:val="zh-CN"/>
        </w:rPr>
        <w:t>被授权人联系电话：</w:t>
      </w:r>
    </w:p>
    <w:p>
      <w:pPr>
        <w:autoSpaceDE w:val="0"/>
        <w:autoSpaceDN w:val="0"/>
        <w:adjustRightInd w:val="0"/>
        <w:spacing w:line="360" w:lineRule="auto"/>
        <w:rPr>
          <w:rFonts w:ascii="宋体" w:hAnsi="Cambria" w:cs="宋体"/>
          <w:b/>
          <w:color w:val="auto"/>
          <w:kern w:val="0"/>
          <w:sz w:val="24"/>
          <w:highlight w:val="none"/>
          <w:u w:val="single"/>
          <w:lang w:val="zh-CN"/>
        </w:rPr>
      </w:pPr>
      <w:r>
        <w:rPr>
          <w:rFonts w:hint="eastAsia" w:ascii="宋体" w:hAnsi="Cambria" w:cs="宋体"/>
          <w:color w:val="auto"/>
          <w:kern w:val="0"/>
          <w:sz w:val="24"/>
          <w:highlight w:val="none"/>
          <w:lang w:val="zh-CN"/>
        </w:rPr>
        <w:t>被授权人（委托代理人）签字：</w:t>
      </w:r>
    </w:p>
    <w:p>
      <w:pPr>
        <w:autoSpaceDE w:val="0"/>
        <w:autoSpaceDN w:val="0"/>
        <w:adjustRightInd w:val="0"/>
        <w:spacing w:line="360" w:lineRule="auto"/>
        <w:rPr>
          <w:rFonts w:ascii="宋体" w:hAnsi="Cambria" w:cs="宋体"/>
          <w:color w:val="auto"/>
          <w:kern w:val="0"/>
          <w:sz w:val="24"/>
          <w:highlight w:val="none"/>
          <w:u w:val="single"/>
          <w:lang w:val="zh-CN"/>
        </w:rPr>
      </w:pPr>
      <w:r>
        <w:rPr>
          <w:rFonts w:hint="eastAsia" w:ascii="宋体" w:hAnsi="Cambria" w:cs="宋体"/>
          <w:color w:val="auto"/>
          <w:kern w:val="0"/>
          <w:sz w:val="24"/>
          <w:highlight w:val="none"/>
          <w:lang w:val="zh-CN"/>
        </w:rPr>
        <w:t>职务：</w:t>
      </w:r>
    </w:p>
    <w:p>
      <w:pPr>
        <w:autoSpaceDE w:val="0"/>
        <w:autoSpaceDN w:val="0"/>
        <w:adjustRightInd w:val="0"/>
        <w:spacing w:line="360" w:lineRule="auto"/>
        <w:rPr>
          <w:rFonts w:ascii="宋体" w:hAnsi="Cambria" w:cs="宋体"/>
          <w:color w:val="auto"/>
          <w:kern w:val="0"/>
          <w:sz w:val="24"/>
          <w:highlight w:val="none"/>
          <w:lang w:val="zh-CN"/>
        </w:rPr>
      </w:pPr>
      <w:r>
        <w:rPr>
          <w:rFonts w:hint="eastAsia" w:ascii="宋体" w:hAnsi="Cambria" w:cs="宋体"/>
          <w:color w:val="auto"/>
          <w:kern w:val="0"/>
          <w:sz w:val="24"/>
          <w:highlight w:val="none"/>
          <w:lang w:val="zh-CN"/>
        </w:rPr>
        <w:t>附被授权人第二代身份证双面扫描（或复印）件</w:t>
      </w:r>
    </w:p>
    <w:p>
      <w:pPr>
        <w:autoSpaceDE w:val="0"/>
        <w:autoSpaceDN w:val="0"/>
        <w:adjustRightInd w:val="0"/>
        <w:spacing w:line="360" w:lineRule="auto"/>
        <w:ind w:firstLine="2289" w:firstLineChars="950"/>
        <w:rPr>
          <w:rFonts w:ascii="宋体" w:hAnsi="Cambria" w:cs="宋体"/>
          <w:b/>
          <w:bCs/>
          <w:color w:val="auto"/>
          <w:kern w:val="0"/>
          <w:sz w:val="24"/>
          <w:highlight w:val="none"/>
          <w:lang w:val="zh-CN"/>
        </w:rPr>
      </w:pPr>
    </w:p>
    <w:p>
      <w:pPr>
        <w:autoSpaceDE w:val="0"/>
        <w:autoSpaceDN w:val="0"/>
        <w:adjustRightInd w:val="0"/>
        <w:spacing w:line="480" w:lineRule="auto"/>
        <w:ind w:firstLine="2289" w:firstLineChars="950"/>
        <w:rPr>
          <w:rFonts w:ascii="宋体" w:hAnsi="Cambria" w:cs="宋体"/>
          <w:b/>
          <w:bCs/>
          <w:color w:val="auto"/>
          <w:kern w:val="0"/>
          <w:sz w:val="24"/>
          <w:highlight w:val="none"/>
          <w:lang w:val="zh-CN"/>
        </w:rPr>
      </w:pPr>
    </w:p>
    <w:p>
      <w:pPr>
        <w:autoSpaceDE w:val="0"/>
        <w:autoSpaceDN w:val="0"/>
        <w:adjustRightInd w:val="0"/>
        <w:spacing w:line="480" w:lineRule="auto"/>
        <w:ind w:firstLine="3735" w:firstLineChars="1550"/>
        <w:jc w:val="right"/>
        <w:rPr>
          <w:rFonts w:ascii="宋体" w:hAnsi="Cambria" w:cs="宋体"/>
          <w:b/>
          <w:bCs/>
          <w:color w:val="auto"/>
          <w:kern w:val="0"/>
          <w:sz w:val="24"/>
          <w:highlight w:val="none"/>
          <w:lang w:val="zh-CN"/>
        </w:rPr>
      </w:pPr>
      <w:r>
        <w:rPr>
          <w:rFonts w:hint="eastAsia" w:ascii="宋体" w:hAnsi="Cambria" w:cs="宋体"/>
          <w:b/>
          <w:bCs/>
          <w:color w:val="auto"/>
          <w:kern w:val="0"/>
          <w:sz w:val="24"/>
          <w:highlight w:val="none"/>
          <w:lang w:val="zh-CN"/>
        </w:rPr>
        <w:t>供应商：（公章）</w:t>
      </w:r>
    </w:p>
    <w:p>
      <w:pPr>
        <w:autoSpaceDE w:val="0"/>
        <w:autoSpaceDN w:val="0"/>
        <w:adjustRightInd w:val="0"/>
        <w:spacing w:line="480" w:lineRule="auto"/>
        <w:jc w:val="right"/>
        <w:rPr>
          <w:rFonts w:ascii="宋体" w:hAnsi="Cambria" w:cs="宋体"/>
          <w:b/>
          <w:bCs/>
          <w:color w:val="auto"/>
          <w:kern w:val="0"/>
          <w:sz w:val="24"/>
          <w:highlight w:val="none"/>
          <w:lang w:val="zh-CN"/>
        </w:rPr>
      </w:pPr>
      <w:r>
        <w:rPr>
          <w:rFonts w:hint="eastAsia" w:ascii="宋体" w:hAnsi="Cambria" w:cs="宋体"/>
          <w:b/>
          <w:bCs/>
          <w:color w:val="auto"/>
          <w:kern w:val="0"/>
          <w:sz w:val="24"/>
          <w:highlight w:val="none"/>
          <w:lang w:val="zh-CN"/>
        </w:rPr>
        <w:t xml:space="preserve"> 法定代表人：（签字）</w:t>
      </w:r>
    </w:p>
    <w:p>
      <w:pPr>
        <w:autoSpaceDE w:val="0"/>
        <w:autoSpaceDN w:val="0"/>
        <w:adjustRightInd w:val="0"/>
        <w:spacing w:line="480" w:lineRule="auto"/>
        <w:jc w:val="right"/>
        <w:rPr>
          <w:rFonts w:ascii="宋体" w:hAnsi="Cambria" w:cs="宋体"/>
          <w:b/>
          <w:bCs/>
          <w:color w:val="auto"/>
          <w:kern w:val="0"/>
          <w:sz w:val="24"/>
          <w:highlight w:val="none"/>
          <w:lang w:val="zh-CN"/>
        </w:rPr>
      </w:pPr>
      <w:r>
        <w:rPr>
          <w:rFonts w:hint="eastAsia" w:ascii="宋体" w:hAnsi="Cambria" w:cs="宋体"/>
          <w:b/>
          <w:bCs/>
          <w:color w:val="auto"/>
          <w:kern w:val="0"/>
          <w:sz w:val="24"/>
          <w:highlight w:val="none"/>
          <w:lang w:val="zh-CN"/>
        </w:rPr>
        <w:t>年</w:t>
      </w:r>
      <w:r>
        <w:rPr>
          <w:rFonts w:hint="eastAsia" w:ascii="宋体" w:hAnsi="Cambria" w:cs="宋体"/>
          <w:b/>
          <w:bCs/>
          <w:color w:val="auto"/>
          <w:kern w:val="0"/>
          <w:sz w:val="24"/>
          <w:highlight w:val="none"/>
          <w:lang w:val="en-US" w:eastAsia="zh-CN"/>
        </w:rPr>
        <w:t xml:space="preserve">   </w:t>
      </w:r>
      <w:r>
        <w:rPr>
          <w:rFonts w:hint="eastAsia" w:ascii="宋体" w:hAnsi="Cambria" w:cs="宋体"/>
          <w:b/>
          <w:bCs/>
          <w:color w:val="auto"/>
          <w:kern w:val="0"/>
          <w:sz w:val="24"/>
          <w:highlight w:val="none"/>
          <w:lang w:val="zh-CN"/>
        </w:rPr>
        <w:t>月</w:t>
      </w:r>
      <w:r>
        <w:rPr>
          <w:rFonts w:hint="eastAsia" w:ascii="宋体" w:hAnsi="Cambria" w:cs="宋体"/>
          <w:b/>
          <w:bCs/>
          <w:color w:val="auto"/>
          <w:kern w:val="0"/>
          <w:sz w:val="24"/>
          <w:highlight w:val="none"/>
          <w:lang w:val="en-US" w:eastAsia="zh-CN"/>
        </w:rPr>
        <w:t xml:space="preserve">   </w:t>
      </w:r>
      <w:r>
        <w:rPr>
          <w:rFonts w:hint="eastAsia" w:ascii="宋体" w:hAnsi="Cambria" w:cs="宋体"/>
          <w:b/>
          <w:bCs/>
          <w:color w:val="auto"/>
          <w:kern w:val="0"/>
          <w:sz w:val="24"/>
          <w:highlight w:val="none"/>
          <w:lang w:val="zh-CN"/>
        </w:rPr>
        <w:t xml:space="preserve">日 </w:t>
      </w:r>
    </w:p>
    <w:p>
      <w:pPr>
        <w:pStyle w:val="35"/>
        <w:jc w:val="left"/>
        <w:rPr>
          <w:rFonts w:ascii="宋体" w:hAnsi="宋体"/>
          <w:color w:val="auto"/>
          <w:sz w:val="32"/>
          <w:highlight w:val="none"/>
          <w:lang w:val="zh-CN"/>
        </w:rPr>
      </w:pPr>
      <w:bookmarkStart w:id="500" w:name="_Toc10730584"/>
      <w:bookmarkStart w:id="501" w:name="_Toc13582344"/>
      <w:bookmarkStart w:id="502" w:name="_Toc32423"/>
    </w:p>
    <w:p>
      <w:pPr>
        <w:pStyle w:val="35"/>
        <w:jc w:val="left"/>
        <w:rPr>
          <w:rFonts w:ascii="宋体" w:hAnsi="宋体"/>
          <w:color w:val="auto"/>
          <w:sz w:val="32"/>
          <w:highlight w:val="none"/>
          <w:lang w:val="zh-CN"/>
        </w:rPr>
      </w:pPr>
    </w:p>
    <w:p>
      <w:pPr>
        <w:pStyle w:val="35"/>
        <w:jc w:val="left"/>
        <w:rPr>
          <w:rFonts w:ascii="宋体" w:hAnsi="宋体"/>
          <w:color w:val="auto"/>
          <w:sz w:val="32"/>
          <w:highlight w:val="none"/>
          <w:lang w:val="zh-CN"/>
        </w:rPr>
      </w:pPr>
      <w:bookmarkStart w:id="503" w:name="_Toc3878"/>
      <w:bookmarkStart w:id="504" w:name="_Toc25741"/>
      <w:bookmarkStart w:id="505" w:name="_Toc23349"/>
      <w:bookmarkStart w:id="506" w:name="_Toc2884"/>
      <w:r>
        <w:rPr>
          <w:rFonts w:hint="eastAsia" w:ascii="宋体" w:hAnsi="宋体"/>
          <w:color w:val="auto"/>
          <w:sz w:val="32"/>
          <w:highlight w:val="none"/>
          <w:lang w:val="zh-CN"/>
        </w:rPr>
        <w:t>格式</w:t>
      </w:r>
      <w:r>
        <w:rPr>
          <w:rFonts w:hint="eastAsia" w:ascii="宋体" w:hAnsi="宋体"/>
          <w:color w:val="auto"/>
          <w:sz w:val="32"/>
          <w:highlight w:val="none"/>
        </w:rPr>
        <w:t>6</w:t>
      </w:r>
      <w:r>
        <w:rPr>
          <w:rFonts w:hint="eastAsia" w:ascii="宋体" w:hAnsi="宋体"/>
          <w:color w:val="auto"/>
          <w:sz w:val="32"/>
          <w:highlight w:val="none"/>
          <w:lang w:val="zh-CN"/>
        </w:rPr>
        <w:t>：报价表</w:t>
      </w:r>
      <w:bookmarkEnd w:id="500"/>
      <w:bookmarkEnd w:id="501"/>
      <w:bookmarkEnd w:id="502"/>
      <w:bookmarkEnd w:id="503"/>
      <w:bookmarkEnd w:id="504"/>
      <w:bookmarkEnd w:id="505"/>
      <w:bookmarkEnd w:id="506"/>
    </w:p>
    <w:p>
      <w:pPr>
        <w:pStyle w:val="21"/>
        <w:rPr>
          <w:color w:val="auto"/>
          <w:highlight w:val="none"/>
          <w:lang w:val="zh-CN"/>
        </w:rPr>
      </w:pPr>
    </w:p>
    <w:p>
      <w:pPr>
        <w:autoSpaceDE w:val="0"/>
        <w:autoSpaceDN w:val="0"/>
        <w:adjustRightInd w:val="0"/>
        <w:spacing w:line="400" w:lineRule="exact"/>
        <w:jc w:val="center"/>
        <w:rPr>
          <w:rFonts w:ascii="宋体" w:hAnsi="Cambria" w:cs="宋体"/>
          <w:b/>
          <w:bCs/>
          <w:color w:val="auto"/>
          <w:kern w:val="0"/>
          <w:sz w:val="36"/>
          <w:szCs w:val="36"/>
          <w:highlight w:val="none"/>
          <w:lang w:val="zh-CN"/>
        </w:rPr>
      </w:pPr>
      <w:r>
        <w:rPr>
          <w:rFonts w:hint="eastAsia" w:ascii="宋体" w:hAnsi="Cambria" w:cs="宋体"/>
          <w:b/>
          <w:bCs/>
          <w:color w:val="auto"/>
          <w:kern w:val="0"/>
          <w:sz w:val="36"/>
          <w:szCs w:val="36"/>
          <w:highlight w:val="none"/>
          <w:lang w:val="zh-CN"/>
        </w:rPr>
        <w:t>报价表</w:t>
      </w:r>
    </w:p>
    <w:p>
      <w:pPr>
        <w:pStyle w:val="21"/>
        <w:rPr>
          <w:color w:val="auto"/>
          <w:highlight w:val="none"/>
          <w:lang w:val="zh-CN"/>
        </w:rPr>
      </w:pPr>
    </w:p>
    <w:tbl>
      <w:tblPr>
        <w:tblStyle w:val="36"/>
        <w:tblW w:w="86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2632"/>
        <w:gridCol w:w="59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691" w:hRule="atLeast"/>
          <w:jc w:val="center"/>
        </w:trPr>
        <w:tc>
          <w:tcPr>
            <w:tcW w:w="2632" w:type="dxa"/>
            <w:vAlign w:val="center"/>
          </w:tcPr>
          <w:p>
            <w:pPr>
              <w:pStyle w:val="13"/>
              <w:spacing w:line="360" w:lineRule="auto"/>
              <w:jc w:val="center"/>
              <w:rPr>
                <w:rFonts w:hAnsi="Cambria" w:cs="宋体"/>
                <w:color w:val="auto"/>
                <w:kern w:val="0"/>
                <w:sz w:val="24"/>
                <w:highlight w:val="none"/>
                <w:lang w:val="zh-CN"/>
              </w:rPr>
            </w:pPr>
            <w:r>
              <w:rPr>
                <w:rFonts w:hint="eastAsia" w:hAnsi="Cambria" w:cs="宋体"/>
                <w:color w:val="auto"/>
                <w:kern w:val="0"/>
                <w:sz w:val="24"/>
                <w:highlight w:val="none"/>
                <w:lang w:val="zh-CN"/>
              </w:rPr>
              <w:t>供应商名称</w:t>
            </w:r>
          </w:p>
        </w:tc>
        <w:tc>
          <w:tcPr>
            <w:tcW w:w="5985" w:type="dxa"/>
            <w:vAlign w:val="center"/>
          </w:tcPr>
          <w:p>
            <w:pPr>
              <w:pStyle w:val="13"/>
              <w:spacing w:line="360" w:lineRule="auto"/>
              <w:rPr>
                <w:rFonts w:hAnsi="Cambria" w:cs="宋体"/>
                <w:color w:val="auto"/>
                <w:kern w:val="0"/>
                <w:sz w:val="24"/>
                <w:highlight w:val="no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73" w:hRule="atLeast"/>
          <w:jc w:val="center"/>
        </w:trPr>
        <w:tc>
          <w:tcPr>
            <w:tcW w:w="2632" w:type="dxa"/>
            <w:vAlign w:val="center"/>
          </w:tcPr>
          <w:p>
            <w:pPr>
              <w:pStyle w:val="13"/>
              <w:spacing w:line="360" w:lineRule="auto"/>
              <w:jc w:val="center"/>
              <w:rPr>
                <w:rFonts w:hAnsi="Cambria" w:cs="宋体"/>
                <w:color w:val="auto"/>
                <w:kern w:val="0"/>
                <w:sz w:val="24"/>
                <w:highlight w:val="none"/>
                <w:lang w:val="zh-CN"/>
              </w:rPr>
            </w:pPr>
            <w:r>
              <w:rPr>
                <w:rFonts w:hint="eastAsia" w:hAnsi="Cambria" w:cs="宋体"/>
                <w:color w:val="auto"/>
                <w:kern w:val="0"/>
                <w:sz w:val="24"/>
                <w:highlight w:val="none"/>
                <w:lang w:val="zh-CN"/>
              </w:rPr>
              <w:t>包号</w:t>
            </w:r>
          </w:p>
        </w:tc>
        <w:tc>
          <w:tcPr>
            <w:tcW w:w="5985" w:type="dxa"/>
            <w:vAlign w:val="center"/>
          </w:tcPr>
          <w:p>
            <w:pPr>
              <w:pStyle w:val="13"/>
              <w:spacing w:line="360" w:lineRule="auto"/>
              <w:rPr>
                <w:rFonts w:hAnsi="Cambria" w:cs="宋体"/>
                <w:color w:val="auto"/>
                <w:kern w:val="0"/>
                <w:sz w:val="24"/>
                <w:highlight w:val="no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3" w:hRule="atLeast"/>
          <w:jc w:val="center"/>
        </w:trPr>
        <w:tc>
          <w:tcPr>
            <w:tcW w:w="2632" w:type="dxa"/>
            <w:vAlign w:val="center"/>
          </w:tcPr>
          <w:p>
            <w:pPr>
              <w:pStyle w:val="13"/>
              <w:spacing w:line="360" w:lineRule="auto"/>
              <w:jc w:val="center"/>
              <w:rPr>
                <w:rFonts w:hAnsi="Cambria" w:cs="宋体"/>
                <w:color w:val="auto"/>
                <w:kern w:val="0"/>
                <w:sz w:val="24"/>
                <w:highlight w:val="none"/>
                <w:lang w:val="zh-CN"/>
              </w:rPr>
            </w:pPr>
            <w:r>
              <w:rPr>
                <w:rFonts w:hint="eastAsia" w:hAnsi="Cambria" w:cs="宋体"/>
                <w:color w:val="auto"/>
                <w:kern w:val="0"/>
                <w:sz w:val="24"/>
                <w:highlight w:val="none"/>
                <w:lang w:val="zh-CN"/>
              </w:rPr>
              <w:t xml:space="preserve"> 响应报价</w:t>
            </w:r>
          </w:p>
        </w:tc>
        <w:tc>
          <w:tcPr>
            <w:tcW w:w="5985" w:type="dxa"/>
            <w:vAlign w:val="center"/>
          </w:tcPr>
          <w:p>
            <w:pPr>
              <w:autoSpaceDE w:val="0"/>
              <w:autoSpaceDN w:val="0"/>
              <w:spacing w:line="360" w:lineRule="auto"/>
              <w:rPr>
                <w:rFonts w:ascii="宋体" w:hAnsi="Cambria" w:cs="宋体"/>
                <w:color w:val="auto"/>
                <w:kern w:val="0"/>
                <w:sz w:val="24"/>
                <w:highlight w:val="none"/>
                <w:lang w:val="zh-CN"/>
              </w:rPr>
            </w:pPr>
            <w:r>
              <w:rPr>
                <w:rFonts w:hint="eastAsia" w:ascii="宋体" w:hAnsi="Cambria" w:cs="宋体"/>
                <w:color w:val="auto"/>
                <w:kern w:val="0"/>
                <w:sz w:val="24"/>
                <w:highlight w:val="none"/>
                <w:lang w:val="zh-CN"/>
              </w:rPr>
              <w:t>大写：</w:t>
            </w:r>
          </w:p>
          <w:p>
            <w:pPr>
              <w:pStyle w:val="13"/>
              <w:spacing w:line="360" w:lineRule="auto"/>
              <w:ind w:left="0"/>
              <w:rPr>
                <w:rFonts w:hAnsi="Cambria" w:cs="宋体"/>
                <w:color w:val="auto"/>
                <w:kern w:val="0"/>
                <w:sz w:val="24"/>
                <w:highlight w:val="none"/>
                <w:lang w:val="zh-CN"/>
              </w:rPr>
            </w:pPr>
            <w:r>
              <w:rPr>
                <w:rFonts w:hint="eastAsia" w:hAnsi="Cambria" w:cs="宋体"/>
                <w:color w:val="auto"/>
                <w:kern w:val="0"/>
                <w:sz w:val="24"/>
                <w:highlight w:val="none"/>
                <w:lang w:val="zh-CN"/>
              </w:rPr>
              <w:t>小写：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736" w:hRule="atLeast"/>
          <w:jc w:val="center"/>
        </w:trPr>
        <w:tc>
          <w:tcPr>
            <w:tcW w:w="2632" w:type="dxa"/>
            <w:vAlign w:val="center"/>
          </w:tcPr>
          <w:p>
            <w:pPr>
              <w:pStyle w:val="13"/>
              <w:spacing w:line="360" w:lineRule="auto"/>
              <w:jc w:val="center"/>
              <w:rPr>
                <w:rFonts w:hAnsi="Cambria" w:cs="宋体"/>
                <w:color w:val="auto"/>
                <w:kern w:val="0"/>
                <w:sz w:val="24"/>
                <w:highlight w:val="none"/>
                <w:lang w:val="zh-CN"/>
              </w:rPr>
            </w:pPr>
            <w:r>
              <w:rPr>
                <w:rFonts w:hint="eastAsia" w:hAnsi="Cambria" w:cs="宋体"/>
                <w:color w:val="auto"/>
                <w:kern w:val="0"/>
                <w:sz w:val="24"/>
                <w:highlight w:val="none"/>
                <w:lang w:val="zh-CN"/>
              </w:rPr>
              <w:t>交付时间</w:t>
            </w:r>
          </w:p>
        </w:tc>
        <w:tc>
          <w:tcPr>
            <w:tcW w:w="5985" w:type="dxa"/>
            <w:vAlign w:val="center"/>
          </w:tcPr>
          <w:p>
            <w:pPr>
              <w:pStyle w:val="13"/>
              <w:spacing w:line="360" w:lineRule="auto"/>
              <w:rPr>
                <w:rFonts w:hAnsi="Cambria" w:cs="宋体"/>
                <w:color w:val="auto"/>
                <w:kern w:val="0"/>
                <w:sz w:val="24"/>
                <w:highlight w:val="no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704" w:hRule="atLeast"/>
          <w:jc w:val="center"/>
        </w:trPr>
        <w:tc>
          <w:tcPr>
            <w:tcW w:w="2632" w:type="dxa"/>
            <w:vAlign w:val="center"/>
          </w:tcPr>
          <w:p>
            <w:pPr>
              <w:pStyle w:val="13"/>
              <w:spacing w:line="360" w:lineRule="auto"/>
              <w:jc w:val="center"/>
              <w:rPr>
                <w:rFonts w:hAnsi="Cambria" w:cs="宋体"/>
                <w:color w:val="auto"/>
                <w:kern w:val="0"/>
                <w:sz w:val="24"/>
                <w:highlight w:val="none"/>
                <w:lang w:val="zh-CN"/>
              </w:rPr>
            </w:pPr>
            <w:r>
              <w:rPr>
                <w:rFonts w:hint="eastAsia" w:hAnsi="Cambria" w:cs="宋体"/>
                <w:color w:val="auto"/>
                <w:kern w:val="0"/>
                <w:sz w:val="24"/>
                <w:highlight w:val="none"/>
                <w:lang w:val="zh-CN"/>
              </w:rPr>
              <w:t>交付地点</w:t>
            </w:r>
          </w:p>
        </w:tc>
        <w:tc>
          <w:tcPr>
            <w:tcW w:w="5985" w:type="dxa"/>
            <w:vAlign w:val="center"/>
          </w:tcPr>
          <w:p>
            <w:pPr>
              <w:pStyle w:val="13"/>
              <w:spacing w:line="360" w:lineRule="auto"/>
              <w:rPr>
                <w:rFonts w:hAnsi="Cambria" w:cs="宋体"/>
                <w:color w:val="auto"/>
                <w:kern w:val="0"/>
                <w:sz w:val="24"/>
                <w:highlight w:val="none"/>
                <w:lang w:val="zh-CN"/>
              </w:rPr>
            </w:pPr>
          </w:p>
        </w:tc>
      </w:tr>
    </w:tbl>
    <w:p>
      <w:pPr>
        <w:autoSpaceDE w:val="0"/>
        <w:autoSpaceDN w:val="0"/>
        <w:spacing w:line="360" w:lineRule="auto"/>
        <w:rPr>
          <w:rFonts w:ascii="宋体" w:hAnsi="Cambria" w:cs="宋体"/>
          <w:color w:val="auto"/>
          <w:kern w:val="0"/>
          <w:sz w:val="24"/>
          <w:highlight w:val="none"/>
          <w:lang w:val="zh-CN"/>
        </w:rPr>
      </w:pPr>
      <w:r>
        <w:rPr>
          <w:rFonts w:hint="eastAsia" w:ascii="宋体" w:hAnsi="Cambria" w:cs="宋体"/>
          <w:color w:val="auto"/>
          <w:kern w:val="0"/>
          <w:sz w:val="24"/>
          <w:highlight w:val="none"/>
          <w:lang w:val="zh-CN"/>
        </w:rPr>
        <w:t>注：1.填写此表时不得改变表格形式。</w:t>
      </w:r>
    </w:p>
    <w:p>
      <w:pPr>
        <w:autoSpaceDE w:val="0"/>
        <w:autoSpaceDN w:val="0"/>
        <w:spacing w:line="360" w:lineRule="auto"/>
        <w:ind w:firstLine="480"/>
        <w:rPr>
          <w:rFonts w:ascii="宋体" w:hAnsi="Cambria" w:cs="宋体"/>
          <w:color w:val="auto"/>
          <w:kern w:val="0"/>
          <w:sz w:val="24"/>
          <w:highlight w:val="none"/>
          <w:lang w:val="zh-CN"/>
        </w:rPr>
      </w:pPr>
      <w:r>
        <w:rPr>
          <w:rFonts w:hint="eastAsia" w:ascii="宋体" w:hAnsi="Cambria" w:cs="宋体"/>
          <w:color w:val="auto"/>
          <w:kern w:val="0"/>
          <w:sz w:val="24"/>
          <w:highlight w:val="none"/>
          <w:lang w:val="zh-CN"/>
        </w:rPr>
        <w:t>2.“响应报价”为报价总价。报价必须包括：产品费、验收费、手续费、包装费、运输费、保险费、安装费、调试费、培训费、售前、售中、售后服务费、采购代理服务费、税金及不可预见费等全部费用。</w:t>
      </w:r>
    </w:p>
    <w:p>
      <w:pPr>
        <w:autoSpaceDE w:val="0"/>
        <w:autoSpaceDN w:val="0"/>
        <w:spacing w:line="360" w:lineRule="auto"/>
        <w:ind w:firstLine="480"/>
        <w:rPr>
          <w:rFonts w:ascii="宋体" w:hAnsi="Cambria" w:cs="宋体"/>
          <w:color w:val="auto"/>
          <w:kern w:val="0"/>
          <w:sz w:val="24"/>
          <w:highlight w:val="none"/>
          <w:lang w:val="zh-CN"/>
        </w:rPr>
      </w:pPr>
      <w:r>
        <w:rPr>
          <w:rFonts w:hint="eastAsia" w:ascii="宋体" w:hAnsi="Cambria" w:cs="宋体"/>
          <w:color w:val="auto"/>
          <w:kern w:val="0"/>
          <w:sz w:val="24"/>
          <w:highlight w:val="none"/>
          <w:lang w:val="zh-CN"/>
        </w:rPr>
        <w:t>3.“交</w:t>
      </w:r>
      <w:r>
        <w:rPr>
          <w:rFonts w:hint="eastAsia" w:hAnsi="Cambria" w:cs="宋体"/>
          <w:color w:val="auto"/>
          <w:kern w:val="0"/>
          <w:sz w:val="24"/>
          <w:highlight w:val="none"/>
          <w:lang w:val="zh-CN"/>
        </w:rPr>
        <w:t>付</w:t>
      </w:r>
      <w:r>
        <w:rPr>
          <w:rFonts w:hint="eastAsia" w:ascii="宋体" w:hAnsi="Cambria" w:cs="宋体"/>
          <w:color w:val="auto"/>
          <w:kern w:val="0"/>
          <w:sz w:val="24"/>
          <w:highlight w:val="none"/>
          <w:lang w:val="zh-CN"/>
        </w:rPr>
        <w:t>时间”是指产品能够交付使用的具体时间</w:t>
      </w:r>
    </w:p>
    <w:p>
      <w:pPr>
        <w:pStyle w:val="21"/>
        <w:rPr>
          <w:color w:val="auto"/>
          <w:sz w:val="17"/>
          <w:highlight w:val="none"/>
          <w:lang w:val="zh-CN"/>
        </w:rPr>
      </w:pPr>
    </w:p>
    <w:p>
      <w:pPr>
        <w:pStyle w:val="21"/>
        <w:rPr>
          <w:color w:val="auto"/>
          <w:sz w:val="17"/>
          <w:highlight w:val="none"/>
          <w:lang w:val="zh-CN"/>
        </w:rPr>
      </w:pPr>
    </w:p>
    <w:p>
      <w:pPr>
        <w:pStyle w:val="21"/>
        <w:rPr>
          <w:color w:val="auto"/>
          <w:sz w:val="17"/>
          <w:highlight w:val="none"/>
          <w:lang w:val="zh-CN"/>
        </w:rPr>
      </w:pPr>
    </w:p>
    <w:p>
      <w:pPr>
        <w:pStyle w:val="21"/>
        <w:rPr>
          <w:color w:val="auto"/>
          <w:sz w:val="17"/>
          <w:highlight w:val="none"/>
          <w:lang w:val="zh-CN"/>
        </w:rPr>
      </w:pPr>
    </w:p>
    <w:p>
      <w:pPr>
        <w:pStyle w:val="21"/>
        <w:rPr>
          <w:color w:val="auto"/>
          <w:sz w:val="17"/>
          <w:highlight w:val="none"/>
          <w:lang w:val="zh-CN"/>
        </w:rPr>
      </w:pPr>
    </w:p>
    <w:p>
      <w:pPr>
        <w:pStyle w:val="21"/>
        <w:rPr>
          <w:color w:val="auto"/>
          <w:sz w:val="17"/>
          <w:highlight w:val="none"/>
          <w:lang w:val="zh-CN"/>
        </w:rPr>
      </w:pPr>
    </w:p>
    <w:p>
      <w:pPr>
        <w:autoSpaceDE w:val="0"/>
        <w:autoSpaceDN w:val="0"/>
        <w:adjustRightInd w:val="0"/>
        <w:spacing w:line="480" w:lineRule="auto"/>
        <w:ind w:right="360"/>
        <w:jc w:val="right"/>
        <w:rPr>
          <w:rFonts w:ascii="宋体" w:hAnsi="Cambria" w:cs="宋体"/>
          <w:b/>
          <w:color w:val="auto"/>
          <w:kern w:val="0"/>
          <w:sz w:val="24"/>
          <w:highlight w:val="none"/>
          <w:lang w:val="zh-CN"/>
        </w:rPr>
      </w:pPr>
      <w:r>
        <w:rPr>
          <w:rFonts w:hint="eastAsia" w:ascii="宋体" w:hAnsi="Cambria" w:cs="宋体"/>
          <w:b/>
          <w:color w:val="auto"/>
          <w:kern w:val="0"/>
          <w:sz w:val="24"/>
          <w:highlight w:val="none"/>
          <w:lang w:val="zh-CN"/>
        </w:rPr>
        <w:t>供应商：（公章）</w:t>
      </w:r>
    </w:p>
    <w:p>
      <w:pPr>
        <w:autoSpaceDE w:val="0"/>
        <w:autoSpaceDN w:val="0"/>
        <w:adjustRightInd w:val="0"/>
        <w:spacing w:line="480" w:lineRule="auto"/>
        <w:jc w:val="right"/>
        <w:rPr>
          <w:rFonts w:ascii="宋体" w:hAnsi="Cambria" w:cs="宋体"/>
          <w:b/>
          <w:color w:val="auto"/>
          <w:kern w:val="0"/>
          <w:sz w:val="24"/>
          <w:highlight w:val="none"/>
          <w:lang w:val="zh-CN"/>
        </w:rPr>
      </w:pPr>
      <w:r>
        <w:rPr>
          <w:rFonts w:hint="eastAsia" w:ascii="宋体" w:hAnsi="Cambria" w:cs="宋体"/>
          <w:b/>
          <w:color w:val="auto"/>
          <w:kern w:val="0"/>
          <w:sz w:val="24"/>
          <w:highlight w:val="none"/>
          <w:lang w:val="zh-CN"/>
        </w:rPr>
        <w:t>法定代表人或委托代理人：（签字）</w:t>
      </w:r>
    </w:p>
    <w:p>
      <w:pPr>
        <w:autoSpaceDE w:val="0"/>
        <w:autoSpaceDN w:val="0"/>
        <w:adjustRightInd w:val="0"/>
        <w:spacing w:line="480" w:lineRule="auto"/>
        <w:ind w:right="480" w:firstLine="5060" w:firstLineChars="2100"/>
        <w:jc w:val="right"/>
        <w:rPr>
          <w:rFonts w:ascii="宋体" w:hAnsi="Cambria" w:cs="宋体"/>
          <w:b/>
          <w:color w:val="auto"/>
          <w:kern w:val="0"/>
          <w:sz w:val="24"/>
          <w:highlight w:val="none"/>
          <w:lang w:val="zh-CN"/>
        </w:rPr>
      </w:pPr>
      <w:r>
        <w:rPr>
          <w:rFonts w:hint="eastAsia" w:ascii="宋体" w:hAnsi="Cambria" w:cs="宋体"/>
          <w:b/>
          <w:color w:val="auto"/>
          <w:kern w:val="0"/>
          <w:sz w:val="24"/>
          <w:highlight w:val="none"/>
          <w:lang w:val="zh-CN"/>
        </w:rPr>
        <w:t>年   月   日</w:t>
      </w:r>
    </w:p>
    <w:p>
      <w:pPr>
        <w:pStyle w:val="21"/>
        <w:spacing w:line="360" w:lineRule="auto"/>
        <w:rPr>
          <w:color w:val="auto"/>
          <w:sz w:val="18"/>
          <w:highlight w:val="none"/>
          <w:lang w:val="zh-CN"/>
        </w:rPr>
      </w:pPr>
    </w:p>
    <w:p>
      <w:pPr>
        <w:pStyle w:val="21"/>
        <w:rPr>
          <w:color w:val="auto"/>
          <w:highlight w:val="none"/>
          <w:lang w:val="zh-CN"/>
        </w:rPr>
      </w:pPr>
    </w:p>
    <w:p>
      <w:pPr>
        <w:pStyle w:val="21"/>
        <w:rPr>
          <w:color w:val="auto"/>
          <w:highlight w:val="none"/>
          <w:lang w:val="zh-CN"/>
        </w:rPr>
      </w:pPr>
    </w:p>
    <w:p>
      <w:pPr>
        <w:autoSpaceDE w:val="0"/>
        <w:autoSpaceDN w:val="0"/>
        <w:adjustRightInd w:val="0"/>
        <w:spacing w:line="400" w:lineRule="exact"/>
        <w:jc w:val="center"/>
        <w:rPr>
          <w:rFonts w:ascii="宋体" w:hAnsi="Cambria" w:cs="宋体"/>
          <w:b/>
          <w:bCs/>
          <w:color w:val="auto"/>
          <w:kern w:val="0"/>
          <w:sz w:val="36"/>
          <w:szCs w:val="36"/>
          <w:highlight w:val="none"/>
          <w:lang w:val="zh-CN"/>
        </w:rPr>
      </w:pPr>
    </w:p>
    <w:p>
      <w:pPr>
        <w:autoSpaceDE w:val="0"/>
        <w:autoSpaceDN w:val="0"/>
        <w:adjustRightInd w:val="0"/>
        <w:spacing w:line="400" w:lineRule="exact"/>
        <w:jc w:val="center"/>
        <w:rPr>
          <w:rFonts w:ascii="宋体" w:hAnsi="Cambria" w:cs="宋体"/>
          <w:b/>
          <w:bCs/>
          <w:color w:val="auto"/>
          <w:kern w:val="0"/>
          <w:sz w:val="36"/>
          <w:szCs w:val="36"/>
          <w:highlight w:val="none"/>
          <w:lang w:val="zh-CN"/>
        </w:rPr>
      </w:pPr>
    </w:p>
    <w:p>
      <w:pPr>
        <w:autoSpaceDE w:val="0"/>
        <w:autoSpaceDN w:val="0"/>
        <w:adjustRightInd w:val="0"/>
        <w:spacing w:line="400" w:lineRule="exact"/>
        <w:jc w:val="center"/>
        <w:rPr>
          <w:rFonts w:ascii="宋体" w:hAnsi="Cambria" w:cs="宋体"/>
          <w:b/>
          <w:bCs/>
          <w:color w:val="auto"/>
          <w:kern w:val="0"/>
          <w:sz w:val="36"/>
          <w:szCs w:val="36"/>
          <w:highlight w:val="none"/>
          <w:lang w:val="zh-CN"/>
        </w:rPr>
      </w:pPr>
    </w:p>
    <w:p>
      <w:pPr>
        <w:autoSpaceDE w:val="0"/>
        <w:autoSpaceDN w:val="0"/>
        <w:adjustRightInd w:val="0"/>
        <w:spacing w:line="400" w:lineRule="exact"/>
        <w:jc w:val="center"/>
        <w:rPr>
          <w:rFonts w:ascii="宋体" w:hAnsi="Cambria" w:cs="宋体"/>
          <w:b/>
          <w:bCs/>
          <w:color w:val="auto"/>
          <w:kern w:val="0"/>
          <w:sz w:val="36"/>
          <w:szCs w:val="36"/>
          <w:highlight w:val="none"/>
          <w:lang w:val="zh-CN"/>
        </w:rPr>
      </w:pPr>
      <w:r>
        <w:rPr>
          <w:rFonts w:hint="eastAsia" w:ascii="宋体" w:hAnsi="Cambria" w:cs="宋体"/>
          <w:b/>
          <w:bCs/>
          <w:color w:val="auto"/>
          <w:kern w:val="0"/>
          <w:sz w:val="36"/>
          <w:szCs w:val="36"/>
          <w:highlight w:val="none"/>
          <w:lang w:val="zh-CN"/>
        </w:rPr>
        <w:t>分项报价表</w:t>
      </w:r>
    </w:p>
    <w:p>
      <w:pPr>
        <w:autoSpaceDE w:val="0"/>
        <w:autoSpaceDN w:val="0"/>
        <w:adjustRightInd w:val="0"/>
        <w:spacing w:line="400" w:lineRule="exact"/>
        <w:rPr>
          <w:rFonts w:ascii="宋体" w:hAnsi="Cambria" w:cs="宋体"/>
          <w:b/>
          <w:bCs/>
          <w:color w:val="auto"/>
          <w:kern w:val="0"/>
          <w:sz w:val="24"/>
          <w:szCs w:val="28"/>
          <w:highlight w:val="none"/>
          <w:lang w:val="zh-CN"/>
        </w:rPr>
      </w:pPr>
      <w:r>
        <w:rPr>
          <w:rFonts w:hint="eastAsia" w:ascii="宋体" w:hAnsi="Cambria" w:cs="宋体"/>
          <w:b/>
          <w:bCs/>
          <w:color w:val="auto"/>
          <w:kern w:val="0"/>
          <w:sz w:val="24"/>
          <w:szCs w:val="28"/>
          <w:highlight w:val="none"/>
          <w:lang w:val="zh-CN"/>
        </w:rPr>
        <w:t>供应商名称</w:t>
      </w:r>
      <w:r>
        <w:rPr>
          <w:rFonts w:ascii="宋体" w:hAnsi="Cambria" w:cs="宋体"/>
          <w:b/>
          <w:bCs/>
          <w:color w:val="auto"/>
          <w:kern w:val="0"/>
          <w:sz w:val="24"/>
          <w:szCs w:val="28"/>
          <w:highlight w:val="none"/>
          <w:lang w:val="zh-CN"/>
        </w:rPr>
        <w:t>:</w:t>
      </w:r>
    </w:p>
    <w:p>
      <w:pPr>
        <w:autoSpaceDE w:val="0"/>
        <w:autoSpaceDN w:val="0"/>
        <w:adjustRightInd w:val="0"/>
        <w:spacing w:line="400" w:lineRule="exact"/>
        <w:rPr>
          <w:rFonts w:ascii="宋体" w:hAnsi="Cambria" w:cs="宋体"/>
          <w:color w:val="auto"/>
          <w:kern w:val="0"/>
          <w:sz w:val="24"/>
          <w:szCs w:val="28"/>
          <w:highlight w:val="none"/>
          <w:lang w:val="zh-CN"/>
        </w:rPr>
      </w:pPr>
      <w:r>
        <w:rPr>
          <w:rFonts w:hint="eastAsia" w:ascii="宋体" w:hAnsi="Cambria" w:cs="宋体"/>
          <w:b/>
          <w:bCs/>
          <w:color w:val="auto"/>
          <w:kern w:val="0"/>
          <w:sz w:val="24"/>
          <w:szCs w:val="28"/>
          <w:highlight w:val="none"/>
          <w:lang w:val="zh-CN"/>
        </w:rPr>
        <w:t>包号：单位：人民币（元）</w:t>
      </w:r>
    </w:p>
    <w:tbl>
      <w:tblPr>
        <w:tblStyle w:val="36"/>
        <w:tblW w:w="8300" w:type="dxa"/>
        <w:jc w:val="center"/>
        <w:tblLayout w:type="fixed"/>
        <w:tblCellMar>
          <w:top w:w="0" w:type="dxa"/>
          <w:left w:w="28" w:type="dxa"/>
          <w:bottom w:w="0" w:type="dxa"/>
          <w:right w:w="28" w:type="dxa"/>
        </w:tblCellMar>
      </w:tblPr>
      <w:tblGrid>
        <w:gridCol w:w="604"/>
        <w:gridCol w:w="1069"/>
        <w:gridCol w:w="1134"/>
        <w:gridCol w:w="851"/>
        <w:gridCol w:w="1134"/>
        <w:gridCol w:w="1134"/>
        <w:gridCol w:w="1134"/>
        <w:gridCol w:w="1240"/>
      </w:tblGrid>
      <w:tr>
        <w:tblPrEx>
          <w:tblCellMar>
            <w:top w:w="0" w:type="dxa"/>
            <w:left w:w="28" w:type="dxa"/>
            <w:bottom w:w="0" w:type="dxa"/>
            <w:right w:w="28" w:type="dxa"/>
          </w:tblCellMar>
        </w:tblPrEx>
        <w:trPr>
          <w:trHeight w:val="90" w:hRule="atLeast"/>
          <w:jc w:val="center"/>
        </w:trPr>
        <w:tc>
          <w:tcPr>
            <w:tcW w:w="604" w:type="dxa"/>
            <w:tcBorders>
              <w:top w:val="single" w:color="000000" w:sz="8" w:space="0"/>
              <w:left w:val="single" w:color="000000" w:sz="8" w:space="0"/>
              <w:bottom w:val="single" w:color="000000" w:sz="6" w:space="0"/>
              <w:right w:val="single" w:color="000000" w:sz="6" w:space="0"/>
            </w:tcBorders>
            <w:shd w:val="clear" w:color="000000" w:fill="FFFFFF"/>
            <w:vAlign w:val="center"/>
          </w:tcPr>
          <w:p>
            <w:pPr>
              <w:autoSpaceDE w:val="0"/>
              <w:autoSpaceDN w:val="0"/>
              <w:adjustRightInd w:val="0"/>
              <w:spacing w:before="100" w:after="100" w:line="400" w:lineRule="exact"/>
              <w:jc w:val="center"/>
              <w:rPr>
                <w:rFonts w:ascii="宋体" w:hAnsi="Cambria" w:cs="宋体"/>
                <w:color w:val="auto"/>
                <w:kern w:val="0"/>
                <w:sz w:val="24"/>
                <w:szCs w:val="28"/>
                <w:highlight w:val="none"/>
                <w:lang w:val="zh-CN"/>
              </w:rPr>
            </w:pPr>
            <w:r>
              <w:rPr>
                <w:rFonts w:hint="eastAsia" w:ascii="宋体" w:hAnsi="Cambria" w:cs="宋体"/>
                <w:color w:val="auto"/>
                <w:kern w:val="0"/>
                <w:sz w:val="24"/>
                <w:szCs w:val="28"/>
                <w:highlight w:val="none"/>
                <w:lang w:val="zh-CN"/>
              </w:rPr>
              <w:t>序号</w:t>
            </w:r>
          </w:p>
        </w:tc>
        <w:tc>
          <w:tcPr>
            <w:tcW w:w="1069" w:type="dxa"/>
            <w:tcBorders>
              <w:top w:val="single" w:color="000000" w:sz="8"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before="100" w:after="100" w:line="400" w:lineRule="exact"/>
              <w:jc w:val="center"/>
              <w:rPr>
                <w:rFonts w:ascii="宋体" w:hAnsi="Cambria" w:cs="宋体"/>
                <w:color w:val="auto"/>
                <w:kern w:val="0"/>
                <w:sz w:val="24"/>
                <w:szCs w:val="28"/>
                <w:highlight w:val="none"/>
                <w:lang w:val="zh-CN"/>
              </w:rPr>
            </w:pPr>
            <w:r>
              <w:rPr>
                <w:rFonts w:hint="eastAsia" w:ascii="宋体" w:hAnsi="Cambria" w:cs="宋体"/>
                <w:color w:val="auto"/>
                <w:kern w:val="0"/>
                <w:sz w:val="24"/>
                <w:szCs w:val="28"/>
                <w:highlight w:val="none"/>
                <w:lang w:val="zh-CN"/>
              </w:rPr>
              <w:t>品名</w:t>
            </w:r>
          </w:p>
        </w:tc>
        <w:tc>
          <w:tcPr>
            <w:tcW w:w="1134" w:type="dxa"/>
            <w:tcBorders>
              <w:top w:val="single" w:color="auto" w:sz="4" w:space="0"/>
              <w:left w:val="single" w:color="000000" w:sz="6" w:space="0"/>
              <w:bottom w:val="single" w:color="000000" w:sz="6" w:space="0"/>
              <w:right w:val="single" w:color="auto" w:sz="4" w:space="0"/>
            </w:tcBorders>
            <w:shd w:val="clear" w:color="000000" w:fill="FFFFFF"/>
            <w:vAlign w:val="center"/>
          </w:tcPr>
          <w:p>
            <w:pPr>
              <w:autoSpaceDE w:val="0"/>
              <w:autoSpaceDN w:val="0"/>
              <w:adjustRightInd w:val="0"/>
              <w:spacing w:before="100" w:after="100" w:line="400" w:lineRule="exact"/>
              <w:jc w:val="center"/>
              <w:rPr>
                <w:rFonts w:ascii="宋体" w:hAnsi="Cambria" w:cs="宋体"/>
                <w:color w:val="auto"/>
                <w:kern w:val="0"/>
                <w:sz w:val="24"/>
                <w:szCs w:val="28"/>
                <w:highlight w:val="none"/>
                <w:lang w:val="zh-CN"/>
              </w:rPr>
            </w:pPr>
            <w:r>
              <w:rPr>
                <w:rFonts w:hint="eastAsia" w:ascii="宋体" w:hAnsi="Cambria" w:cs="宋体"/>
                <w:color w:val="auto"/>
                <w:kern w:val="0"/>
                <w:sz w:val="24"/>
                <w:szCs w:val="28"/>
                <w:highlight w:val="none"/>
                <w:lang w:val="zh-CN"/>
              </w:rPr>
              <w:t>规格型号</w:t>
            </w:r>
          </w:p>
        </w:tc>
        <w:tc>
          <w:tcPr>
            <w:tcW w:w="851" w:type="dxa"/>
            <w:tcBorders>
              <w:top w:val="single" w:color="auto" w:sz="4" w:space="0"/>
              <w:left w:val="single" w:color="auto" w:sz="4" w:space="0"/>
              <w:bottom w:val="single" w:color="000000" w:sz="6" w:space="0"/>
              <w:right w:val="single" w:color="000000" w:sz="6" w:space="0"/>
            </w:tcBorders>
            <w:shd w:val="clear" w:color="000000" w:fill="FFFFFF"/>
            <w:vAlign w:val="center"/>
          </w:tcPr>
          <w:p>
            <w:pPr>
              <w:autoSpaceDE w:val="0"/>
              <w:autoSpaceDN w:val="0"/>
              <w:adjustRightInd w:val="0"/>
              <w:spacing w:before="100" w:after="100" w:line="400" w:lineRule="exact"/>
              <w:jc w:val="center"/>
              <w:rPr>
                <w:rFonts w:ascii="宋体" w:hAnsi="Cambria" w:cs="宋体"/>
                <w:color w:val="auto"/>
                <w:kern w:val="0"/>
                <w:sz w:val="24"/>
                <w:szCs w:val="28"/>
                <w:highlight w:val="none"/>
                <w:lang w:val="zh-CN"/>
              </w:rPr>
            </w:pPr>
            <w:r>
              <w:rPr>
                <w:rFonts w:hint="eastAsia" w:ascii="宋体" w:hAnsi="Cambria" w:cs="宋体"/>
                <w:color w:val="auto"/>
                <w:kern w:val="0"/>
                <w:sz w:val="24"/>
                <w:szCs w:val="28"/>
                <w:highlight w:val="none"/>
                <w:lang w:val="zh-CN"/>
              </w:rPr>
              <w:t>重量</w:t>
            </w:r>
          </w:p>
        </w:tc>
        <w:tc>
          <w:tcPr>
            <w:tcW w:w="1134" w:type="dxa"/>
            <w:tcBorders>
              <w:top w:val="single" w:color="000000" w:sz="8"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before="100" w:after="100" w:line="400" w:lineRule="exact"/>
              <w:jc w:val="center"/>
              <w:rPr>
                <w:rFonts w:ascii="宋体" w:hAnsi="Cambria" w:cs="宋体"/>
                <w:color w:val="auto"/>
                <w:kern w:val="0"/>
                <w:sz w:val="24"/>
                <w:szCs w:val="28"/>
                <w:highlight w:val="none"/>
                <w:lang w:val="zh-CN"/>
              </w:rPr>
            </w:pPr>
            <w:r>
              <w:rPr>
                <w:rFonts w:hint="eastAsia" w:ascii="宋体" w:hAnsi="Cambria" w:cs="宋体"/>
                <w:color w:val="auto"/>
                <w:kern w:val="0"/>
                <w:sz w:val="24"/>
                <w:szCs w:val="28"/>
                <w:highlight w:val="none"/>
                <w:lang w:val="zh-CN"/>
              </w:rPr>
              <w:t>数量</w:t>
            </w:r>
          </w:p>
        </w:tc>
        <w:tc>
          <w:tcPr>
            <w:tcW w:w="1134" w:type="dxa"/>
            <w:tcBorders>
              <w:top w:val="single" w:color="000000" w:sz="8"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before="100" w:after="100" w:line="400" w:lineRule="exact"/>
              <w:jc w:val="center"/>
              <w:rPr>
                <w:rFonts w:ascii="宋体" w:hAnsi="Cambria" w:cs="宋体"/>
                <w:color w:val="auto"/>
                <w:kern w:val="0"/>
                <w:sz w:val="24"/>
                <w:szCs w:val="28"/>
                <w:highlight w:val="none"/>
                <w:lang w:val="zh-CN"/>
              </w:rPr>
            </w:pPr>
            <w:r>
              <w:rPr>
                <w:rFonts w:hint="eastAsia" w:ascii="宋体" w:hAnsi="Cambria" w:cs="宋体"/>
                <w:color w:val="auto"/>
                <w:kern w:val="0"/>
                <w:sz w:val="24"/>
                <w:szCs w:val="28"/>
                <w:highlight w:val="none"/>
                <w:lang w:val="zh-CN"/>
              </w:rPr>
              <w:t>单价</w:t>
            </w:r>
          </w:p>
        </w:tc>
        <w:tc>
          <w:tcPr>
            <w:tcW w:w="1134" w:type="dxa"/>
            <w:tcBorders>
              <w:top w:val="single" w:color="000000" w:sz="8"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before="100" w:after="100" w:line="400" w:lineRule="exact"/>
              <w:jc w:val="center"/>
              <w:rPr>
                <w:rFonts w:ascii="宋体" w:hAnsi="Cambria" w:cs="宋体"/>
                <w:color w:val="auto"/>
                <w:kern w:val="0"/>
                <w:sz w:val="24"/>
                <w:szCs w:val="28"/>
                <w:highlight w:val="none"/>
                <w:lang w:val="zh-CN"/>
              </w:rPr>
            </w:pPr>
            <w:r>
              <w:rPr>
                <w:rFonts w:hint="eastAsia" w:ascii="宋体" w:hAnsi="Cambria" w:cs="宋体"/>
                <w:color w:val="auto"/>
                <w:kern w:val="0"/>
                <w:sz w:val="24"/>
                <w:szCs w:val="28"/>
                <w:highlight w:val="none"/>
                <w:lang w:val="zh-CN"/>
              </w:rPr>
              <w:t>总价</w:t>
            </w:r>
          </w:p>
        </w:tc>
        <w:tc>
          <w:tcPr>
            <w:tcW w:w="1240" w:type="dxa"/>
            <w:tcBorders>
              <w:top w:val="single" w:color="000000" w:sz="8" w:space="0"/>
              <w:left w:val="single" w:color="000000" w:sz="6" w:space="0"/>
              <w:bottom w:val="single" w:color="000000" w:sz="6" w:space="0"/>
              <w:right w:val="single" w:color="000000" w:sz="8" w:space="0"/>
            </w:tcBorders>
            <w:shd w:val="clear" w:color="000000" w:fill="FFFFFF"/>
            <w:vAlign w:val="center"/>
          </w:tcPr>
          <w:p>
            <w:pPr>
              <w:autoSpaceDE w:val="0"/>
              <w:autoSpaceDN w:val="0"/>
              <w:adjustRightInd w:val="0"/>
              <w:spacing w:before="100" w:after="100" w:line="400" w:lineRule="exact"/>
              <w:jc w:val="center"/>
              <w:rPr>
                <w:rFonts w:ascii="宋体" w:hAnsi="Cambria" w:cs="宋体"/>
                <w:color w:val="auto"/>
                <w:kern w:val="0"/>
                <w:sz w:val="24"/>
                <w:szCs w:val="28"/>
                <w:highlight w:val="none"/>
                <w:lang w:val="zh-CN"/>
              </w:rPr>
            </w:pPr>
            <w:r>
              <w:rPr>
                <w:rFonts w:hint="eastAsia" w:ascii="宋体" w:hAnsi="Cambria" w:cs="宋体"/>
                <w:color w:val="auto"/>
                <w:kern w:val="0"/>
                <w:sz w:val="24"/>
                <w:szCs w:val="28"/>
                <w:highlight w:val="none"/>
                <w:lang w:val="zh-CN"/>
              </w:rPr>
              <w:t>配置地点</w:t>
            </w:r>
          </w:p>
        </w:tc>
      </w:tr>
      <w:tr>
        <w:tblPrEx>
          <w:tblCellMar>
            <w:top w:w="0" w:type="dxa"/>
            <w:left w:w="28" w:type="dxa"/>
            <w:bottom w:w="0" w:type="dxa"/>
            <w:right w:w="28" w:type="dxa"/>
          </w:tblCellMar>
        </w:tblPrEx>
        <w:trPr>
          <w:trHeight w:val="535" w:hRule="atLeast"/>
          <w:jc w:val="center"/>
        </w:trPr>
        <w:tc>
          <w:tcPr>
            <w:tcW w:w="604" w:type="dxa"/>
            <w:tcBorders>
              <w:top w:val="single" w:color="000000" w:sz="6" w:space="0"/>
              <w:left w:val="single" w:color="000000" w:sz="8" w:space="0"/>
              <w:bottom w:val="single" w:color="000000" w:sz="6" w:space="0"/>
              <w:right w:val="single" w:color="000000" w:sz="6" w:space="0"/>
            </w:tcBorders>
            <w:shd w:val="clear" w:color="000000" w:fill="FFFFFF"/>
            <w:vAlign w:val="center"/>
          </w:tcPr>
          <w:p>
            <w:pPr>
              <w:autoSpaceDE w:val="0"/>
              <w:autoSpaceDN w:val="0"/>
              <w:adjustRightInd w:val="0"/>
              <w:spacing w:before="100" w:after="100" w:line="400" w:lineRule="exact"/>
              <w:ind w:firstLine="199"/>
              <w:jc w:val="center"/>
              <w:rPr>
                <w:rFonts w:ascii="宋体" w:hAnsi="Cambria" w:cs="宋体"/>
                <w:color w:val="auto"/>
                <w:kern w:val="0"/>
                <w:sz w:val="24"/>
                <w:szCs w:val="28"/>
                <w:highlight w:val="none"/>
                <w:lang w:val="zh-CN"/>
              </w:rPr>
            </w:pPr>
            <w:r>
              <w:rPr>
                <w:rFonts w:ascii="宋体" w:hAnsi="Cambria" w:cs="宋体"/>
                <w:color w:val="auto"/>
                <w:kern w:val="0"/>
                <w:sz w:val="24"/>
                <w:szCs w:val="28"/>
                <w:highlight w:val="none"/>
                <w:lang w:val="zh-CN"/>
              </w:rPr>
              <w:t>1</w:t>
            </w:r>
          </w:p>
        </w:tc>
        <w:tc>
          <w:tcPr>
            <w:tcW w:w="1069"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before="100" w:after="100" w:line="400" w:lineRule="exact"/>
              <w:rPr>
                <w:rFonts w:ascii="宋体" w:hAnsi="Cambria" w:cs="宋体"/>
                <w:color w:val="auto"/>
                <w:kern w:val="0"/>
                <w:sz w:val="24"/>
                <w:szCs w:val="28"/>
                <w:highlight w:val="none"/>
                <w:lang w:val="zh-CN"/>
              </w:rPr>
            </w:pPr>
          </w:p>
        </w:tc>
        <w:tc>
          <w:tcPr>
            <w:tcW w:w="1134" w:type="dxa"/>
            <w:tcBorders>
              <w:top w:val="single" w:color="000000" w:sz="6" w:space="0"/>
              <w:left w:val="single" w:color="000000" w:sz="6" w:space="0"/>
              <w:bottom w:val="single" w:color="000000" w:sz="6" w:space="0"/>
              <w:right w:val="single" w:color="auto" w:sz="4" w:space="0"/>
            </w:tcBorders>
            <w:shd w:val="clear" w:color="000000" w:fill="FFFFFF"/>
            <w:vAlign w:val="center"/>
          </w:tcPr>
          <w:p>
            <w:pPr>
              <w:autoSpaceDE w:val="0"/>
              <w:autoSpaceDN w:val="0"/>
              <w:adjustRightInd w:val="0"/>
              <w:spacing w:before="100" w:after="100" w:line="400" w:lineRule="exact"/>
              <w:rPr>
                <w:rFonts w:ascii="宋体" w:hAnsi="Cambria" w:cs="宋体"/>
                <w:color w:val="auto"/>
                <w:kern w:val="0"/>
                <w:sz w:val="24"/>
                <w:szCs w:val="28"/>
                <w:highlight w:val="none"/>
                <w:lang w:val="zh-CN"/>
              </w:rPr>
            </w:pPr>
          </w:p>
        </w:tc>
        <w:tc>
          <w:tcPr>
            <w:tcW w:w="851" w:type="dxa"/>
            <w:tcBorders>
              <w:top w:val="single" w:color="000000" w:sz="6" w:space="0"/>
              <w:left w:val="single" w:color="auto" w:sz="4" w:space="0"/>
              <w:bottom w:val="single" w:color="000000" w:sz="6" w:space="0"/>
              <w:right w:val="single" w:color="000000" w:sz="6" w:space="0"/>
            </w:tcBorders>
            <w:shd w:val="clear" w:color="000000" w:fill="FFFFFF"/>
            <w:vAlign w:val="center"/>
          </w:tcPr>
          <w:p>
            <w:pPr>
              <w:autoSpaceDE w:val="0"/>
              <w:autoSpaceDN w:val="0"/>
              <w:adjustRightInd w:val="0"/>
              <w:spacing w:before="100" w:after="100" w:line="400" w:lineRule="exact"/>
              <w:rPr>
                <w:rFonts w:ascii="宋体" w:hAnsi="Cambria" w:cs="宋体"/>
                <w:color w:val="auto"/>
                <w:kern w:val="0"/>
                <w:sz w:val="24"/>
                <w:szCs w:val="28"/>
                <w:highlight w:val="none"/>
                <w:lang w:val="zh-CN"/>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before="100" w:after="100" w:line="400" w:lineRule="exact"/>
              <w:ind w:firstLine="480"/>
              <w:jc w:val="center"/>
              <w:rPr>
                <w:rFonts w:ascii="宋体" w:hAnsi="Cambria" w:cs="宋体"/>
                <w:color w:val="auto"/>
                <w:kern w:val="0"/>
                <w:sz w:val="24"/>
                <w:szCs w:val="28"/>
                <w:highlight w:val="none"/>
                <w:lang w:val="zh-CN"/>
              </w:rPr>
            </w:pPr>
            <w:r>
              <w:rPr>
                <w:rFonts w:ascii="宋体" w:hAnsi="Cambria" w:cs="宋体"/>
                <w:color w:val="auto"/>
                <w:kern w:val="0"/>
                <w:sz w:val="24"/>
                <w:szCs w:val="28"/>
                <w:highlight w:val="none"/>
                <w:lang w:val="zh-CN"/>
              </w:rPr>
              <w:t> </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before="100" w:after="100" w:line="400" w:lineRule="exact"/>
              <w:ind w:firstLine="480"/>
              <w:jc w:val="center"/>
              <w:rPr>
                <w:rFonts w:ascii="宋体" w:hAnsi="Cambria" w:cs="宋体"/>
                <w:color w:val="auto"/>
                <w:kern w:val="0"/>
                <w:sz w:val="24"/>
                <w:szCs w:val="28"/>
                <w:highlight w:val="none"/>
                <w:lang w:val="zh-CN"/>
              </w:rPr>
            </w:pPr>
            <w:r>
              <w:rPr>
                <w:rFonts w:ascii="宋体" w:hAnsi="Cambria" w:cs="宋体"/>
                <w:color w:val="auto"/>
                <w:kern w:val="0"/>
                <w:sz w:val="24"/>
                <w:szCs w:val="28"/>
                <w:highlight w:val="none"/>
                <w:lang w:val="zh-CN"/>
              </w:rPr>
              <w:t> </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before="100" w:after="100" w:line="400" w:lineRule="exact"/>
              <w:ind w:firstLine="480"/>
              <w:jc w:val="center"/>
              <w:rPr>
                <w:rFonts w:ascii="宋体" w:hAnsi="Cambria" w:cs="宋体"/>
                <w:color w:val="auto"/>
                <w:kern w:val="0"/>
                <w:sz w:val="24"/>
                <w:szCs w:val="28"/>
                <w:highlight w:val="none"/>
                <w:lang w:val="zh-CN"/>
              </w:rPr>
            </w:pPr>
          </w:p>
        </w:tc>
        <w:tc>
          <w:tcPr>
            <w:tcW w:w="1240" w:type="dxa"/>
            <w:tcBorders>
              <w:top w:val="single" w:color="000000" w:sz="6" w:space="0"/>
              <w:left w:val="single" w:color="000000" w:sz="6" w:space="0"/>
              <w:bottom w:val="single" w:color="000000" w:sz="6" w:space="0"/>
              <w:right w:val="single" w:color="000000" w:sz="8" w:space="0"/>
            </w:tcBorders>
            <w:shd w:val="clear" w:color="000000" w:fill="FFFFFF"/>
            <w:vAlign w:val="center"/>
          </w:tcPr>
          <w:p>
            <w:pPr>
              <w:autoSpaceDE w:val="0"/>
              <w:autoSpaceDN w:val="0"/>
              <w:adjustRightInd w:val="0"/>
              <w:spacing w:before="100" w:after="100" w:line="400" w:lineRule="exact"/>
              <w:ind w:firstLine="480"/>
              <w:jc w:val="center"/>
              <w:rPr>
                <w:rFonts w:ascii="宋体" w:hAnsi="Cambria" w:cs="宋体"/>
                <w:color w:val="auto"/>
                <w:kern w:val="0"/>
                <w:sz w:val="24"/>
                <w:szCs w:val="28"/>
                <w:highlight w:val="none"/>
                <w:lang w:val="zh-CN"/>
              </w:rPr>
            </w:pPr>
            <w:r>
              <w:rPr>
                <w:rFonts w:ascii="宋体" w:hAnsi="Cambria" w:cs="宋体"/>
                <w:color w:val="auto"/>
                <w:kern w:val="0"/>
                <w:sz w:val="24"/>
                <w:szCs w:val="28"/>
                <w:highlight w:val="none"/>
                <w:lang w:val="zh-CN"/>
              </w:rPr>
              <w:t> </w:t>
            </w:r>
          </w:p>
        </w:tc>
      </w:tr>
      <w:tr>
        <w:tblPrEx>
          <w:tblCellMar>
            <w:top w:w="0" w:type="dxa"/>
            <w:left w:w="28" w:type="dxa"/>
            <w:bottom w:w="0" w:type="dxa"/>
            <w:right w:w="28" w:type="dxa"/>
          </w:tblCellMar>
        </w:tblPrEx>
        <w:trPr>
          <w:trHeight w:val="90" w:hRule="atLeast"/>
          <w:jc w:val="center"/>
        </w:trPr>
        <w:tc>
          <w:tcPr>
            <w:tcW w:w="604" w:type="dxa"/>
            <w:tcBorders>
              <w:top w:val="single" w:color="000000" w:sz="6" w:space="0"/>
              <w:left w:val="single" w:color="000000" w:sz="8" w:space="0"/>
              <w:bottom w:val="single" w:color="000000" w:sz="6" w:space="0"/>
              <w:right w:val="single" w:color="000000" w:sz="6" w:space="0"/>
            </w:tcBorders>
            <w:shd w:val="clear" w:color="000000" w:fill="FFFFFF"/>
            <w:vAlign w:val="center"/>
          </w:tcPr>
          <w:p>
            <w:pPr>
              <w:autoSpaceDE w:val="0"/>
              <w:autoSpaceDN w:val="0"/>
              <w:adjustRightInd w:val="0"/>
              <w:spacing w:before="100" w:after="100" w:line="400" w:lineRule="exact"/>
              <w:ind w:firstLine="199"/>
              <w:jc w:val="center"/>
              <w:rPr>
                <w:rFonts w:ascii="宋体" w:hAnsi="Cambria" w:cs="宋体"/>
                <w:color w:val="auto"/>
                <w:kern w:val="0"/>
                <w:sz w:val="24"/>
                <w:szCs w:val="28"/>
                <w:highlight w:val="none"/>
                <w:lang w:val="zh-CN"/>
              </w:rPr>
            </w:pPr>
            <w:r>
              <w:rPr>
                <w:rFonts w:ascii="宋体" w:hAnsi="Cambria" w:cs="宋体"/>
                <w:color w:val="auto"/>
                <w:kern w:val="0"/>
                <w:sz w:val="24"/>
                <w:szCs w:val="28"/>
                <w:highlight w:val="none"/>
                <w:lang w:val="zh-CN"/>
              </w:rPr>
              <w:t>2</w:t>
            </w:r>
          </w:p>
        </w:tc>
        <w:tc>
          <w:tcPr>
            <w:tcW w:w="1069"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before="100" w:after="100" w:line="400" w:lineRule="exact"/>
              <w:ind w:firstLine="480"/>
              <w:jc w:val="center"/>
              <w:rPr>
                <w:rFonts w:ascii="宋体" w:hAnsi="Cambria" w:cs="宋体"/>
                <w:color w:val="auto"/>
                <w:kern w:val="0"/>
                <w:sz w:val="24"/>
                <w:szCs w:val="28"/>
                <w:highlight w:val="none"/>
                <w:lang w:val="zh-CN"/>
              </w:rPr>
            </w:pPr>
            <w:r>
              <w:rPr>
                <w:rFonts w:ascii="宋体" w:hAnsi="Cambria" w:cs="宋体"/>
                <w:color w:val="auto"/>
                <w:kern w:val="0"/>
                <w:sz w:val="24"/>
                <w:szCs w:val="28"/>
                <w:highlight w:val="none"/>
                <w:lang w:val="zh-CN"/>
              </w:rPr>
              <w:t> </w:t>
            </w:r>
          </w:p>
        </w:tc>
        <w:tc>
          <w:tcPr>
            <w:tcW w:w="1134" w:type="dxa"/>
            <w:tcBorders>
              <w:top w:val="single" w:color="000000" w:sz="6" w:space="0"/>
              <w:left w:val="single" w:color="000000" w:sz="6" w:space="0"/>
              <w:bottom w:val="single" w:color="000000" w:sz="6" w:space="0"/>
              <w:right w:val="single" w:color="auto" w:sz="4" w:space="0"/>
            </w:tcBorders>
            <w:shd w:val="clear" w:color="000000" w:fill="FFFFFF"/>
            <w:vAlign w:val="center"/>
          </w:tcPr>
          <w:p>
            <w:pPr>
              <w:pStyle w:val="21"/>
              <w:rPr>
                <w:rFonts w:hAnsi="Cambria" w:cs="宋体"/>
                <w:color w:val="auto"/>
                <w:kern w:val="0"/>
                <w:sz w:val="24"/>
                <w:szCs w:val="28"/>
                <w:highlight w:val="none"/>
                <w:lang w:val="zh-CN"/>
              </w:rPr>
            </w:pPr>
          </w:p>
        </w:tc>
        <w:tc>
          <w:tcPr>
            <w:tcW w:w="851" w:type="dxa"/>
            <w:tcBorders>
              <w:top w:val="single" w:color="000000" w:sz="6" w:space="0"/>
              <w:left w:val="single" w:color="auto" w:sz="4" w:space="0"/>
              <w:bottom w:val="single" w:color="000000" w:sz="6" w:space="0"/>
              <w:right w:val="single" w:color="000000" w:sz="6" w:space="0"/>
            </w:tcBorders>
            <w:shd w:val="clear" w:color="000000" w:fill="FFFFFF"/>
            <w:vAlign w:val="center"/>
          </w:tcPr>
          <w:p>
            <w:pPr>
              <w:pStyle w:val="21"/>
              <w:rPr>
                <w:rFonts w:hAnsi="Cambria" w:cs="宋体"/>
                <w:color w:val="auto"/>
                <w:kern w:val="0"/>
                <w:sz w:val="24"/>
                <w:szCs w:val="28"/>
                <w:highlight w:val="none"/>
                <w:lang w:val="zh-CN"/>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before="100" w:after="100" w:line="400" w:lineRule="exact"/>
              <w:ind w:firstLine="480"/>
              <w:jc w:val="center"/>
              <w:rPr>
                <w:rFonts w:ascii="宋体" w:hAnsi="Cambria" w:cs="宋体"/>
                <w:color w:val="auto"/>
                <w:kern w:val="0"/>
                <w:sz w:val="24"/>
                <w:szCs w:val="28"/>
                <w:highlight w:val="none"/>
                <w:lang w:val="zh-CN"/>
              </w:rPr>
            </w:pPr>
            <w:r>
              <w:rPr>
                <w:rFonts w:ascii="宋体" w:hAnsi="Cambria" w:cs="宋体"/>
                <w:color w:val="auto"/>
                <w:kern w:val="0"/>
                <w:sz w:val="24"/>
                <w:szCs w:val="28"/>
                <w:highlight w:val="none"/>
                <w:lang w:val="zh-CN"/>
              </w:rPr>
              <w:t> </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before="100" w:after="100" w:line="400" w:lineRule="exact"/>
              <w:ind w:firstLine="480"/>
              <w:jc w:val="center"/>
              <w:rPr>
                <w:rFonts w:ascii="宋体" w:hAnsi="Cambria" w:cs="宋体"/>
                <w:color w:val="auto"/>
                <w:kern w:val="0"/>
                <w:sz w:val="24"/>
                <w:szCs w:val="28"/>
                <w:highlight w:val="none"/>
                <w:lang w:val="zh-CN"/>
              </w:rPr>
            </w:pPr>
            <w:r>
              <w:rPr>
                <w:rFonts w:ascii="宋体" w:hAnsi="Cambria" w:cs="宋体"/>
                <w:color w:val="auto"/>
                <w:kern w:val="0"/>
                <w:sz w:val="24"/>
                <w:szCs w:val="28"/>
                <w:highlight w:val="none"/>
                <w:lang w:val="zh-CN"/>
              </w:rPr>
              <w:t> </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before="100" w:after="100" w:line="400" w:lineRule="exact"/>
              <w:rPr>
                <w:rFonts w:ascii="宋体" w:hAnsi="Cambria" w:cs="宋体"/>
                <w:color w:val="auto"/>
                <w:kern w:val="0"/>
                <w:sz w:val="24"/>
                <w:szCs w:val="28"/>
                <w:highlight w:val="none"/>
                <w:lang w:val="zh-CN"/>
              </w:rPr>
            </w:pPr>
            <w:r>
              <w:rPr>
                <w:rFonts w:ascii="宋体" w:hAnsi="Cambria" w:cs="宋体"/>
                <w:color w:val="auto"/>
                <w:kern w:val="0"/>
                <w:sz w:val="24"/>
                <w:szCs w:val="28"/>
                <w:highlight w:val="none"/>
                <w:lang w:val="zh-CN"/>
              </w:rPr>
              <w:t xml:space="preserve">    </w:t>
            </w:r>
          </w:p>
        </w:tc>
        <w:tc>
          <w:tcPr>
            <w:tcW w:w="1240" w:type="dxa"/>
            <w:tcBorders>
              <w:top w:val="single" w:color="000000" w:sz="6" w:space="0"/>
              <w:left w:val="single" w:color="000000" w:sz="6" w:space="0"/>
              <w:bottom w:val="single" w:color="000000" w:sz="6" w:space="0"/>
              <w:right w:val="single" w:color="000000" w:sz="8" w:space="0"/>
            </w:tcBorders>
            <w:shd w:val="clear" w:color="000000" w:fill="FFFFFF"/>
            <w:vAlign w:val="center"/>
          </w:tcPr>
          <w:p>
            <w:pPr>
              <w:autoSpaceDE w:val="0"/>
              <w:autoSpaceDN w:val="0"/>
              <w:adjustRightInd w:val="0"/>
              <w:spacing w:before="100" w:after="100" w:line="400" w:lineRule="exact"/>
              <w:ind w:firstLine="480"/>
              <w:jc w:val="center"/>
              <w:rPr>
                <w:rFonts w:ascii="宋体" w:hAnsi="Cambria" w:cs="宋体"/>
                <w:color w:val="auto"/>
                <w:kern w:val="0"/>
                <w:sz w:val="24"/>
                <w:szCs w:val="28"/>
                <w:highlight w:val="none"/>
                <w:lang w:val="zh-CN"/>
              </w:rPr>
            </w:pPr>
            <w:r>
              <w:rPr>
                <w:rFonts w:ascii="宋体" w:hAnsi="Cambria" w:cs="宋体"/>
                <w:color w:val="auto"/>
                <w:kern w:val="0"/>
                <w:sz w:val="24"/>
                <w:szCs w:val="28"/>
                <w:highlight w:val="none"/>
                <w:lang w:val="zh-CN"/>
              </w:rPr>
              <w:t> </w:t>
            </w:r>
          </w:p>
        </w:tc>
      </w:tr>
      <w:tr>
        <w:tblPrEx>
          <w:tblCellMar>
            <w:top w:w="0" w:type="dxa"/>
            <w:left w:w="28" w:type="dxa"/>
            <w:bottom w:w="0" w:type="dxa"/>
            <w:right w:w="28" w:type="dxa"/>
          </w:tblCellMar>
        </w:tblPrEx>
        <w:trPr>
          <w:trHeight w:val="530" w:hRule="atLeast"/>
          <w:jc w:val="center"/>
        </w:trPr>
        <w:tc>
          <w:tcPr>
            <w:tcW w:w="604" w:type="dxa"/>
            <w:tcBorders>
              <w:top w:val="single" w:color="000000" w:sz="6" w:space="0"/>
              <w:left w:val="single" w:color="000000" w:sz="8" w:space="0"/>
              <w:bottom w:val="single" w:color="000000" w:sz="6" w:space="0"/>
              <w:right w:val="single" w:color="000000" w:sz="6" w:space="0"/>
            </w:tcBorders>
            <w:shd w:val="clear" w:color="000000" w:fill="FFFFFF"/>
            <w:vAlign w:val="center"/>
          </w:tcPr>
          <w:p>
            <w:pPr>
              <w:autoSpaceDE w:val="0"/>
              <w:autoSpaceDN w:val="0"/>
              <w:adjustRightInd w:val="0"/>
              <w:spacing w:before="100" w:after="100" w:line="400" w:lineRule="exact"/>
              <w:ind w:firstLine="199"/>
              <w:jc w:val="center"/>
              <w:rPr>
                <w:rFonts w:ascii="宋体" w:hAnsi="Cambria" w:cs="宋体"/>
                <w:color w:val="auto"/>
                <w:kern w:val="0"/>
                <w:sz w:val="24"/>
                <w:szCs w:val="28"/>
                <w:highlight w:val="none"/>
                <w:lang w:val="zh-CN"/>
              </w:rPr>
            </w:pPr>
            <w:r>
              <w:rPr>
                <w:rFonts w:ascii="宋体" w:hAnsi="Cambria" w:cs="宋体"/>
                <w:color w:val="auto"/>
                <w:kern w:val="0"/>
                <w:sz w:val="24"/>
                <w:szCs w:val="28"/>
                <w:highlight w:val="none"/>
                <w:lang w:val="zh-CN"/>
              </w:rPr>
              <w:t>3</w:t>
            </w:r>
          </w:p>
        </w:tc>
        <w:tc>
          <w:tcPr>
            <w:tcW w:w="1069"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before="100" w:after="100" w:line="400" w:lineRule="exact"/>
              <w:ind w:firstLine="480"/>
              <w:jc w:val="center"/>
              <w:rPr>
                <w:rFonts w:ascii="宋体" w:hAnsi="Cambria" w:cs="宋体"/>
                <w:color w:val="auto"/>
                <w:kern w:val="0"/>
                <w:sz w:val="24"/>
                <w:szCs w:val="28"/>
                <w:highlight w:val="none"/>
                <w:lang w:val="zh-CN"/>
              </w:rPr>
            </w:pPr>
            <w:r>
              <w:rPr>
                <w:rFonts w:ascii="宋体" w:hAnsi="Cambria" w:cs="宋体"/>
                <w:color w:val="auto"/>
                <w:kern w:val="0"/>
                <w:sz w:val="24"/>
                <w:szCs w:val="28"/>
                <w:highlight w:val="none"/>
                <w:lang w:val="zh-CN"/>
              </w:rPr>
              <w:t> </w:t>
            </w:r>
          </w:p>
        </w:tc>
        <w:tc>
          <w:tcPr>
            <w:tcW w:w="1134" w:type="dxa"/>
            <w:tcBorders>
              <w:top w:val="single" w:color="000000" w:sz="6" w:space="0"/>
              <w:left w:val="single" w:color="000000" w:sz="6" w:space="0"/>
              <w:bottom w:val="single" w:color="000000" w:sz="6" w:space="0"/>
              <w:right w:val="single" w:color="auto" w:sz="4" w:space="0"/>
            </w:tcBorders>
            <w:shd w:val="clear" w:color="000000" w:fill="FFFFFF"/>
            <w:vAlign w:val="center"/>
          </w:tcPr>
          <w:p>
            <w:pPr>
              <w:autoSpaceDE w:val="0"/>
              <w:autoSpaceDN w:val="0"/>
              <w:adjustRightInd w:val="0"/>
              <w:spacing w:before="100" w:after="100" w:line="400" w:lineRule="exact"/>
              <w:rPr>
                <w:rFonts w:ascii="宋体" w:hAnsi="Cambria" w:cs="宋体"/>
                <w:color w:val="auto"/>
                <w:kern w:val="0"/>
                <w:sz w:val="24"/>
                <w:szCs w:val="28"/>
                <w:highlight w:val="none"/>
                <w:lang w:val="zh-CN"/>
              </w:rPr>
            </w:pPr>
          </w:p>
        </w:tc>
        <w:tc>
          <w:tcPr>
            <w:tcW w:w="851" w:type="dxa"/>
            <w:tcBorders>
              <w:top w:val="single" w:color="000000" w:sz="6" w:space="0"/>
              <w:left w:val="single" w:color="auto" w:sz="4" w:space="0"/>
              <w:bottom w:val="single" w:color="000000" w:sz="6" w:space="0"/>
              <w:right w:val="single" w:color="000000" w:sz="6" w:space="0"/>
            </w:tcBorders>
            <w:shd w:val="clear" w:color="000000" w:fill="FFFFFF"/>
            <w:vAlign w:val="center"/>
          </w:tcPr>
          <w:p>
            <w:pPr>
              <w:autoSpaceDE w:val="0"/>
              <w:autoSpaceDN w:val="0"/>
              <w:adjustRightInd w:val="0"/>
              <w:spacing w:before="100" w:after="100" w:line="400" w:lineRule="exact"/>
              <w:rPr>
                <w:rFonts w:ascii="宋体" w:hAnsi="Cambria" w:cs="宋体"/>
                <w:color w:val="auto"/>
                <w:kern w:val="0"/>
                <w:sz w:val="24"/>
                <w:szCs w:val="28"/>
                <w:highlight w:val="none"/>
                <w:lang w:val="zh-CN"/>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before="100" w:after="100" w:line="400" w:lineRule="exact"/>
              <w:ind w:firstLine="480"/>
              <w:jc w:val="center"/>
              <w:rPr>
                <w:rFonts w:ascii="宋体" w:hAnsi="Cambria" w:cs="宋体"/>
                <w:color w:val="auto"/>
                <w:kern w:val="0"/>
                <w:sz w:val="24"/>
                <w:szCs w:val="28"/>
                <w:highlight w:val="none"/>
                <w:lang w:val="zh-CN"/>
              </w:rPr>
            </w:pPr>
            <w:r>
              <w:rPr>
                <w:rFonts w:ascii="宋体" w:hAnsi="Cambria" w:cs="宋体"/>
                <w:color w:val="auto"/>
                <w:kern w:val="0"/>
                <w:sz w:val="24"/>
                <w:szCs w:val="28"/>
                <w:highlight w:val="none"/>
                <w:lang w:val="zh-CN"/>
              </w:rPr>
              <w:t> </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before="100" w:after="100" w:line="400" w:lineRule="exact"/>
              <w:ind w:firstLine="480"/>
              <w:jc w:val="center"/>
              <w:rPr>
                <w:rFonts w:ascii="宋体" w:hAnsi="Cambria" w:cs="宋体"/>
                <w:color w:val="auto"/>
                <w:kern w:val="0"/>
                <w:sz w:val="24"/>
                <w:szCs w:val="28"/>
                <w:highlight w:val="none"/>
                <w:lang w:val="zh-CN"/>
              </w:rPr>
            </w:pPr>
            <w:r>
              <w:rPr>
                <w:rFonts w:ascii="宋体" w:hAnsi="Cambria" w:cs="宋体"/>
                <w:color w:val="auto"/>
                <w:kern w:val="0"/>
                <w:sz w:val="24"/>
                <w:szCs w:val="28"/>
                <w:highlight w:val="none"/>
                <w:lang w:val="zh-CN"/>
              </w:rPr>
              <w:t> </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before="100" w:after="100" w:line="400" w:lineRule="exact"/>
              <w:ind w:firstLine="480"/>
              <w:jc w:val="center"/>
              <w:rPr>
                <w:rFonts w:ascii="宋体" w:hAnsi="Cambria" w:cs="宋体"/>
                <w:color w:val="auto"/>
                <w:kern w:val="0"/>
                <w:sz w:val="24"/>
                <w:szCs w:val="28"/>
                <w:highlight w:val="none"/>
                <w:lang w:val="zh-CN"/>
              </w:rPr>
            </w:pPr>
            <w:r>
              <w:rPr>
                <w:rFonts w:ascii="宋体" w:hAnsi="Cambria" w:cs="宋体"/>
                <w:color w:val="auto"/>
                <w:kern w:val="0"/>
                <w:sz w:val="24"/>
                <w:szCs w:val="28"/>
                <w:highlight w:val="none"/>
                <w:lang w:val="zh-CN"/>
              </w:rPr>
              <w:t> </w:t>
            </w:r>
          </w:p>
        </w:tc>
        <w:tc>
          <w:tcPr>
            <w:tcW w:w="1240" w:type="dxa"/>
            <w:tcBorders>
              <w:top w:val="single" w:color="000000" w:sz="6" w:space="0"/>
              <w:left w:val="single" w:color="000000" w:sz="6" w:space="0"/>
              <w:bottom w:val="single" w:color="000000" w:sz="6" w:space="0"/>
              <w:right w:val="single" w:color="000000" w:sz="8" w:space="0"/>
            </w:tcBorders>
            <w:shd w:val="clear" w:color="000000" w:fill="FFFFFF"/>
            <w:vAlign w:val="center"/>
          </w:tcPr>
          <w:p>
            <w:pPr>
              <w:autoSpaceDE w:val="0"/>
              <w:autoSpaceDN w:val="0"/>
              <w:adjustRightInd w:val="0"/>
              <w:spacing w:before="100" w:after="100" w:line="400" w:lineRule="exact"/>
              <w:ind w:firstLine="480"/>
              <w:jc w:val="center"/>
              <w:rPr>
                <w:rFonts w:ascii="宋体" w:hAnsi="Cambria" w:cs="宋体"/>
                <w:color w:val="auto"/>
                <w:kern w:val="0"/>
                <w:sz w:val="24"/>
                <w:szCs w:val="28"/>
                <w:highlight w:val="none"/>
                <w:lang w:val="zh-CN"/>
              </w:rPr>
            </w:pPr>
            <w:r>
              <w:rPr>
                <w:rFonts w:ascii="宋体" w:hAnsi="Cambria" w:cs="宋体"/>
                <w:color w:val="auto"/>
                <w:kern w:val="0"/>
                <w:sz w:val="24"/>
                <w:szCs w:val="28"/>
                <w:highlight w:val="none"/>
                <w:lang w:val="zh-CN"/>
              </w:rPr>
              <w:t> </w:t>
            </w:r>
          </w:p>
        </w:tc>
      </w:tr>
      <w:tr>
        <w:tblPrEx>
          <w:tblCellMar>
            <w:top w:w="0" w:type="dxa"/>
            <w:left w:w="28" w:type="dxa"/>
            <w:bottom w:w="0" w:type="dxa"/>
            <w:right w:w="28" w:type="dxa"/>
          </w:tblCellMar>
        </w:tblPrEx>
        <w:trPr>
          <w:trHeight w:val="90" w:hRule="atLeast"/>
          <w:jc w:val="center"/>
        </w:trPr>
        <w:tc>
          <w:tcPr>
            <w:tcW w:w="604" w:type="dxa"/>
            <w:tcBorders>
              <w:top w:val="single" w:color="000000" w:sz="6" w:space="0"/>
              <w:left w:val="single" w:color="000000" w:sz="8" w:space="0"/>
              <w:bottom w:val="single" w:color="000000" w:sz="6" w:space="0"/>
              <w:right w:val="single" w:color="000000" w:sz="6" w:space="0"/>
            </w:tcBorders>
            <w:shd w:val="clear" w:color="000000" w:fill="FFFFFF"/>
            <w:vAlign w:val="center"/>
          </w:tcPr>
          <w:p>
            <w:pPr>
              <w:autoSpaceDE w:val="0"/>
              <w:autoSpaceDN w:val="0"/>
              <w:adjustRightInd w:val="0"/>
              <w:spacing w:before="100" w:after="100" w:line="400" w:lineRule="exact"/>
              <w:ind w:firstLine="199"/>
              <w:jc w:val="center"/>
              <w:rPr>
                <w:rFonts w:ascii="宋体" w:hAnsi="Cambria" w:cs="宋体"/>
                <w:color w:val="auto"/>
                <w:kern w:val="0"/>
                <w:sz w:val="24"/>
                <w:szCs w:val="28"/>
                <w:highlight w:val="none"/>
                <w:lang w:val="zh-CN"/>
              </w:rPr>
            </w:pPr>
            <w:r>
              <w:rPr>
                <w:rFonts w:ascii="宋体" w:hAnsi="Cambria" w:cs="宋体"/>
                <w:color w:val="auto"/>
                <w:kern w:val="0"/>
                <w:sz w:val="24"/>
                <w:szCs w:val="28"/>
                <w:highlight w:val="none"/>
                <w:lang w:val="zh-CN"/>
              </w:rPr>
              <w:t>4</w:t>
            </w:r>
          </w:p>
        </w:tc>
        <w:tc>
          <w:tcPr>
            <w:tcW w:w="1069"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before="100" w:after="100" w:line="400" w:lineRule="exact"/>
              <w:ind w:firstLine="480"/>
              <w:jc w:val="center"/>
              <w:rPr>
                <w:rFonts w:ascii="宋体" w:hAnsi="Cambria" w:cs="宋体"/>
                <w:color w:val="auto"/>
                <w:kern w:val="0"/>
                <w:sz w:val="24"/>
                <w:szCs w:val="28"/>
                <w:highlight w:val="none"/>
                <w:lang w:val="zh-CN"/>
              </w:rPr>
            </w:pPr>
            <w:r>
              <w:rPr>
                <w:rFonts w:ascii="宋体" w:hAnsi="Cambria" w:cs="宋体"/>
                <w:color w:val="auto"/>
                <w:kern w:val="0"/>
                <w:sz w:val="24"/>
                <w:szCs w:val="28"/>
                <w:highlight w:val="none"/>
                <w:lang w:val="zh-CN"/>
              </w:rPr>
              <w:t> </w:t>
            </w:r>
          </w:p>
        </w:tc>
        <w:tc>
          <w:tcPr>
            <w:tcW w:w="1134" w:type="dxa"/>
            <w:tcBorders>
              <w:top w:val="single" w:color="000000" w:sz="6" w:space="0"/>
              <w:left w:val="single" w:color="000000" w:sz="6" w:space="0"/>
              <w:bottom w:val="single" w:color="000000" w:sz="6" w:space="0"/>
              <w:right w:val="single" w:color="auto" w:sz="4" w:space="0"/>
            </w:tcBorders>
            <w:shd w:val="clear" w:color="000000" w:fill="FFFFFF"/>
            <w:vAlign w:val="center"/>
          </w:tcPr>
          <w:p>
            <w:pPr>
              <w:autoSpaceDE w:val="0"/>
              <w:autoSpaceDN w:val="0"/>
              <w:adjustRightInd w:val="0"/>
              <w:spacing w:before="100" w:after="100" w:line="400" w:lineRule="exact"/>
              <w:jc w:val="center"/>
              <w:rPr>
                <w:rFonts w:ascii="宋体" w:hAnsi="Cambria" w:cs="宋体"/>
                <w:color w:val="auto"/>
                <w:kern w:val="0"/>
                <w:sz w:val="24"/>
                <w:szCs w:val="28"/>
                <w:highlight w:val="none"/>
                <w:lang w:val="zh-CN"/>
              </w:rPr>
            </w:pPr>
          </w:p>
        </w:tc>
        <w:tc>
          <w:tcPr>
            <w:tcW w:w="851" w:type="dxa"/>
            <w:tcBorders>
              <w:top w:val="single" w:color="000000" w:sz="6" w:space="0"/>
              <w:left w:val="single" w:color="auto" w:sz="4" w:space="0"/>
              <w:bottom w:val="single" w:color="000000" w:sz="6" w:space="0"/>
              <w:right w:val="single" w:color="000000" w:sz="6" w:space="0"/>
            </w:tcBorders>
            <w:shd w:val="clear" w:color="000000" w:fill="FFFFFF"/>
            <w:vAlign w:val="center"/>
          </w:tcPr>
          <w:p>
            <w:pPr>
              <w:autoSpaceDE w:val="0"/>
              <w:autoSpaceDN w:val="0"/>
              <w:adjustRightInd w:val="0"/>
              <w:spacing w:before="100" w:after="100" w:line="400" w:lineRule="exact"/>
              <w:jc w:val="center"/>
              <w:rPr>
                <w:rFonts w:ascii="宋体" w:hAnsi="Cambria" w:cs="宋体"/>
                <w:color w:val="auto"/>
                <w:kern w:val="0"/>
                <w:sz w:val="24"/>
                <w:szCs w:val="28"/>
                <w:highlight w:val="none"/>
                <w:lang w:val="zh-CN"/>
              </w:rPr>
            </w:pPr>
            <w:r>
              <w:rPr>
                <w:rFonts w:ascii="宋体" w:hAnsi="Cambria" w:cs="宋体"/>
                <w:color w:val="auto"/>
                <w:kern w:val="0"/>
                <w:sz w:val="24"/>
                <w:szCs w:val="28"/>
                <w:highlight w:val="none"/>
                <w:lang w:val="zh-CN"/>
              </w:rPr>
              <w:t>  </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before="100" w:after="100" w:line="400" w:lineRule="exact"/>
              <w:ind w:firstLine="480"/>
              <w:jc w:val="center"/>
              <w:rPr>
                <w:rFonts w:ascii="宋体" w:hAnsi="Cambria" w:cs="宋体"/>
                <w:color w:val="auto"/>
                <w:kern w:val="0"/>
                <w:sz w:val="24"/>
                <w:szCs w:val="28"/>
                <w:highlight w:val="none"/>
                <w:lang w:val="zh-CN"/>
              </w:rPr>
            </w:pPr>
            <w:r>
              <w:rPr>
                <w:rFonts w:ascii="宋体" w:hAnsi="Cambria" w:cs="宋体"/>
                <w:color w:val="auto"/>
                <w:kern w:val="0"/>
                <w:sz w:val="24"/>
                <w:szCs w:val="28"/>
                <w:highlight w:val="none"/>
                <w:lang w:val="zh-CN"/>
              </w:rPr>
              <w:t> </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before="100" w:after="100" w:line="400" w:lineRule="exact"/>
              <w:ind w:firstLine="480"/>
              <w:jc w:val="center"/>
              <w:rPr>
                <w:rFonts w:ascii="宋体" w:hAnsi="Cambria" w:cs="宋体"/>
                <w:color w:val="auto"/>
                <w:kern w:val="0"/>
                <w:sz w:val="24"/>
                <w:szCs w:val="28"/>
                <w:highlight w:val="none"/>
                <w:lang w:val="zh-CN"/>
              </w:rPr>
            </w:pPr>
            <w:r>
              <w:rPr>
                <w:rFonts w:ascii="宋体" w:hAnsi="Cambria" w:cs="宋体"/>
                <w:color w:val="auto"/>
                <w:kern w:val="0"/>
                <w:sz w:val="24"/>
                <w:szCs w:val="28"/>
                <w:highlight w:val="none"/>
                <w:lang w:val="zh-CN"/>
              </w:rPr>
              <w:t> </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before="100" w:after="100" w:line="400" w:lineRule="exact"/>
              <w:ind w:firstLine="480"/>
              <w:jc w:val="center"/>
              <w:rPr>
                <w:rFonts w:ascii="宋体" w:hAnsi="Cambria" w:cs="宋体"/>
                <w:color w:val="auto"/>
                <w:kern w:val="0"/>
                <w:sz w:val="24"/>
                <w:szCs w:val="28"/>
                <w:highlight w:val="none"/>
                <w:lang w:val="zh-CN"/>
              </w:rPr>
            </w:pPr>
            <w:r>
              <w:rPr>
                <w:rFonts w:ascii="宋体" w:hAnsi="Cambria" w:cs="宋体"/>
                <w:color w:val="auto"/>
                <w:kern w:val="0"/>
                <w:sz w:val="24"/>
                <w:szCs w:val="28"/>
                <w:highlight w:val="none"/>
                <w:lang w:val="zh-CN"/>
              </w:rPr>
              <w:t> </w:t>
            </w:r>
          </w:p>
        </w:tc>
        <w:tc>
          <w:tcPr>
            <w:tcW w:w="1240" w:type="dxa"/>
            <w:tcBorders>
              <w:top w:val="single" w:color="000000" w:sz="6" w:space="0"/>
              <w:left w:val="single" w:color="000000" w:sz="6" w:space="0"/>
              <w:bottom w:val="single" w:color="000000" w:sz="6" w:space="0"/>
              <w:right w:val="single" w:color="000000" w:sz="8" w:space="0"/>
            </w:tcBorders>
            <w:shd w:val="clear" w:color="000000" w:fill="FFFFFF"/>
            <w:vAlign w:val="center"/>
          </w:tcPr>
          <w:p>
            <w:pPr>
              <w:autoSpaceDE w:val="0"/>
              <w:autoSpaceDN w:val="0"/>
              <w:adjustRightInd w:val="0"/>
              <w:spacing w:before="100" w:after="100" w:line="400" w:lineRule="exact"/>
              <w:ind w:firstLine="480"/>
              <w:jc w:val="center"/>
              <w:rPr>
                <w:rFonts w:ascii="宋体" w:hAnsi="Cambria" w:cs="宋体"/>
                <w:color w:val="auto"/>
                <w:kern w:val="0"/>
                <w:sz w:val="24"/>
                <w:szCs w:val="28"/>
                <w:highlight w:val="none"/>
                <w:lang w:val="zh-CN"/>
              </w:rPr>
            </w:pPr>
            <w:r>
              <w:rPr>
                <w:rFonts w:ascii="宋体" w:hAnsi="Cambria" w:cs="宋体"/>
                <w:color w:val="auto"/>
                <w:kern w:val="0"/>
                <w:sz w:val="24"/>
                <w:szCs w:val="28"/>
                <w:highlight w:val="none"/>
                <w:lang w:val="zh-CN"/>
              </w:rPr>
              <w:t> </w:t>
            </w:r>
          </w:p>
        </w:tc>
      </w:tr>
      <w:tr>
        <w:tblPrEx>
          <w:tblCellMar>
            <w:top w:w="0" w:type="dxa"/>
            <w:left w:w="28" w:type="dxa"/>
            <w:bottom w:w="0" w:type="dxa"/>
            <w:right w:w="28" w:type="dxa"/>
          </w:tblCellMar>
        </w:tblPrEx>
        <w:trPr>
          <w:trHeight w:val="90" w:hRule="atLeast"/>
          <w:jc w:val="center"/>
        </w:trPr>
        <w:tc>
          <w:tcPr>
            <w:tcW w:w="604" w:type="dxa"/>
            <w:tcBorders>
              <w:top w:val="single" w:color="000000" w:sz="6" w:space="0"/>
              <w:left w:val="single" w:color="000000" w:sz="8" w:space="0"/>
              <w:bottom w:val="single" w:color="000000" w:sz="6" w:space="0"/>
              <w:right w:val="single" w:color="000000" w:sz="6" w:space="0"/>
            </w:tcBorders>
            <w:shd w:val="clear" w:color="000000" w:fill="FFFFFF"/>
            <w:vAlign w:val="center"/>
          </w:tcPr>
          <w:p>
            <w:pPr>
              <w:autoSpaceDE w:val="0"/>
              <w:autoSpaceDN w:val="0"/>
              <w:adjustRightInd w:val="0"/>
              <w:spacing w:before="100" w:after="100" w:line="400" w:lineRule="exact"/>
              <w:ind w:firstLine="199"/>
              <w:jc w:val="center"/>
              <w:rPr>
                <w:rFonts w:ascii="宋体" w:hAnsi="Cambria" w:cs="宋体"/>
                <w:color w:val="auto"/>
                <w:kern w:val="0"/>
                <w:sz w:val="24"/>
                <w:szCs w:val="28"/>
                <w:highlight w:val="none"/>
                <w:lang w:val="zh-CN"/>
              </w:rPr>
            </w:pPr>
            <w:r>
              <w:rPr>
                <w:rFonts w:hint="eastAsia" w:ascii="宋体" w:hAnsi="Cambria" w:cs="宋体"/>
                <w:color w:val="auto"/>
                <w:kern w:val="0"/>
                <w:sz w:val="24"/>
                <w:szCs w:val="28"/>
                <w:highlight w:val="none"/>
                <w:lang w:val="zh-CN"/>
              </w:rPr>
              <w:t>…</w:t>
            </w:r>
          </w:p>
        </w:tc>
        <w:tc>
          <w:tcPr>
            <w:tcW w:w="1069"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before="100" w:after="100" w:line="400" w:lineRule="exact"/>
              <w:ind w:firstLine="480"/>
              <w:jc w:val="center"/>
              <w:rPr>
                <w:rFonts w:ascii="宋体" w:hAnsi="Cambria" w:cs="宋体"/>
                <w:color w:val="auto"/>
                <w:kern w:val="0"/>
                <w:sz w:val="24"/>
                <w:szCs w:val="28"/>
                <w:highlight w:val="none"/>
                <w:lang w:val="zh-CN"/>
              </w:rPr>
            </w:pPr>
            <w:r>
              <w:rPr>
                <w:rFonts w:ascii="宋体" w:hAnsi="Cambria" w:cs="宋体"/>
                <w:color w:val="auto"/>
                <w:kern w:val="0"/>
                <w:sz w:val="24"/>
                <w:szCs w:val="28"/>
                <w:highlight w:val="none"/>
                <w:lang w:val="zh-CN"/>
              </w:rPr>
              <w:t> </w:t>
            </w:r>
          </w:p>
        </w:tc>
        <w:tc>
          <w:tcPr>
            <w:tcW w:w="1134" w:type="dxa"/>
            <w:tcBorders>
              <w:top w:val="single" w:color="000000" w:sz="6" w:space="0"/>
              <w:left w:val="single" w:color="000000" w:sz="6" w:space="0"/>
              <w:bottom w:val="single" w:color="000000" w:sz="6" w:space="0"/>
              <w:right w:val="single" w:color="auto" w:sz="4" w:space="0"/>
            </w:tcBorders>
            <w:shd w:val="clear" w:color="000000" w:fill="FFFFFF"/>
            <w:vAlign w:val="center"/>
          </w:tcPr>
          <w:p>
            <w:pPr>
              <w:autoSpaceDE w:val="0"/>
              <w:autoSpaceDN w:val="0"/>
              <w:adjustRightInd w:val="0"/>
              <w:spacing w:before="100" w:after="100" w:line="400" w:lineRule="exact"/>
              <w:jc w:val="center"/>
              <w:rPr>
                <w:rFonts w:ascii="宋体" w:hAnsi="Cambria" w:cs="宋体"/>
                <w:color w:val="auto"/>
                <w:kern w:val="0"/>
                <w:sz w:val="24"/>
                <w:szCs w:val="28"/>
                <w:highlight w:val="none"/>
                <w:lang w:val="zh-CN"/>
              </w:rPr>
            </w:pPr>
          </w:p>
        </w:tc>
        <w:tc>
          <w:tcPr>
            <w:tcW w:w="851" w:type="dxa"/>
            <w:tcBorders>
              <w:top w:val="single" w:color="000000" w:sz="6" w:space="0"/>
              <w:left w:val="single" w:color="auto" w:sz="4" w:space="0"/>
              <w:bottom w:val="single" w:color="000000" w:sz="6" w:space="0"/>
              <w:right w:val="single" w:color="000000" w:sz="6" w:space="0"/>
            </w:tcBorders>
            <w:shd w:val="clear" w:color="000000" w:fill="FFFFFF"/>
            <w:vAlign w:val="center"/>
          </w:tcPr>
          <w:p>
            <w:pPr>
              <w:autoSpaceDE w:val="0"/>
              <w:autoSpaceDN w:val="0"/>
              <w:adjustRightInd w:val="0"/>
              <w:spacing w:before="100" w:after="100" w:line="400" w:lineRule="exact"/>
              <w:jc w:val="center"/>
              <w:rPr>
                <w:rFonts w:ascii="宋体" w:hAnsi="Cambria" w:cs="宋体"/>
                <w:color w:val="auto"/>
                <w:kern w:val="0"/>
                <w:sz w:val="24"/>
                <w:szCs w:val="28"/>
                <w:highlight w:val="none"/>
                <w:lang w:val="zh-CN"/>
              </w:rPr>
            </w:pPr>
            <w:r>
              <w:rPr>
                <w:rFonts w:ascii="宋体" w:hAnsi="Cambria" w:cs="宋体"/>
                <w:color w:val="auto"/>
                <w:kern w:val="0"/>
                <w:sz w:val="24"/>
                <w:szCs w:val="28"/>
                <w:highlight w:val="none"/>
                <w:lang w:val="zh-CN"/>
              </w:rPr>
              <w:t>   </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before="100" w:after="100" w:line="400" w:lineRule="exact"/>
              <w:ind w:firstLine="480"/>
              <w:jc w:val="center"/>
              <w:rPr>
                <w:rFonts w:ascii="宋体" w:hAnsi="Cambria" w:cs="宋体"/>
                <w:color w:val="auto"/>
                <w:kern w:val="0"/>
                <w:sz w:val="24"/>
                <w:szCs w:val="28"/>
                <w:highlight w:val="none"/>
                <w:lang w:val="zh-CN"/>
              </w:rPr>
            </w:pPr>
            <w:r>
              <w:rPr>
                <w:rFonts w:ascii="宋体" w:hAnsi="Cambria" w:cs="宋体"/>
                <w:color w:val="auto"/>
                <w:kern w:val="0"/>
                <w:sz w:val="24"/>
                <w:szCs w:val="28"/>
                <w:highlight w:val="none"/>
                <w:lang w:val="zh-CN"/>
              </w:rPr>
              <w:t> </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before="100" w:after="100" w:line="400" w:lineRule="exact"/>
              <w:ind w:firstLine="480"/>
              <w:jc w:val="center"/>
              <w:rPr>
                <w:rFonts w:ascii="宋体" w:hAnsi="Cambria" w:cs="宋体"/>
                <w:color w:val="auto"/>
                <w:kern w:val="0"/>
                <w:sz w:val="24"/>
                <w:szCs w:val="28"/>
                <w:highlight w:val="none"/>
                <w:lang w:val="zh-CN"/>
              </w:rPr>
            </w:pPr>
            <w:r>
              <w:rPr>
                <w:rFonts w:ascii="宋体" w:hAnsi="Cambria" w:cs="宋体"/>
                <w:color w:val="auto"/>
                <w:kern w:val="0"/>
                <w:sz w:val="24"/>
                <w:szCs w:val="28"/>
                <w:highlight w:val="none"/>
                <w:lang w:val="zh-CN"/>
              </w:rPr>
              <w:t> </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before="100" w:after="100" w:line="400" w:lineRule="exact"/>
              <w:ind w:firstLine="480"/>
              <w:jc w:val="center"/>
              <w:rPr>
                <w:rFonts w:ascii="宋体" w:hAnsi="Cambria" w:cs="宋体"/>
                <w:color w:val="auto"/>
                <w:kern w:val="0"/>
                <w:sz w:val="24"/>
                <w:szCs w:val="28"/>
                <w:highlight w:val="none"/>
                <w:lang w:val="zh-CN"/>
              </w:rPr>
            </w:pPr>
            <w:r>
              <w:rPr>
                <w:rFonts w:ascii="宋体" w:hAnsi="Cambria" w:cs="宋体"/>
                <w:color w:val="auto"/>
                <w:kern w:val="0"/>
                <w:sz w:val="24"/>
                <w:szCs w:val="28"/>
                <w:highlight w:val="none"/>
                <w:lang w:val="zh-CN"/>
              </w:rPr>
              <w:t> </w:t>
            </w:r>
          </w:p>
        </w:tc>
        <w:tc>
          <w:tcPr>
            <w:tcW w:w="1240" w:type="dxa"/>
            <w:tcBorders>
              <w:top w:val="single" w:color="000000" w:sz="6" w:space="0"/>
              <w:left w:val="single" w:color="000000" w:sz="6" w:space="0"/>
              <w:bottom w:val="single" w:color="000000" w:sz="6" w:space="0"/>
              <w:right w:val="single" w:color="000000" w:sz="8" w:space="0"/>
            </w:tcBorders>
            <w:shd w:val="clear" w:color="000000" w:fill="FFFFFF"/>
            <w:vAlign w:val="center"/>
          </w:tcPr>
          <w:p>
            <w:pPr>
              <w:autoSpaceDE w:val="0"/>
              <w:autoSpaceDN w:val="0"/>
              <w:adjustRightInd w:val="0"/>
              <w:spacing w:before="100" w:after="100" w:line="400" w:lineRule="exact"/>
              <w:ind w:firstLine="480"/>
              <w:jc w:val="center"/>
              <w:rPr>
                <w:rFonts w:ascii="宋体" w:hAnsi="Cambria" w:cs="宋体"/>
                <w:color w:val="auto"/>
                <w:kern w:val="0"/>
                <w:sz w:val="24"/>
                <w:szCs w:val="28"/>
                <w:highlight w:val="none"/>
                <w:lang w:val="zh-CN"/>
              </w:rPr>
            </w:pPr>
            <w:r>
              <w:rPr>
                <w:rFonts w:ascii="宋体" w:hAnsi="Cambria" w:cs="宋体"/>
                <w:color w:val="auto"/>
                <w:kern w:val="0"/>
                <w:sz w:val="24"/>
                <w:szCs w:val="28"/>
                <w:highlight w:val="none"/>
                <w:lang w:val="zh-CN"/>
              </w:rPr>
              <w:t> </w:t>
            </w:r>
          </w:p>
        </w:tc>
      </w:tr>
      <w:tr>
        <w:tblPrEx>
          <w:tblCellMar>
            <w:top w:w="0" w:type="dxa"/>
            <w:left w:w="28" w:type="dxa"/>
            <w:bottom w:w="0" w:type="dxa"/>
            <w:right w:w="28" w:type="dxa"/>
          </w:tblCellMar>
        </w:tblPrEx>
        <w:trPr>
          <w:trHeight w:val="90" w:hRule="atLeast"/>
          <w:jc w:val="center"/>
        </w:trPr>
        <w:tc>
          <w:tcPr>
            <w:tcW w:w="8300" w:type="dxa"/>
            <w:gridSpan w:val="8"/>
            <w:tcBorders>
              <w:top w:val="single" w:color="000000" w:sz="6" w:space="0"/>
              <w:left w:val="single" w:color="000000" w:sz="8" w:space="0"/>
              <w:bottom w:val="single" w:color="000000" w:sz="6" w:space="0"/>
              <w:right w:val="single" w:color="000000" w:sz="8" w:space="0"/>
            </w:tcBorders>
            <w:shd w:val="clear" w:color="000000" w:fill="FFFFFF"/>
            <w:vAlign w:val="center"/>
          </w:tcPr>
          <w:p>
            <w:pPr>
              <w:autoSpaceDE w:val="0"/>
              <w:autoSpaceDN w:val="0"/>
              <w:adjustRightInd w:val="0"/>
              <w:spacing w:before="100" w:after="100" w:line="400" w:lineRule="exact"/>
              <w:jc w:val="left"/>
              <w:rPr>
                <w:rFonts w:ascii="宋体" w:hAnsi="Cambria" w:cs="宋体"/>
                <w:color w:val="auto"/>
                <w:kern w:val="0"/>
                <w:sz w:val="24"/>
                <w:szCs w:val="28"/>
                <w:highlight w:val="none"/>
                <w:lang w:val="zh-CN"/>
              </w:rPr>
            </w:pPr>
            <w:r>
              <w:rPr>
                <w:rFonts w:hint="eastAsia" w:ascii="宋体" w:hAnsi="Cambria" w:cs="宋体"/>
                <w:color w:val="auto"/>
                <w:kern w:val="0"/>
                <w:sz w:val="24"/>
                <w:szCs w:val="28"/>
                <w:highlight w:val="none"/>
                <w:lang w:val="zh-CN"/>
              </w:rPr>
              <w:t>优惠承诺及其他：</w:t>
            </w:r>
          </w:p>
          <w:p>
            <w:pPr>
              <w:autoSpaceDE w:val="0"/>
              <w:autoSpaceDN w:val="0"/>
              <w:adjustRightInd w:val="0"/>
              <w:spacing w:before="100" w:after="100" w:line="400" w:lineRule="exact"/>
              <w:ind w:firstLine="480"/>
              <w:jc w:val="left"/>
              <w:rPr>
                <w:rFonts w:ascii="宋体" w:hAnsi="Cambria" w:cs="宋体"/>
                <w:color w:val="auto"/>
                <w:kern w:val="0"/>
                <w:sz w:val="24"/>
                <w:szCs w:val="28"/>
                <w:highlight w:val="none"/>
                <w:lang w:val="zh-CN"/>
              </w:rPr>
            </w:pPr>
            <w:r>
              <w:rPr>
                <w:rFonts w:ascii="宋体" w:hAnsi="Cambria" w:cs="宋体"/>
                <w:color w:val="auto"/>
                <w:kern w:val="0"/>
                <w:sz w:val="24"/>
                <w:szCs w:val="28"/>
                <w:highlight w:val="none"/>
                <w:lang w:val="zh-CN"/>
              </w:rPr>
              <w:t> </w:t>
            </w:r>
          </w:p>
        </w:tc>
      </w:tr>
      <w:tr>
        <w:tblPrEx>
          <w:tblCellMar>
            <w:top w:w="0" w:type="dxa"/>
            <w:left w:w="28" w:type="dxa"/>
            <w:bottom w:w="0" w:type="dxa"/>
            <w:right w:w="28" w:type="dxa"/>
          </w:tblCellMar>
        </w:tblPrEx>
        <w:trPr>
          <w:trHeight w:val="90" w:hRule="atLeast"/>
          <w:jc w:val="center"/>
        </w:trPr>
        <w:tc>
          <w:tcPr>
            <w:tcW w:w="1673" w:type="dxa"/>
            <w:gridSpan w:val="2"/>
            <w:tcBorders>
              <w:top w:val="single" w:color="000000" w:sz="6" w:space="0"/>
              <w:left w:val="single" w:color="000000" w:sz="8" w:space="0"/>
              <w:bottom w:val="single" w:color="000000" w:sz="8" w:space="0"/>
              <w:right w:val="single" w:color="000000" w:sz="6" w:space="0"/>
            </w:tcBorders>
            <w:shd w:val="clear" w:color="000000" w:fill="FFFFFF"/>
            <w:vAlign w:val="center"/>
          </w:tcPr>
          <w:p>
            <w:pPr>
              <w:autoSpaceDE w:val="0"/>
              <w:autoSpaceDN w:val="0"/>
              <w:adjustRightInd w:val="0"/>
              <w:spacing w:before="100" w:after="100" w:line="400" w:lineRule="exact"/>
              <w:ind w:firstLine="480"/>
              <w:jc w:val="left"/>
              <w:rPr>
                <w:rFonts w:ascii="宋体" w:hAnsi="Cambria" w:cs="宋体"/>
                <w:color w:val="auto"/>
                <w:kern w:val="0"/>
                <w:sz w:val="24"/>
                <w:szCs w:val="28"/>
                <w:highlight w:val="none"/>
                <w:lang w:val="zh-CN"/>
              </w:rPr>
            </w:pPr>
            <w:r>
              <w:rPr>
                <w:rFonts w:hint="eastAsia" w:ascii="宋体" w:hAnsi="Cambria" w:cs="宋体"/>
                <w:color w:val="auto"/>
                <w:kern w:val="0"/>
                <w:sz w:val="24"/>
                <w:szCs w:val="28"/>
                <w:highlight w:val="none"/>
                <w:lang w:val="zh-CN"/>
              </w:rPr>
              <w:t>报价总价</w:t>
            </w:r>
          </w:p>
        </w:tc>
        <w:tc>
          <w:tcPr>
            <w:tcW w:w="6627" w:type="dxa"/>
            <w:gridSpan w:val="6"/>
            <w:tcBorders>
              <w:top w:val="single" w:color="000000" w:sz="6" w:space="0"/>
              <w:left w:val="single" w:color="000000" w:sz="6" w:space="0"/>
              <w:bottom w:val="single" w:color="000000" w:sz="8" w:space="0"/>
              <w:right w:val="single" w:color="000000" w:sz="8" w:space="0"/>
            </w:tcBorders>
            <w:shd w:val="clear" w:color="000000" w:fill="FFFFFF"/>
            <w:vAlign w:val="center"/>
          </w:tcPr>
          <w:p>
            <w:pPr>
              <w:autoSpaceDE w:val="0"/>
              <w:autoSpaceDN w:val="0"/>
              <w:adjustRightInd w:val="0"/>
              <w:spacing w:line="400" w:lineRule="exact"/>
              <w:jc w:val="left"/>
              <w:rPr>
                <w:rFonts w:ascii="宋体" w:hAnsi="Cambria" w:cs="宋体"/>
                <w:color w:val="auto"/>
                <w:kern w:val="0"/>
                <w:sz w:val="24"/>
                <w:szCs w:val="28"/>
                <w:highlight w:val="none"/>
                <w:lang w:val="zh-CN"/>
              </w:rPr>
            </w:pPr>
            <w:r>
              <w:rPr>
                <w:rFonts w:hint="eastAsia" w:ascii="宋体" w:hAnsi="Cambria" w:cs="宋体"/>
                <w:color w:val="auto"/>
                <w:kern w:val="0"/>
                <w:sz w:val="24"/>
                <w:szCs w:val="28"/>
                <w:highlight w:val="none"/>
                <w:lang w:val="zh-CN"/>
              </w:rPr>
              <w:t>大写：</w:t>
            </w:r>
            <w:r>
              <w:rPr>
                <w:rFonts w:ascii="宋体" w:hAnsi="Cambria" w:cs="宋体"/>
                <w:color w:val="auto"/>
                <w:kern w:val="0"/>
                <w:sz w:val="24"/>
                <w:szCs w:val="28"/>
                <w:highlight w:val="none"/>
                <w:lang w:val="zh-CN"/>
              </w:rPr>
              <w:t>               </w:t>
            </w:r>
          </w:p>
          <w:p>
            <w:pPr>
              <w:autoSpaceDE w:val="0"/>
              <w:autoSpaceDN w:val="0"/>
              <w:adjustRightInd w:val="0"/>
              <w:spacing w:line="400" w:lineRule="exact"/>
              <w:jc w:val="left"/>
              <w:rPr>
                <w:rFonts w:ascii="宋体" w:hAnsi="Cambria" w:cs="宋体"/>
                <w:color w:val="auto"/>
                <w:kern w:val="0"/>
                <w:sz w:val="24"/>
                <w:szCs w:val="28"/>
                <w:highlight w:val="none"/>
                <w:lang w:val="zh-CN"/>
              </w:rPr>
            </w:pPr>
            <w:r>
              <w:rPr>
                <w:rFonts w:hint="eastAsia" w:ascii="宋体" w:hAnsi="Cambria" w:cs="宋体"/>
                <w:color w:val="auto"/>
                <w:kern w:val="0"/>
                <w:sz w:val="24"/>
                <w:szCs w:val="28"/>
                <w:highlight w:val="none"/>
                <w:lang w:val="zh-CN"/>
              </w:rPr>
              <w:t>小写：</w:t>
            </w:r>
          </w:p>
        </w:tc>
      </w:tr>
    </w:tbl>
    <w:p>
      <w:pPr>
        <w:autoSpaceDE w:val="0"/>
        <w:autoSpaceDN w:val="0"/>
        <w:adjustRightInd w:val="0"/>
        <w:spacing w:line="400" w:lineRule="exact"/>
        <w:rPr>
          <w:rFonts w:ascii="宋体" w:hAnsi="Cambria" w:cs="宋体"/>
          <w:color w:val="auto"/>
          <w:kern w:val="0"/>
          <w:sz w:val="24"/>
          <w:szCs w:val="28"/>
          <w:highlight w:val="none"/>
          <w:lang w:val="zh-CN"/>
        </w:rPr>
      </w:pPr>
      <w:r>
        <w:rPr>
          <w:rFonts w:hint="eastAsia" w:ascii="宋体" w:hAnsi="Cambria" w:cs="宋体"/>
          <w:color w:val="auto"/>
          <w:kern w:val="0"/>
          <w:sz w:val="24"/>
          <w:szCs w:val="28"/>
          <w:highlight w:val="none"/>
          <w:lang w:val="zh-CN"/>
        </w:rPr>
        <w:t>注：</w:t>
      </w:r>
      <w:r>
        <w:rPr>
          <w:rFonts w:ascii="宋体" w:hAnsi="Cambria" w:cs="宋体"/>
          <w:color w:val="auto"/>
          <w:kern w:val="0"/>
          <w:sz w:val="24"/>
          <w:szCs w:val="28"/>
          <w:highlight w:val="none"/>
          <w:lang w:val="zh-CN"/>
        </w:rPr>
        <w:t>1</w:t>
      </w:r>
      <w:r>
        <w:rPr>
          <w:rFonts w:hint="eastAsia" w:ascii="宋体" w:hAnsi="Cambria" w:cs="宋体"/>
          <w:color w:val="auto"/>
          <w:kern w:val="0"/>
          <w:sz w:val="24"/>
          <w:szCs w:val="28"/>
          <w:highlight w:val="none"/>
          <w:lang w:val="zh-CN"/>
        </w:rPr>
        <w:t>、本表应依照每包采购一览表中的产品序号按顺序逐项填写，不得遗漏。</w:t>
      </w:r>
    </w:p>
    <w:p>
      <w:pPr>
        <w:autoSpaceDE w:val="0"/>
        <w:autoSpaceDN w:val="0"/>
        <w:adjustRightInd w:val="0"/>
        <w:spacing w:line="400" w:lineRule="exact"/>
        <w:rPr>
          <w:rFonts w:ascii="宋体" w:hAnsi="Cambria" w:cs="宋体"/>
          <w:color w:val="auto"/>
          <w:kern w:val="0"/>
          <w:sz w:val="24"/>
          <w:szCs w:val="28"/>
          <w:highlight w:val="none"/>
          <w:lang w:val="zh-CN"/>
        </w:rPr>
      </w:pPr>
    </w:p>
    <w:p>
      <w:pPr>
        <w:autoSpaceDE w:val="0"/>
        <w:autoSpaceDN w:val="0"/>
        <w:adjustRightInd w:val="0"/>
        <w:spacing w:line="400" w:lineRule="exact"/>
        <w:rPr>
          <w:rFonts w:ascii="宋体" w:hAnsi="Cambria" w:cs="宋体"/>
          <w:color w:val="auto"/>
          <w:kern w:val="0"/>
          <w:sz w:val="24"/>
          <w:szCs w:val="28"/>
          <w:highlight w:val="none"/>
          <w:lang w:val="zh-CN"/>
        </w:rPr>
      </w:pPr>
    </w:p>
    <w:p>
      <w:pPr>
        <w:pStyle w:val="35"/>
        <w:rPr>
          <w:color w:val="auto"/>
          <w:highlight w:val="none"/>
          <w:lang w:val="zh-CN"/>
        </w:rPr>
      </w:pPr>
    </w:p>
    <w:p>
      <w:pPr>
        <w:rPr>
          <w:color w:val="auto"/>
          <w:highlight w:val="none"/>
          <w:lang w:val="zh-CN"/>
        </w:rPr>
      </w:pPr>
    </w:p>
    <w:p>
      <w:pPr>
        <w:autoSpaceDE w:val="0"/>
        <w:autoSpaceDN w:val="0"/>
        <w:adjustRightInd w:val="0"/>
        <w:spacing w:line="400" w:lineRule="exact"/>
        <w:ind w:firstLine="2771" w:firstLineChars="1150"/>
        <w:jc w:val="right"/>
        <w:rPr>
          <w:rFonts w:ascii="宋体" w:hAnsi="Cambria" w:cs="宋体"/>
          <w:b/>
          <w:bCs/>
          <w:color w:val="auto"/>
          <w:kern w:val="0"/>
          <w:sz w:val="24"/>
          <w:szCs w:val="28"/>
          <w:highlight w:val="none"/>
          <w:lang w:val="zh-CN"/>
        </w:rPr>
      </w:pPr>
      <w:r>
        <w:rPr>
          <w:rFonts w:hint="eastAsia" w:ascii="宋体" w:hAnsi="Cambria" w:cs="宋体"/>
          <w:b/>
          <w:bCs/>
          <w:color w:val="auto"/>
          <w:kern w:val="0"/>
          <w:sz w:val="24"/>
          <w:szCs w:val="28"/>
          <w:highlight w:val="none"/>
          <w:lang w:val="zh-CN"/>
        </w:rPr>
        <w:t>供应商：（公章）</w:t>
      </w:r>
    </w:p>
    <w:p>
      <w:pPr>
        <w:autoSpaceDE w:val="0"/>
        <w:autoSpaceDN w:val="0"/>
        <w:adjustRightInd w:val="0"/>
        <w:spacing w:line="400" w:lineRule="exact"/>
        <w:jc w:val="right"/>
        <w:rPr>
          <w:rFonts w:ascii="宋体" w:hAnsi="Cambria" w:cs="宋体"/>
          <w:b/>
          <w:bCs/>
          <w:color w:val="auto"/>
          <w:kern w:val="0"/>
          <w:sz w:val="24"/>
          <w:szCs w:val="28"/>
          <w:highlight w:val="none"/>
          <w:lang w:val="zh-CN"/>
        </w:rPr>
      </w:pPr>
    </w:p>
    <w:p>
      <w:pPr>
        <w:autoSpaceDE w:val="0"/>
        <w:autoSpaceDN w:val="0"/>
        <w:adjustRightInd w:val="0"/>
        <w:spacing w:line="400" w:lineRule="exact"/>
        <w:ind w:firstLine="1928" w:firstLineChars="800"/>
        <w:jc w:val="right"/>
        <w:rPr>
          <w:rFonts w:ascii="宋体" w:hAnsi="Cambria" w:cs="宋体"/>
          <w:b/>
          <w:bCs/>
          <w:color w:val="auto"/>
          <w:kern w:val="0"/>
          <w:sz w:val="24"/>
          <w:szCs w:val="28"/>
          <w:highlight w:val="none"/>
          <w:lang w:val="zh-CN"/>
        </w:rPr>
      </w:pPr>
      <w:r>
        <w:rPr>
          <w:rFonts w:hint="eastAsia" w:ascii="宋体" w:hAnsi="Cambria" w:cs="宋体"/>
          <w:b/>
          <w:bCs/>
          <w:color w:val="auto"/>
          <w:kern w:val="0"/>
          <w:sz w:val="24"/>
          <w:szCs w:val="28"/>
          <w:highlight w:val="none"/>
          <w:lang w:val="zh-CN"/>
        </w:rPr>
        <w:t>法定代表人或委托代理人：（签字）</w:t>
      </w:r>
    </w:p>
    <w:p>
      <w:pPr>
        <w:autoSpaceDE w:val="0"/>
        <w:autoSpaceDN w:val="0"/>
        <w:adjustRightInd w:val="0"/>
        <w:spacing w:line="400" w:lineRule="exact"/>
        <w:jc w:val="right"/>
        <w:rPr>
          <w:rFonts w:ascii="宋体" w:hAnsi="Cambria" w:cs="宋体"/>
          <w:b/>
          <w:bCs/>
          <w:color w:val="auto"/>
          <w:kern w:val="0"/>
          <w:sz w:val="24"/>
          <w:szCs w:val="28"/>
          <w:highlight w:val="none"/>
          <w:lang w:val="zh-CN"/>
        </w:rPr>
      </w:pPr>
    </w:p>
    <w:p>
      <w:pPr>
        <w:autoSpaceDE w:val="0"/>
        <w:autoSpaceDN w:val="0"/>
        <w:adjustRightInd w:val="0"/>
        <w:spacing w:line="400" w:lineRule="exact"/>
        <w:jc w:val="right"/>
        <w:rPr>
          <w:rFonts w:ascii="宋体" w:hAnsi="Cambria" w:cs="宋体"/>
          <w:color w:val="auto"/>
          <w:kern w:val="0"/>
          <w:sz w:val="24"/>
          <w:szCs w:val="28"/>
          <w:highlight w:val="none"/>
          <w:lang w:val="zh-CN"/>
        </w:rPr>
      </w:pPr>
      <w:r>
        <w:rPr>
          <w:rFonts w:hint="eastAsia" w:ascii="宋体" w:hAnsi="Cambria" w:cs="宋体"/>
          <w:b/>
          <w:bCs/>
          <w:color w:val="auto"/>
          <w:kern w:val="0"/>
          <w:sz w:val="24"/>
          <w:szCs w:val="28"/>
          <w:highlight w:val="none"/>
          <w:lang w:val="zh-CN"/>
        </w:rPr>
        <w:t xml:space="preserve">                                 年</w:t>
      </w:r>
      <w:r>
        <w:rPr>
          <w:rFonts w:hint="eastAsia" w:ascii="宋体" w:hAnsi="Cambria" w:cs="宋体"/>
          <w:b/>
          <w:bCs/>
          <w:color w:val="auto"/>
          <w:kern w:val="0"/>
          <w:sz w:val="24"/>
          <w:szCs w:val="28"/>
          <w:highlight w:val="none"/>
          <w:lang w:val="en-US" w:eastAsia="zh-CN"/>
        </w:rPr>
        <w:t xml:space="preserve">   </w:t>
      </w:r>
      <w:r>
        <w:rPr>
          <w:rFonts w:hint="eastAsia" w:ascii="宋体" w:hAnsi="Cambria" w:cs="宋体"/>
          <w:b/>
          <w:bCs/>
          <w:color w:val="auto"/>
          <w:kern w:val="0"/>
          <w:sz w:val="24"/>
          <w:szCs w:val="28"/>
          <w:highlight w:val="none"/>
          <w:lang w:val="zh-CN"/>
        </w:rPr>
        <w:t>月</w:t>
      </w:r>
      <w:r>
        <w:rPr>
          <w:rFonts w:hint="eastAsia" w:ascii="宋体" w:hAnsi="Cambria" w:cs="宋体"/>
          <w:b/>
          <w:bCs/>
          <w:color w:val="auto"/>
          <w:kern w:val="0"/>
          <w:sz w:val="24"/>
          <w:szCs w:val="28"/>
          <w:highlight w:val="none"/>
          <w:lang w:val="en-US" w:eastAsia="zh-CN"/>
        </w:rPr>
        <w:t xml:space="preserve">   </w:t>
      </w:r>
      <w:r>
        <w:rPr>
          <w:rFonts w:hint="eastAsia" w:ascii="宋体" w:hAnsi="Cambria" w:cs="宋体"/>
          <w:b/>
          <w:bCs/>
          <w:color w:val="auto"/>
          <w:kern w:val="0"/>
          <w:sz w:val="24"/>
          <w:szCs w:val="28"/>
          <w:highlight w:val="none"/>
          <w:lang w:val="zh-CN"/>
        </w:rPr>
        <w:t>日</w:t>
      </w:r>
    </w:p>
    <w:p>
      <w:pPr>
        <w:pStyle w:val="21"/>
        <w:rPr>
          <w:color w:val="auto"/>
          <w:sz w:val="24"/>
          <w:szCs w:val="28"/>
          <w:highlight w:val="none"/>
          <w:lang w:val="zh-CN"/>
        </w:rPr>
      </w:pPr>
    </w:p>
    <w:p>
      <w:pPr>
        <w:pStyle w:val="21"/>
        <w:rPr>
          <w:color w:val="auto"/>
          <w:highlight w:val="none"/>
          <w:lang w:val="zh-CN"/>
        </w:rPr>
      </w:pPr>
    </w:p>
    <w:p>
      <w:pPr>
        <w:pStyle w:val="21"/>
        <w:rPr>
          <w:color w:val="auto"/>
          <w:highlight w:val="none"/>
          <w:lang w:val="zh-CN"/>
        </w:rPr>
      </w:pPr>
    </w:p>
    <w:p>
      <w:pPr>
        <w:pStyle w:val="35"/>
        <w:jc w:val="left"/>
        <w:rPr>
          <w:rFonts w:ascii="宋体" w:hAnsi="宋体"/>
          <w:color w:val="auto"/>
          <w:sz w:val="32"/>
          <w:highlight w:val="none"/>
          <w:lang w:val="zh-CN"/>
        </w:rPr>
      </w:pPr>
      <w:bookmarkStart w:id="507" w:name="_Toc10730585"/>
      <w:bookmarkStart w:id="508" w:name="_Toc16592"/>
      <w:bookmarkStart w:id="509" w:name="_Toc13582345"/>
    </w:p>
    <w:p>
      <w:pPr>
        <w:pStyle w:val="35"/>
        <w:jc w:val="left"/>
        <w:rPr>
          <w:rFonts w:ascii="宋体" w:hAnsi="宋体"/>
          <w:color w:val="auto"/>
          <w:sz w:val="32"/>
          <w:highlight w:val="none"/>
          <w:lang w:val="zh-CN"/>
        </w:rPr>
      </w:pPr>
      <w:bookmarkStart w:id="510" w:name="_Toc4197"/>
      <w:bookmarkStart w:id="511" w:name="_Toc25691"/>
      <w:bookmarkStart w:id="512" w:name="_Toc1645"/>
      <w:bookmarkStart w:id="513" w:name="_Toc5377"/>
      <w:r>
        <w:rPr>
          <w:rFonts w:hint="eastAsia" w:ascii="宋体" w:hAnsi="宋体"/>
          <w:color w:val="auto"/>
          <w:sz w:val="32"/>
          <w:highlight w:val="none"/>
          <w:lang w:val="zh-CN"/>
        </w:rPr>
        <w:t>格式</w:t>
      </w:r>
      <w:r>
        <w:rPr>
          <w:rFonts w:hint="eastAsia" w:ascii="宋体" w:hAnsi="宋体"/>
          <w:color w:val="auto"/>
          <w:sz w:val="32"/>
          <w:highlight w:val="none"/>
        </w:rPr>
        <w:t>7</w:t>
      </w:r>
      <w:r>
        <w:rPr>
          <w:rFonts w:hint="eastAsia" w:ascii="宋体" w:hAnsi="宋体"/>
          <w:color w:val="auto"/>
          <w:sz w:val="32"/>
          <w:highlight w:val="none"/>
          <w:lang w:val="zh-CN"/>
        </w:rPr>
        <w:t>：响应方案</w:t>
      </w:r>
      <w:bookmarkEnd w:id="507"/>
      <w:bookmarkEnd w:id="508"/>
      <w:bookmarkEnd w:id="509"/>
      <w:bookmarkEnd w:id="510"/>
      <w:bookmarkEnd w:id="511"/>
      <w:bookmarkEnd w:id="512"/>
      <w:bookmarkEnd w:id="513"/>
    </w:p>
    <w:p>
      <w:pPr>
        <w:pStyle w:val="21"/>
        <w:rPr>
          <w:color w:val="auto"/>
          <w:highlight w:val="none"/>
          <w:lang w:val="zh-CN"/>
        </w:rPr>
      </w:pPr>
    </w:p>
    <w:p>
      <w:pPr>
        <w:autoSpaceDE w:val="0"/>
        <w:autoSpaceDN w:val="0"/>
        <w:adjustRightInd w:val="0"/>
        <w:spacing w:line="400" w:lineRule="exact"/>
        <w:jc w:val="center"/>
        <w:rPr>
          <w:rFonts w:ascii="宋体" w:hAnsi="Cambria" w:cs="宋体"/>
          <w:b/>
          <w:bCs/>
          <w:color w:val="auto"/>
          <w:kern w:val="0"/>
          <w:sz w:val="36"/>
          <w:szCs w:val="36"/>
          <w:highlight w:val="none"/>
          <w:lang w:val="zh-CN"/>
        </w:rPr>
      </w:pPr>
      <w:r>
        <w:rPr>
          <w:rFonts w:hint="eastAsia" w:ascii="宋体" w:hAnsi="Cambria" w:cs="宋体"/>
          <w:b/>
          <w:bCs/>
          <w:color w:val="auto"/>
          <w:kern w:val="0"/>
          <w:sz w:val="36"/>
          <w:szCs w:val="36"/>
          <w:highlight w:val="none"/>
          <w:lang w:val="zh-CN"/>
        </w:rPr>
        <w:t>技术规格响应表</w:t>
      </w:r>
    </w:p>
    <w:p>
      <w:pPr>
        <w:pStyle w:val="63"/>
        <w:spacing w:line="360" w:lineRule="auto"/>
        <w:rPr>
          <w:b/>
          <w:color w:val="auto"/>
          <w:highlight w:val="none"/>
        </w:rPr>
      </w:pPr>
      <w:r>
        <w:rPr>
          <w:rFonts w:hint="eastAsia"/>
          <w:b/>
          <w:color w:val="auto"/>
          <w:highlight w:val="none"/>
        </w:rPr>
        <w:t>供应商名称：                               包号：</w:t>
      </w:r>
    </w:p>
    <w:tbl>
      <w:tblPr>
        <w:tblStyle w:val="36"/>
        <w:tblW w:w="8617" w:type="dxa"/>
        <w:jc w:val="center"/>
        <w:tblLayout w:type="fixed"/>
        <w:tblCellMar>
          <w:top w:w="0" w:type="dxa"/>
          <w:left w:w="28" w:type="dxa"/>
          <w:bottom w:w="0" w:type="dxa"/>
          <w:right w:w="28" w:type="dxa"/>
        </w:tblCellMar>
      </w:tblPr>
      <w:tblGrid>
        <w:gridCol w:w="616"/>
        <w:gridCol w:w="1233"/>
        <w:gridCol w:w="2378"/>
        <w:gridCol w:w="1247"/>
        <w:gridCol w:w="2467"/>
        <w:gridCol w:w="676"/>
      </w:tblGrid>
      <w:tr>
        <w:tblPrEx>
          <w:tblCellMar>
            <w:top w:w="0" w:type="dxa"/>
            <w:left w:w="28" w:type="dxa"/>
            <w:bottom w:w="0" w:type="dxa"/>
            <w:right w:w="28" w:type="dxa"/>
          </w:tblCellMar>
        </w:tblPrEx>
        <w:trPr>
          <w:trHeight w:val="292" w:hRule="atLeast"/>
          <w:jc w:val="center"/>
        </w:trPr>
        <w:tc>
          <w:tcPr>
            <w:tcW w:w="616" w:type="dxa"/>
            <w:tcBorders>
              <w:top w:val="single" w:color="000000" w:sz="6" w:space="0"/>
              <w:left w:val="single" w:color="000000" w:sz="6" w:space="0"/>
              <w:bottom w:val="single" w:color="000000" w:sz="6" w:space="0"/>
              <w:right w:val="single" w:color="000000" w:sz="6" w:space="0"/>
            </w:tcBorders>
            <w:vAlign w:val="center"/>
          </w:tcPr>
          <w:p>
            <w:pPr>
              <w:pStyle w:val="63"/>
              <w:rPr>
                <w:color w:val="auto"/>
                <w:highlight w:val="none"/>
              </w:rPr>
            </w:pPr>
          </w:p>
        </w:tc>
        <w:tc>
          <w:tcPr>
            <w:tcW w:w="3611" w:type="dxa"/>
            <w:gridSpan w:val="2"/>
            <w:tcBorders>
              <w:top w:val="single" w:color="000000" w:sz="6" w:space="0"/>
              <w:left w:val="single" w:color="000000" w:sz="6" w:space="0"/>
              <w:bottom w:val="single" w:color="000000" w:sz="6" w:space="0"/>
              <w:right w:val="single" w:color="000000" w:sz="6" w:space="0"/>
            </w:tcBorders>
            <w:vAlign w:val="center"/>
          </w:tcPr>
          <w:p>
            <w:pPr>
              <w:pStyle w:val="63"/>
              <w:rPr>
                <w:color w:val="auto"/>
                <w:highlight w:val="none"/>
              </w:rPr>
            </w:pPr>
            <w:r>
              <w:rPr>
                <w:rFonts w:hint="eastAsia"/>
                <w:color w:val="auto"/>
                <w:highlight w:val="none"/>
              </w:rPr>
              <w:t>采购需求技术参数、指标</w:t>
            </w:r>
          </w:p>
        </w:tc>
        <w:tc>
          <w:tcPr>
            <w:tcW w:w="3714" w:type="dxa"/>
            <w:gridSpan w:val="2"/>
            <w:tcBorders>
              <w:top w:val="single" w:color="000000" w:sz="6" w:space="0"/>
              <w:left w:val="single" w:color="000000" w:sz="6" w:space="0"/>
              <w:bottom w:val="single" w:color="000000" w:sz="6" w:space="0"/>
              <w:right w:val="single" w:color="000000" w:sz="6" w:space="0"/>
            </w:tcBorders>
            <w:vAlign w:val="center"/>
          </w:tcPr>
          <w:p>
            <w:pPr>
              <w:pStyle w:val="63"/>
              <w:rPr>
                <w:color w:val="auto"/>
                <w:highlight w:val="none"/>
              </w:rPr>
            </w:pPr>
            <w:r>
              <w:rPr>
                <w:rFonts w:hint="eastAsia"/>
                <w:color w:val="auto"/>
                <w:highlight w:val="none"/>
              </w:rPr>
              <w:t>响应产品技术参数、指标</w:t>
            </w:r>
          </w:p>
        </w:tc>
        <w:tc>
          <w:tcPr>
            <w:tcW w:w="676" w:type="dxa"/>
            <w:tcBorders>
              <w:top w:val="single" w:color="000000" w:sz="6" w:space="0"/>
              <w:left w:val="single" w:color="000000" w:sz="6" w:space="0"/>
              <w:bottom w:val="single" w:color="000000" w:sz="6" w:space="0"/>
              <w:right w:val="single" w:color="000000" w:sz="6" w:space="0"/>
            </w:tcBorders>
            <w:vAlign w:val="center"/>
          </w:tcPr>
          <w:p>
            <w:pPr>
              <w:pStyle w:val="63"/>
              <w:rPr>
                <w:color w:val="auto"/>
                <w:highlight w:val="none"/>
              </w:rPr>
            </w:pPr>
            <w:r>
              <w:rPr>
                <w:rFonts w:hint="eastAsia"/>
                <w:color w:val="auto"/>
                <w:highlight w:val="none"/>
              </w:rPr>
              <w:t>偏离</w:t>
            </w:r>
          </w:p>
        </w:tc>
      </w:tr>
      <w:tr>
        <w:tblPrEx>
          <w:tblCellMar>
            <w:top w:w="0" w:type="dxa"/>
            <w:left w:w="28" w:type="dxa"/>
            <w:bottom w:w="0" w:type="dxa"/>
            <w:right w:w="28" w:type="dxa"/>
          </w:tblCellMar>
        </w:tblPrEx>
        <w:trPr>
          <w:trHeight w:val="1" w:hRule="atLeast"/>
          <w:jc w:val="center"/>
        </w:trPr>
        <w:tc>
          <w:tcPr>
            <w:tcW w:w="616" w:type="dxa"/>
            <w:tcBorders>
              <w:top w:val="single" w:color="000000" w:sz="6" w:space="0"/>
              <w:left w:val="single" w:color="000000" w:sz="6" w:space="0"/>
              <w:bottom w:val="single" w:color="000000" w:sz="6" w:space="0"/>
              <w:right w:val="single" w:color="000000" w:sz="6" w:space="0"/>
            </w:tcBorders>
            <w:vAlign w:val="center"/>
          </w:tcPr>
          <w:p>
            <w:pPr>
              <w:pStyle w:val="63"/>
              <w:rPr>
                <w:color w:val="auto"/>
                <w:highlight w:val="none"/>
              </w:rPr>
            </w:pPr>
            <w:r>
              <w:rPr>
                <w:rFonts w:hint="eastAsia"/>
                <w:color w:val="auto"/>
                <w:highlight w:val="none"/>
              </w:rPr>
              <w:t>序号</w:t>
            </w:r>
          </w:p>
        </w:tc>
        <w:tc>
          <w:tcPr>
            <w:tcW w:w="1233" w:type="dxa"/>
            <w:tcBorders>
              <w:top w:val="single" w:color="000000" w:sz="6" w:space="0"/>
              <w:left w:val="single" w:color="000000" w:sz="6" w:space="0"/>
              <w:bottom w:val="single" w:color="000000" w:sz="6" w:space="0"/>
              <w:right w:val="single" w:color="000000" w:sz="6" w:space="0"/>
            </w:tcBorders>
            <w:vAlign w:val="center"/>
          </w:tcPr>
          <w:p>
            <w:pPr>
              <w:pStyle w:val="63"/>
              <w:rPr>
                <w:color w:val="auto"/>
                <w:highlight w:val="none"/>
              </w:rPr>
            </w:pPr>
            <w:r>
              <w:rPr>
                <w:rFonts w:hint="eastAsia"/>
                <w:color w:val="auto"/>
                <w:highlight w:val="none"/>
              </w:rPr>
              <w:t>名称</w:t>
            </w:r>
          </w:p>
        </w:tc>
        <w:tc>
          <w:tcPr>
            <w:tcW w:w="2378" w:type="dxa"/>
            <w:tcBorders>
              <w:top w:val="single" w:color="000000" w:sz="6" w:space="0"/>
              <w:left w:val="single" w:color="000000" w:sz="6" w:space="0"/>
              <w:bottom w:val="single" w:color="000000" w:sz="6" w:space="0"/>
              <w:right w:val="single" w:color="000000" w:sz="6" w:space="0"/>
            </w:tcBorders>
            <w:vAlign w:val="center"/>
          </w:tcPr>
          <w:p>
            <w:pPr>
              <w:pStyle w:val="63"/>
              <w:rPr>
                <w:color w:val="auto"/>
                <w:highlight w:val="none"/>
              </w:rPr>
            </w:pPr>
            <w:r>
              <w:rPr>
                <w:rFonts w:hint="eastAsia"/>
                <w:color w:val="auto"/>
                <w:highlight w:val="none"/>
              </w:rPr>
              <w:t>技术参数及配置</w:t>
            </w:r>
          </w:p>
        </w:tc>
        <w:tc>
          <w:tcPr>
            <w:tcW w:w="1247" w:type="dxa"/>
            <w:tcBorders>
              <w:top w:val="single" w:color="000000" w:sz="6" w:space="0"/>
              <w:left w:val="single" w:color="000000" w:sz="6" w:space="0"/>
              <w:bottom w:val="single" w:color="000000" w:sz="6" w:space="0"/>
              <w:right w:val="single" w:color="000000" w:sz="6" w:space="0"/>
            </w:tcBorders>
            <w:vAlign w:val="center"/>
          </w:tcPr>
          <w:p>
            <w:pPr>
              <w:pStyle w:val="63"/>
              <w:rPr>
                <w:color w:val="auto"/>
                <w:highlight w:val="none"/>
              </w:rPr>
            </w:pPr>
            <w:r>
              <w:rPr>
                <w:rFonts w:hint="eastAsia"/>
                <w:color w:val="auto"/>
                <w:highlight w:val="none"/>
              </w:rPr>
              <w:t>名称</w:t>
            </w:r>
          </w:p>
        </w:tc>
        <w:tc>
          <w:tcPr>
            <w:tcW w:w="2467" w:type="dxa"/>
            <w:tcBorders>
              <w:top w:val="single" w:color="000000" w:sz="6" w:space="0"/>
              <w:left w:val="single" w:color="000000" w:sz="6" w:space="0"/>
              <w:bottom w:val="single" w:color="000000" w:sz="6" w:space="0"/>
              <w:right w:val="single" w:color="000000" w:sz="6" w:space="0"/>
            </w:tcBorders>
            <w:vAlign w:val="center"/>
          </w:tcPr>
          <w:p>
            <w:pPr>
              <w:pStyle w:val="63"/>
              <w:rPr>
                <w:color w:val="auto"/>
                <w:highlight w:val="none"/>
              </w:rPr>
            </w:pPr>
            <w:r>
              <w:rPr>
                <w:rFonts w:hint="eastAsia"/>
                <w:color w:val="auto"/>
                <w:highlight w:val="none"/>
              </w:rPr>
              <w:t>技术参数及配置</w:t>
            </w:r>
          </w:p>
        </w:tc>
        <w:tc>
          <w:tcPr>
            <w:tcW w:w="676" w:type="dxa"/>
            <w:tcBorders>
              <w:top w:val="single" w:color="000000" w:sz="6" w:space="0"/>
              <w:left w:val="single" w:color="000000" w:sz="6" w:space="0"/>
              <w:bottom w:val="single" w:color="000000" w:sz="6" w:space="0"/>
              <w:right w:val="single" w:color="000000" w:sz="6" w:space="0"/>
            </w:tcBorders>
            <w:vAlign w:val="center"/>
          </w:tcPr>
          <w:p>
            <w:pPr>
              <w:pStyle w:val="63"/>
              <w:rPr>
                <w:color w:val="auto"/>
                <w:highlight w:val="none"/>
              </w:rPr>
            </w:pPr>
          </w:p>
        </w:tc>
      </w:tr>
      <w:tr>
        <w:tblPrEx>
          <w:tblCellMar>
            <w:top w:w="0" w:type="dxa"/>
            <w:left w:w="28" w:type="dxa"/>
            <w:bottom w:w="0" w:type="dxa"/>
            <w:right w:w="28" w:type="dxa"/>
          </w:tblCellMar>
        </w:tblPrEx>
        <w:trPr>
          <w:trHeight w:val="1" w:hRule="atLeast"/>
          <w:jc w:val="center"/>
        </w:trPr>
        <w:tc>
          <w:tcPr>
            <w:tcW w:w="616" w:type="dxa"/>
            <w:tcBorders>
              <w:top w:val="single" w:color="000000" w:sz="6" w:space="0"/>
              <w:left w:val="single" w:color="000000" w:sz="6" w:space="0"/>
              <w:bottom w:val="single" w:color="000000" w:sz="6" w:space="0"/>
              <w:right w:val="single" w:color="000000" w:sz="6" w:space="0"/>
            </w:tcBorders>
            <w:vAlign w:val="center"/>
          </w:tcPr>
          <w:p>
            <w:pPr>
              <w:pStyle w:val="63"/>
              <w:jc w:val="center"/>
              <w:rPr>
                <w:color w:val="auto"/>
                <w:highlight w:val="none"/>
              </w:rPr>
            </w:pPr>
            <w:r>
              <w:rPr>
                <w:rFonts w:hint="eastAsia"/>
                <w:color w:val="auto"/>
                <w:highlight w:val="none"/>
              </w:rPr>
              <w:t>1</w:t>
            </w:r>
          </w:p>
        </w:tc>
        <w:tc>
          <w:tcPr>
            <w:tcW w:w="1233" w:type="dxa"/>
            <w:tcBorders>
              <w:top w:val="single" w:color="000000" w:sz="6" w:space="0"/>
              <w:left w:val="single" w:color="000000" w:sz="6" w:space="0"/>
              <w:bottom w:val="single" w:color="000000" w:sz="6" w:space="0"/>
              <w:right w:val="single" w:color="000000" w:sz="6" w:space="0"/>
            </w:tcBorders>
            <w:vAlign w:val="center"/>
          </w:tcPr>
          <w:p>
            <w:pPr>
              <w:pStyle w:val="63"/>
              <w:rPr>
                <w:color w:val="auto"/>
                <w:highlight w:val="none"/>
              </w:rPr>
            </w:pPr>
          </w:p>
        </w:tc>
        <w:tc>
          <w:tcPr>
            <w:tcW w:w="2378" w:type="dxa"/>
            <w:tcBorders>
              <w:top w:val="single" w:color="000000" w:sz="6" w:space="0"/>
              <w:left w:val="single" w:color="000000" w:sz="6" w:space="0"/>
              <w:bottom w:val="single" w:color="000000" w:sz="6" w:space="0"/>
              <w:right w:val="single" w:color="000000" w:sz="6" w:space="0"/>
            </w:tcBorders>
            <w:vAlign w:val="center"/>
          </w:tcPr>
          <w:p>
            <w:pPr>
              <w:pStyle w:val="63"/>
              <w:rPr>
                <w:color w:val="auto"/>
                <w:highlight w:val="none"/>
              </w:rPr>
            </w:pPr>
          </w:p>
        </w:tc>
        <w:tc>
          <w:tcPr>
            <w:tcW w:w="1247" w:type="dxa"/>
            <w:tcBorders>
              <w:top w:val="single" w:color="000000" w:sz="6" w:space="0"/>
              <w:left w:val="single" w:color="000000" w:sz="6" w:space="0"/>
              <w:bottom w:val="single" w:color="000000" w:sz="6" w:space="0"/>
              <w:right w:val="single" w:color="000000" w:sz="6" w:space="0"/>
            </w:tcBorders>
            <w:vAlign w:val="center"/>
          </w:tcPr>
          <w:p>
            <w:pPr>
              <w:pStyle w:val="63"/>
              <w:rPr>
                <w:color w:val="auto"/>
                <w:highlight w:val="none"/>
              </w:rPr>
            </w:pPr>
          </w:p>
        </w:tc>
        <w:tc>
          <w:tcPr>
            <w:tcW w:w="2467" w:type="dxa"/>
            <w:tcBorders>
              <w:top w:val="single" w:color="000000" w:sz="6" w:space="0"/>
              <w:left w:val="single" w:color="000000" w:sz="6" w:space="0"/>
              <w:bottom w:val="single" w:color="000000" w:sz="6" w:space="0"/>
              <w:right w:val="single" w:color="000000" w:sz="6" w:space="0"/>
            </w:tcBorders>
            <w:vAlign w:val="center"/>
          </w:tcPr>
          <w:p>
            <w:pPr>
              <w:pStyle w:val="63"/>
              <w:rPr>
                <w:color w:val="auto"/>
                <w:highlight w:val="none"/>
              </w:rPr>
            </w:pPr>
          </w:p>
        </w:tc>
        <w:tc>
          <w:tcPr>
            <w:tcW w:w="676" w:type="dxa"/>
            <w:tcBorders>
              <w:top w:val="single" w:color="000000" w:sz="6" w:space="0"/>
              <w:left w:val="single" w:color="000000" w:sz="6" w:space="0"/>
              <w:bottom w:val="single" w:color="000000" w:sz="6" w:space="0"/>
              <w:right w:val="single" w:color="000000" w:sz="6" w:space="0"/>
            </w:tcBorders>
            <w:vAlign w:val="center"/>
          </w:tcPr>
          <w:p>
            <w:pPr>
              <w:pStyle w:val="63"/>
              <w:rPr>
                <w:color w:val="auto"/>
                <w:highlight w:val="none"/>
              </w:rPr>
            </w:pPr>
          </w:p>
        </w:tc>
      </w:tr>
      <w:tr>
        <w:tblPrEx>
          <w:tblCellMar>
            <w:top w:w="0" w:type="dxa"/>
            <w:left w:w="28" w:type="dxa"/>
            <w:bottom w:w="0" w:type="dxa"/>
            <w:right w:w="28" w:type="dxa"/>
          </w:tblCellMar>
        </w:tblPrEx>
        <w:trPr>
          <w:trHeight w:val="1" w:hRule="atLeast"/>
          <w:jc w:val="center"/>
        </w:trPr>
        <w:tc>
          <w:tcPr>
            <w:tcW w:w="616" w:type="dxa"/>
            <w:tcBorders>
              <w:top w:val="single" w:color="000000" w:sz="6" w:space="0"/>
              <w:left w:val="single" w:color="000000" w:sz="6" w:space="0"/>
              <w:bottom w:val="single" w:color="000000" w:sz="6" w:space="0"/>
              <w:right w:val="single" w:color="000000" w:sz="6" w:space="0"/>
            </w:tcBorders>
            <w:vAlign w:val="center"/>
          </w:tcPr>
          <w:p>
            <w:pPr>
              <w:pStyle w:val="63"/>
              <w:jc w:val="center"/>
              <w:rPr>
                <w:color w:val="auto"/>
                <w:highlight w:val="none"/>
              </w:rPr>
            </w:pPr>
            <w:r>
              <w:rPr>
                <w:rFonts w:hint="eastAsia"/>
                <w:color w:val="auto"/>
                <w:highlight w:val="none"/>
              </w:rPr>
              <w:t>2</w:t>
            </w:r>
          </w:p>
        </w:tc>
        <w:tc>
          <w:tcPr>
            <w:tcW w:w="1233" w:type="dxa"/>
            <w:tcBorders>
              <w:top w:val="single" w:color="000000" w:sz="6" w:space="0"/>
              <w:left w:val="single" w:color="000000" w:sz="6" w:space="0"/>
              <w:bottom w:val="single" w:color="000000" w:sz="6" w:space="0"/>
              <w:right w:val="single" w:color="000000" w:sz="6" w:space="0"/>
            </w:tcBorders>
            <w:vAlign w:val="center"/>
          </w:tcPr>
          <w:p>
            <w:pPr>
              <w:pStyle w:val="63"/>
              <w:rPr>
                <w:color w:val="auto"/>
                <w:highlight w:val="none"/>
              </w:rPr>
            </w:pPr>
          </w:p>
        </w:tc>
        <w:tc>
          <w:tcPr>
            <w:tcW w:w="2378" w:type="dxa"/>
            <w:tcBorders>
              <w:top w:val="single" w:color="000000" w:sz="6" w:space="0"/>
              <w:left w:val="single" w:color="000000" w:sz="6" w:space="0"/>
              <w:bottom w:val="single" w:color="000000" w:sz="6" w:space="0"/>
              <w:right w:val="single" w:color="000000" w:sz="6" w:space="0"/>
            </w:tcBorders>
            <w:vAlign w:val="center"/>
          </w:tcPr>
          <w:p>
            <w:pPr>
              <w:pStyle w:val="63"/>
              <w:rPr>
                <w:color w:val="auto"/>
                <w:highlight w:val="none"/>
              </w:rPr>
            </w:pPr>
          </w:p>
        </w:tc>
        <w:tc>
          <w:tcPr>
            <w:tcW w:w="1247" w:type="dxa"/>
            <w:tcBorders>
              <w:top w:val="single" w:color="000000" w:sz="6" w:space="0"/>
              <w:left w:val="single" w:color="000000" w:sz="6" w:space="0"/>
              <w:bottom w:val="single" w:color="000000" w:sz="6" w:space="0"/>
              <w:right w:val="single" w:color="000000" w:sz="6" w:space="0"/>
            </w:tcBorders>
            <w:vAlign w:val="center"/>
          </w:tcPr>
          <w:p>
            <w:pPr>
              <w:pStyle w:val="63"/>
              <w:rPr>
                <w:color w:val="auto"/>
                <w:highlight w:val="none"/>
              </w:rPr>
            </w:pPr>
          </w:p>
        </w:tc>
        <w:tc>
          <w:tcPr>
            <w:tcW w:w="2467" w:type="dxa"/>
            <w:tcBorders>
              <w:top w:val="single" w:color="000000" w:sz="6" w:space="0"/>
              <w:left w:val="single" w:color="000000" w:sz="6" w:space="0"/>
              <w:bottom w:val="single" w:color="000000" w:sz="6" w:space="0"/>
              <w:right w:val="single" w:color="000000" w:sz="6" w:space="0"/>
            </w:tcBorders>
            <w:vAlign w:val="center"/>
          </w:tcPr>
          <w:p>
            <w:pPr>
              <w:pStyle w:val="63"/>
              <w:rPr>
                <w:color w:val="auto"/>
                <w:highlight w:val="none"/>
              </w:rPr>
            </w:pPr>
          </w:p>
        </w:tc>
        <w:tc>
          <w:tcPr>
            <w:tcW w:w="676" w:type="dxa"/>
            <w:tcBorders>
              <w:top w:val="single" w:color="000000" w:sz="6" w:space="0"/>
              <w:left w:val="single" w:color="000000" w:sz="6" w:space="0"/>
              <w:bottom w:val="single" w:color="000000" w:sz="6" w:space="0"/>
              <w:right w:val="single" w:color="000000" w:sz="6" w:space="0"/>
            </w:tcBorders>
            <w:vAlign w:val="center"/>
          </w:tcPr>
          <w:p>
            <w:pPr>
              <w:pStyle w:val="63"/>
              <w:rPr>
                <w:color w:val="auto"/>
                <w:highlight w:val="none"/>
              </w:rPr>
            </w:pPr>
          </w:p>
        </w:tc>
      </w:tr>
      <w:tr>
        <w:tblPrEx>
          <w:tblCellMar>
            <w:top w:w="0" w:type="dxa"/>
            <w:left w:w="28" w:type="dxa"/>
            <w:bottom w:w="0" w:type="dxa"/>
            <w:right w:w="28" w:type="dxa"/>
          </w:tblCellMar>
        </w:tblPrEx>
        <w:trPr>
          <w:trHeight w:val="1" w:hRule="atLeast"/>
          <w:jc w:val="center"/>
        </w:trPr>
        <w:tc>
          <w:tcPr>
            <w:tcW w:w="616" w:type="dxa"/>
            <w:tcBorders>
              <w:top w:val="single" w:color="000000" w:sz="6" w:space="0"/>
              <w:left w:val="single" w:color="000000" w:sz="6" w:space="0"/>
              <w:bottom w:val="single" w:color="000000" w:sz="6" w:space="0"/>
              <w:right w:val="single" w:color="000000" w:sz="6" w:space="0"/>
            </w:tcBorders>
            <w:vAlign w:val="center"/>
          </w:tcPr>
          <w:p>
            <w:pPr>
              <w:pStyle w:val="63"/>
              <w:jc w:val="center"/>
              <w:rPr>
                <w:color w:val="auto"/>
                <w:highlight w:val="none"/>
              </w:rPr>
            </w:pPr>
            <w:r>
              <w:rPr>
                <w:rFonts w:hint="eastAsia"/>
                <w:color w:val="auto"/>
                <w:highlight w:val="none"/>
              </w:rPr>
              <w:t>…</w:t>
            </w:r>
          </w:p>
        </w:tc>
        <w:tc>
          <w:tcPr>
            <w:tcW w:w="1233" w:type="dxa"/>
            <w:tcBorders>
              <w:top w:val="single" w:color="000000" w:sz="6" w:space="0"/>
              <w:left w:val="single" w:color="000000" w:sz="6" w:space="0"/>
              <w:bottom w:val="single" w:color="000000" w:sz="6" w:space="0"/>
              <w:right w:val="single" w:color="000000" w:sz="6" w:space="0"/>
            </w:tcBorders>
            <w:vAlign w:val="center"/>
          </w:tcPr>
          <w:p>
            <w:pPr>
              <w:pStyle w:val="63"/>
              <w:rPr>
                <w:color w:val="auto"/>
                <w:highlight w:val="none"/>
              </w:rPr>
            </w:pPr>
          </w:p>
        </w:tc>
        <w:tc>
          <w:tcPr>
            <w:tcW w:w="2378" w:type="dxa"/>
            <w:tcBorders>
              <w:top w:val="single" w:color="000000" w:sz="6" w:space="0"/>
              <w:left w:val="single" w:color="000000" w:sz="6" w:space="0"/>
              <w:bottom w:val="single" w:color="000000" w:sz="6" w:space="0"/>
              <w:right w:val="single" w:color="000000" w:sz="6" w:space="0"/>
            </w:tcBorders>
            <w:vAlign w:val="center"/>
          </w:tcPr>
          <w:p>
            <w:pPr>
              <w:pStyle w:val="63"/>
              <w:rPr>
                <w:color w:val="auto"/>
                <w:highlight w:val="none"/>
              </w:rPr>
            </w:pPr>
          </w:p>
        </w:tc>
        <w:tc>
          <w:tcPr>
            <w:tcW w:w="1247" w:type="dxa"/>
            <w:tcBorders>
              <w:top w:val="single" w:color="000000" w:sz="6" w:space="0"/>
              <w:left w:val="single" w:color="000000" w:sz="6" w:space="0"/>
              <w:bottom w:val="single" w:color="000000" w:sz="6" w:space="0"/>
              <w:right w:val="single" w:color="000000" w:sz="6" w:space="0"/>
            </w:tcBorders>
            <w:vAlign w:val="center"/>
          </w:tcPr>
          <w:p>
            <w:pPr>
              <w:pStyle w:val="63"/>
              <w:rPr>
                <w:color w:val="auto"/>
                <w:highlight w:val="none"/>
              </w:rPr>
            </w:pPr>
          </w:p>
        </w:tc>
        <w:tc>
          <w:tcPr>
            <w:tcW w:w="2467" w:type="dxa"/>
            <w:tcBorders>
              <w:top w:val="single" w:color="000000" w:sz="6" w:space="0"/>
              <w:left w:val="single" w:color="000000" w:sz="6" w:space="0"/>
              <w:bottom w:val="single" w:color="000000" w:sz="6" w:space="0"/>
              <w:right w:val="single" w:color="000000" w:sz="6" w:space="0"/>
            </w:tcBorders>
            <w:vAlign w:val="center"/>
          </w:tcPr>
          <w:p>
            <w:pPr>
              <w:pStyle w:val="63"/>
              <w:rPr>
                <w:color w:val="auto"/>
                <w:highlight w:val="none"/>
              </w:rPr>
            </w:pPr>
          </w:p>
        </w:tc>
        <w:tc>
          <w:tcPr>
            <w:tcW w:w="676" w:type="dxa"/>
            <w:tcBorders>
              <w:top w:val="single" w:color="000000" w:sz="6" w:space="0"/>
              <w:left w:val="single" w:color="000000" w:sz="6" w:space="0"/>
              <w:bottom w:val="single" w:color="000000" w:sz="6" w:space="0"/>
              <w:right w:val="single" w:color="000000" w:sz="6" w:space="0"/>
            </w:tcBorders>
            <w:vAlign w:val="center"/>
          </w:tcPr>
          <w:p>
            <w:pPr>
              <w:pStyle w:val="63"/>
              <w:rPr>
                <w:color w:val="auto"/>
                <w:highlight w:val="none"/>
              </w:rPr>
            </w:pPr>
          </w:p>
        </w:tc>
      </w:tr>
    </w:tbl>
    <w:p>
      <w:pPr>
        <w:pStyle w:val="63"/>
        <w:spacing w:line="360" w:lineRule="auto"/>
        <w:rPr>
          <w:color w:val="auto"/>
          <w:highlight w:val="none"/>
        </w:rPr>
      </w:pPr>
      <w:r>
        <w:rPr>
          <w:rFonts w:hint="eastAsia"/>
          <w:color w:val="auto"/>
          <w:highlight w:val="none"/>
        </w:rPr>
        <w:t>注：1.本表应按照每包“采购需求”中产品序号的指标逐项填写，不得遗漏。</w:t>
      </w:r>
    </w:p>
    <w:p>
      <w:pPr>
        <w:pStyle w:val="63"/>
        <w:spacing w:line="360" w:lineRule="auto"/>
        <w:rPr>
          <w:color w:val="auto"/>
          <w:highlight w:val="none"/>
        </w:rPr>
      </w:pPr>
      <w:r>
        <w:rPr>
          <w:rFonts w:hint="eastAsia"/>
          <w:color w:val="auto"/>
          <w:highlight w:val="none"/>
        </w:rPr>
        <w:t>“响应产品技术参数、指标”必须与采购文件中提供的产品检测报告、彩页等证明材料的实质性响应情况相一致。若在评审环节发现该项与响应文件中提供的产品检测报告、彩页（或厂家公开发布的资料参数）等证明材料的实质性响应情况不一致或直接复制采购文件“采购需求技术参数、指标”内容的，按无效响应文件处理。</w:t>
      </w:r>
    </w:p>
    <w:p>
      <w:pPr>
        <w:pStyle w:val="63"/>
        <w:spacing w:line="360" w:lineRule="auto"/>
        <w:rPr>
          <w:color w:val="auto"/>
          <w:highlight w:val="none"/>
        </w:rPr>
      </w:pPr>
      <w:r>
        <w:rPr>
          <w:rFonts w:hint="eastAsia"/>
          <w:color w:val="auto"/>
          <w:highlight w:val="none"/>
        </w:rPr>
        <w:t>填写此表时以采购项目参数要求为基本要求，满足采购项目参数要求的指标需列出“0”；超出、不满足采购项目参数要求的指标需列出“+”、“-”偏差，并做出详细说明；如果只注明“+”、“-”或未填写，将视为该项指标不响应。</w:t>
      </w:r>
    </w:p>
    <w:p>
      <w:pPr>
        <w:pStyle w:val="63"/>
        <w:spacing w:line="360" w:lineRule="auto"/>
        <w:rPr>
          <w:color w:val="auto"/>
          <w:highlight w:val="none"/>
        </w:rPr>
      </w:pPr>
      <w:r>
        <w:rPr>
          <w:rFonts w:hint="eastAsia"/>
          <w:color w:val="auto"/>
          <w:highlight w:val="none"/>
        </w:rPr>
        <w:t>4.供应商响应采购需求应具体、明确，含糊不清、不确切或伪造、编造证明材料的，按照实质性不响应处理。对伪造、编造证明材料的，按无效响应文件处理。</w:t>
      </w:r>
    </w:p>
    <w:p>
      <w:pPr>
        <w:autoSpaceDE w:val="0"/>
        <w:autoSpaceDN w:val="0"/>
        <w:spacing w:line="480" w:lineRule="auto"/>
        <w:jc w:val="center"/>
        <w:rPr>
          <w:rFonts w:ascii="Tahoma" w:hAnsi="Tahoma"/>
          <w:b/>
          <w:color w:val="auto"/>
          <w:sz w:val="24"/>
          <w:szCs w:val="20"/>
          <w:highlight w:val="none"/>
        </w:rPr>
      </w:pPr>
    </w:p>
    <w:p>
      <w:pPr>
        <w:autoSpaceDE w:val="0"/>
        <w:autoSpaceDN w:val="0"/>
        <w:spacing w:line="480" w:lineRule="auto"/>
        <w:jc w:val="center"/>
        <w:rPr>
          <w:rFonts w:ascii="Tahoma" w:hAnsi="Tahoma"/>
          <w:b/>
          <w:color w:val="auto"/>
          <w:sz w:val="24"/>
          <w:szCs w:val="20"/>
          <w:highlight w:val="none"/>
        </w:rPr>
      </w:pPr>
    </w:p>
    <w:p>
      <w:pPr>
        <w:autoSpaceDE w:val="0"/>
        <w:autoSpaceDN w:val="0"/>
        <w:spacing w:line="480" w:lineRule="auto"/>
        <w:jc w:val="center"/>
        <w:rPr>
          <w:rFonts w:ascii="Tahoma" w:hAnsi="Tahoma"/>
          <w:b/>
          <w:color w:val="auto"/>
          <w:sz w:val="24"/>
          <w:szCs w:val="20"/>
          <w:highlight w:val="none"/>
        </w:rPr>
      </w:pPr>
    </w:p>
    <w:p>
      <w:pPr>
        <w:autoSpaceDE w:val="0"/>
        <w:autoSpaceDN w:val="0"/>
        <w:spacing w:line="480" w:lineRule="auto"/>
        <w:jc w:val="right"/>
        <w:rPr>
          <w:rFonts w:ascii="Tahoma" w:hAnsi="Tahoma"/>
          <w:b/>
          <w:color w:val="auto"/>
          <w:sz w:val="24"/>
          <w:szCs w:val="20"/>
          <w:highlight w:val="none"/>
        </w:rPr>
      </w:pPr>
      <w:r>
        <w:rPr>
          <w:rFonts w:hint="eastAsia" w:ascii="Tahoma" w:hAnsi="Tahoma"/>
          <w:b/>
          <w:color w:val="auto"/>
          <w:sz w:val="24"/>
          <w:szCs w:val="20"/>
          <w:highlight w:val="none"/>
        </w:rPr>
        <w:t xml:space="preserve">               供应商：（公章）</w:t>
      </w:r>
    </w:p>
    <w:p>
      <w:pPr>
        <w:autoSpaceDE w:val="0"/>
        <w:autoSpaceDN w:val="0"/>
        <w:spacing w:line="480" w:lineRule="auto"/>
        <w:jc w:val="right"/>
        <w:rPr>
          <w:rFonts w:ascii="Tahoma" w:hAnsi="Tahoma"/>
          <w:b/>
          <w:color w:val="auto"/>
          <w:sz w:val="24"/>
          <w:szCs w:val="20"/>
          <w:highlight w:val="none"/>
        </w:rPr>
      </w:pPr>
      <w:r>
        <w:rPr>
          <w:rFonts w:hint="eastAsia" w:ascii="Tahoma" w:hAnsi="Tahoma"/>
          <w:b/>
          <w:color w:val="auto"/>
          <w:sz w:val="24"/>
          <w:szCs w:val="20"/>
          <w:highlight w:val="none"/>
        </w:rPr>
        <w:t xml:space="preserve">                        法定代表人或委托代理人：（签字）</w:t>
      </w:r>
    </w:p>
    <w:p>
      <w:pPr>
        <w:autoSpaceDE w:val="0"/>
        <w:autoSpaceDN w:val="0"/>
        <w:spacing w:line="480" w:lineRule="auto"/>
        <w:ind w:firstLine="5060" w:firstLineChars="2100"/>
        <w:jc w:val="right"/>
        <w:rPr>
          <w:rFonts w:ascii="Tahoma" w:hAnsi="Tahoma"/>
          <w:b/>
          <w:color w:val="auto"/>
          <w:sz w:val="24"/>
          <w:szCs w:val="20"/>
          <w:highlight w:val="none"/>
        </w:rPr>
      </w:pPr>
      <w:r>
        <w:rPr>
          <w:rFonts w:hint="eastAsia" w:ascii="Tahoma" w:hAnsi="Tahoma"/>
          <w:b/>
          <w:color w:val="auto"/>
          <w:sz w:val="24"/>
          <w:szCs w:val="20"/>
          <w:highlight w:val="none"/>
        </w:rPr>
        <w:t>年   月   日</w:t>
      </w:r>
    </w:p>
    <w:p>
      <w:pPr>
        <w:pStyle w:val="35"/>
        <w:rPr>
          <w:rFonts w:ascii="宋体" w:cs="宋体"/>
          <w:color w:val="auto"/>
          <w:kern w:val="0"/>
          <w:sz w:val="44"/>
          <w:szCs w:val="36"/>
          <w:highlight w:val="none"/>
          <w:lang w:val="zh-CN"/>
        </w:rPr>
      </w:pPr>
      <w:bookmarkStart w:id="514" w:name="_Toc25753"/>
      <w:bookmarkStart w:id="515" w:name="_Toc6838170"/>
      <w:bookmarkStart w:id="516" w:name="_Toc10730586"/>
      <w:bookmarkStart w:id="517" w:name="_Toc11585"/>
      <w:bookmarkStart w:id="518" w:name="_Toc29309958"/>
      <w:bookmarkStart w:id="519" w:name="_Toc5116"/>
      <w:bookmarkStart w:id="520" w:name="_Toc13582346"/>
    </w:p>
    <w:p>
      <w:pPr>
        <w:pStyle w:val="35"/>
        <w:rPr>
          <w:rFonts w:ascii="宋体" w:cs="宋体"/>
          <w:color w:val="auto"/>
          <w:kern w:val="0"/>
          <w:sz w:val="44"/>
          <w:szCs w:val="36"/>
          <w:highlight w:val="none"/>
          <w:lang w:val="zh-CN"/>
        </w:rPr>
      </w:pPr>
      <w:bookmarkStart w:id="521" w:name="_Toc7962"/>
      <w:bookmarkStart w:id="522" w:name="_Toc7919"/>
      <w:bookmarkStart w:id="523" w:name="_Toc20812"/>
      <w:bookmarkStart w:id="524" w:name="_Toc3934"/>
      <w:r>
        <w:rPr>
          <w:rFonts w:hint="eastAsia" w:ascii="宋体" w:cs="宋体"/>
          <w:color w:val="auto"/>
          <w:kern w:val="0"/>
          <w:sz w:val="44"/>
          <w:szCs w:val="36"/>
          <w:highlight w:val="none"/>
          <w:lang w:val="zh-CN"/>
        </w:rPr>
        <w:t>响应方案</w:t>
      </w:r>
      <w:bookmarkEnd w:id="514"/>
      <w:bookmarkEnd w:id="515"/>
      <w:bookmarkEnd w:id="516"/>
      <w:bookmarkEnd w:id="517"/>
      <w:bookmarkEnd w:id="518"/>
      <w:bookmarkEnd w:id="519"/>
      <w:bookmarkEnd w:id="520"/>
      <w:bookmarkEnd w:id="521"/>
      <w:bookmarkEnd w:id="522"/>
      <w:bookmarkEnd w:id="523"/>
      <w:bookmarkEnd w:id="524"/>
    </w:p>
    <w:p>
      <w:pPr>
        <w:pStyle w:val="35"/>
        <w:rPr>
          <w:color w:val="auto"/>
          <w:sz w:val="28"/>
          <w:szCs w:val="28"/>
          <w:highlight w:val="none"/>
          <w:lang w:val="zh-CN"/>
        </w:rPr>
      </w:pPr>
      <w:bookmarkStart w:id="525" w:name="_Toc16629"/>
      <w:bookmarkStart w:id="526" w:name="_Toc29309959"/>
      <w:bookmarkStart w:id="527" w:name="_Toc27741"/>
      <w:bookmarkStart w:id="528" w:name="_Toc15048855"/>
      <w:bookmarkStart w:id="529" w:name="_Toc10730587"/>
      <w:bookmarkStart w:id="530" w:name="_Toc13582347"/>
      <w:bookmarkStart w:id="531" w:name="_Toc6838171"/>
      <w:bookmarkStart w:id="532" w:name="_Toc20085"/>
      <w:bookmarkStart w:id="533" w:name="_Toc19438"/>
      <w:bookmarkStart w:id="534" w:name="_Toc24019"/>
      <w:bookmarkStart w:id="535" w:name="_Toc32397"/>
      <w:bookmarkStart w:id="536" w:name="_Toc9471"/>
      <w:r>
        <w:rPr>
          <w:rFonts w:hint="eastAsia" w:ascii="Tahoma" w:hAnsi="Tahoma"/>
          <w:bCs w:val="0"/>
          <w:color w:val="auto"/>
          <w:sz w:val="28"/>
          <w:szCs w:val="28"/>
          <w:highlight w:val="none"/>
        </w:rPr>
        <w:t>对于采购文件中“采购人的需求”实质性条款的响应程度及范围</w:t>
      </w:r>
      <w:bookmarkEnd w:id="525"/>
      <w:bookmarkEnd w:id="526"/>
      <w:bookmarkEnd w:id="527"/>
      <w:bookmarkEnd w:id="528"/>
      <w:bookmarkEnd w:id="529"/>
      <w:bookmarkEnd w:id="530"/>
      <w:bookmarkEnd w:id="531"/>
      <w:bookmarkEnd w:id="532"/>
      <w:bookmarkEnd w:id="533"/>
      <w:bookmarkEnd w:id="534"/>
      <w:bookmarkEnd w:id="535"/>
      <w:bookmarkEnd w:id="536"/>
    </w:p>
    <w:p>
      <w:pPr>
        <w:rPr>
          <w:color w:val="auto"/>
          <w:highlight w:val="none"/>
          <w:lang w:val="zh-CN"/>
        </w:rPr>
      </w:pPr>
    </w:p>
    <w:p>
      <w:pPr>
        <w:pStyle w:val="21"/>
        <w:rPr>
          <w:color w:val="auto"/>
          <w:highlight w:val="none"/>
          <w:lang w:val="zh-CN"/>
        </w:rPr>
      </w:pPr>
    </w:p>
    <w:p>
      <w:pPr>
        <w:pStyle w:val="21"/>
        <w:rPr>
          <w:color w:val="auto"/>
          <w:highlight w:val="none"/>
          <w:lang w:val="zh-CN"/>
        </w:rPr>
      </w:pPr>
    </w:p>
    <w:p>
      <w:pPr>
        <w:pStyle w:val="21"/>
        <w:rPr>
          <w:color w:val="auto"/>
          <w:highlight w:val="none"/>
          <w:lang w:val="zh-CN"/>
        </w:rPr>
      </w:pPr>
    </w:p>
    <w:p>
      <w:pPr>
        <w:pStyle w:val="21"/>
        <w:rPr>
          <w:color w:val="auto"/>
          <w:highlight w:val="none"/>
          <w:lang w:val="zh-CN"/>
        </w:rPr>
      </w:pPr>
    </w:p>
    <w:p>
      <w:pPr>
        <w:pStyle w:val="21"/>
        <w:rPr>
          <w:color w:val="auto"/>
          <w:highlight w:val="none"/>
          <w:lang w:val="zh-CN"/>
        </w:rPr>
      </w:pPr>
    </w:p>
    <w:p>
      <w:pPr>
        <w:pStyle w:val="21"/>
        <w:rPr>
          <w:color w:val="auto"/>
          <w:highlight w:val="none"/>
          <w:lang w:val="zh-CN"/>
        </w:rPr>
      </w:pPr>
    </w:p>
    <w:p>
      <w:pPr>
        <w:pStyle w:val="21"/>
        <w:rPr>
          <w:color w:val="auto"/>
          <w:highlight w:val="none"/>
          <w:lang w:val="zh-CN"/>
        </w:rPr>
      </w:pPr>
    </w:p>
    <w:p>
      <w:pPr>
        <w:pStyle w:val="21"/>
        <w:rPr>
          <w:color w:val="auto"/>
          <w:highlight w:val="none"/>
          <w:lang w:val="zh-CN"/>
        </w:rPr>
      </w:pPr>
    </w:p>
    <w:p>
      <w:pPr>
        <w:pStyle w:val="21"/>
        <w:rPr>
          <w:color w:val="auto"/>
          <w:highlight w:val="none"/>
          <w:lang w:val="zh-CN"/>
        </w:rPr>
      </w:pPr>
    </w:p>
    <w:p>
      <w:pPr>
        <w:pStyle w:val="21"/>
        <w:rPr>
          <w:color w:val="auto"/>
          <w:highlight w:val="none"/>
          <w:lang w:val="zh-CN"/>
        </w:rPr>
      </w:pPr>
    </w:p>
    <w:p>
      <w:pPr>
        <w:pStyle w:val="21"/>
        <w:rPr>
          <w:color w:val="auto"/>
          <w:highlight w:val="none"/>
          <w:lang w:val="zh-CN"/>
        </w:rPr>
      </w:pPr>
    </w:p>
    <w:p>
      <w:pPr>
        <w:pStyle w:val="21"/>
        <w:rPr>
          <w:color w:val="auto"/>
          <w:highlight w:val="none"/>
          <w:lang w:val="zh-CN"/>
        </w:rPr>
      </w:pPr>
    </w:p>
    <w:p>
      <w:pPr>
        <w:pStyle w:val="21"/>
        <w:rPr>
          <w:color w:val="auto"/>
          <w:highlight w:val="none"/>
          <w:lang w:val="zh-CN"/>
        </w:rPr>
      </w:pPr>
    </w:p>
    <w:p>
      <w:pPr>
        <w:pStyle w:val="21"/>
        <w:rPr>
          <w:color w:val="auto"/>
          <w:highlight w:val="none"/>
          <w:lang w:val="zh-CN"/>
        </w:rPr>
      </w:pPr>
    </w:p>
    <w:p>
      <w:pPr>
        <w:pStyle w:val="21"/>
        <w:rPr>
          <w:color w:val="auto"/>
          <w:highlight w:val="none"/>
          <w:lang w:val="zh-CN"/>
        </w:rPr>
      </w:pPr>
    </w:p>
    <w:p>
      <w:pPr>
        <w:pStyle w:val="21"/>
        <w:rPr>
          <w:color w:val="auto"/>
          <w:highlight w:val="none"/>
          <w:lang w:val="zh-CN"/>
        </w:rPr>
      </w:pPr>
    </w:p>
    <w:p>
      <w:pPr>
        <w:pStyle w:val="21"/>
        <w:rPr>
          <w:color w:val="auto"/>
          <w:highlight w:val="none"/>
          <w:lang w:val="zh-CN"/>
        </w:rPr>
      </w:pPr>
    </w:p>
    <w:p>
      <w:pPr>
        <w:pStyle w:val="21"/>
        <w:rPr>
          <w:color w:val="auto"/>
          <w:highlight w:val="none"/>
          <w:lang w:val="zh-CN"/>
        </w:rPr>
      </w:pPr>
    </w:p>
    <w:p>
      <w:pPr>
        <w:pStyle w:val="21"/>
        <w:rPr>
          <w:color w:val="auto"/>
          <w:highlight w:val="none"/>
          <w:lang w:val="zh-CN"/>
        </w:rPr>
      </w:pPr>
    </w:p>
    <w:p>
      <w:pPr>
        <w:pStyle w:val="21"/>
        <w:rPr>
          <w:color w:val="auto"/>
          <w:highlight w:val="none"/>
          <w:lang w:val="zh-CN"/>
        </w:rPr>
      </w:pPr>
    </w:p>
    <w:p>
      <w:pPr>
        <w:pStyle w:val="21"/>
        <w:rPr>
          <w:color w:val="auto"/>
          <w:highlight w:val="none"/>
          <w:lang w:val="zh-CN"/>
        </w:rPr>
      </w:pPr>
    </w:p>
    <w:p>
      <w:pPr>
        <w:pStyle w:val="21"/>
        <w:rPr>
          <w:color w:val="auto"/>
          <w:highlight w:val="none"/>
          <w:lang w:val="zh-CN"/>
        </w:rPr>
      </w:pPr>
    </w:p>
    <w:p>
      <w:pPr>
        <w:pStyle w:val="21"/>
        <w:rPr>
          <w:color w:val="auto"/>
          <w:highlight w:val="none"/>
          <w:lang w:val="zh-CN"/>
        </w:rPr>
      </w:pPr>
    </w:p>
    <w:p>
      <w:pPr>
        <w:pStyle w:val="21"/>
        <w:rPr>
          <w:color w:val="auto"/>
          <w:highlight w:val="none"/>
          <w:lang w:val="zh-CN"/>
        </w:rPr>
      </w:pPr>
    </w:p>
    <w:p>
      <w:pPr>
        <w:pStyle w:val="21"/>
        <w:rPr>
          <w:color w:val="auto"/>
          <w:highlight w:val="none"/>
          <w:lang w:val="zh-CN"/>
        </w:rPr>
      </w:pPr>
    </w:p>
    <w:p>
      <w:pPr>
        <w:pStyle w:val="21"/>
        <w:rPr>
          <w:color w:val="auto"/>
          <w:highlight w:val="none"/>
          <w:lang w:val="zh-CN"/>
        </w:rPr>
      </w:pPr>
    </w:p>
    <w:p>
      <w:pPr>
        <w:pStyle w:val="21"/>
        <w:rPr>
          <w:color w:val="auto"/>
          <w:highlight w:val="none"/>
          <w:lang w:val="zh-CN"/>
        </w:rPr>
      </w:pPr>
    </w:p>
    <w:p>
      <w:pPr>
        <w:pStyle w:val="21"/>
        <w:rPr>
          <w:color w:val="auto"/>
          <w:highlight w:val="none"/>
          <w:lang w:val="zh-CN"/>
        </w:rPr>
      </w:pPr>
    </w:p>
    <w:p>
      <w:pPr>
        <w:pStyle w:val="21"/>
        <w:rPr>
          <w:color w:val="auto"/>
          <w:highlight w:val="none"/>
          <w:lang w:val="zh-CN"/>
        </w:rPr>
      </w:pPr>
    </w:p>
    <w:p>
      <w:pPr>
        <w:pStyle w:val="21"/>
        <w:rPr>
          <w:color w:val="auto"/>
          <w:highlight w:val="none"/>
          <w:lang w:val="zh-CN"/>
        </w:rPr>
      </w:pPr>
    </w:p>
    <w:p>
      <w:pPr>
        <w:pStyle w:val="21"/>
        <w:rPr>
          <w:color w:val="auto"/>
          <w:highlight w:val="none"/>
          <w:lang w:val="zh-CN"/>
        </w:rPr>
      </w:pPr>
    </w:p>
    <w:p>
      <w:pPr>
        <w:pStyle w:val="21"/>
        <w:rPr>
          <w:color w:val="auto"/>
          <w:highlight w:val="none"/>
          <w:lang w:val="zh-CN"/>
        </w:rPr>
      </w:pPr>
    </w:p>
    <w:p>
      <w:pPr>
        <w:pStyle w:val="21"/>
        <w:rPr>
          <w:color w:val="auto"/>
          <w:highlight w:val="none"/>
          <w:lang w:val="zh-CN"/>
        </w:rPr>
      </w:pPr>
    </w:p>
    <w:p>
      <w:pPr>
        <w:pStyle w:val="21"/>
        <w:rPr>
          <w:color w:val="auto"/>
          <w:highlight w:val="none"/>
          <w:lang w:val="zh-CN"/>
        </w:rPr>
      </w:pPr>
    </w:p>
    <w:p>
      <w:pPr>
        <w:pStyle w:val="35"/>
        <w:jc w:val="left"/>
        <w:rPr>
          <w:rFonts w:ascii="宋体" w:hAnsi="宋体"/>
          <w:color w:val="auto"/>
          <w:sz w:val="32"/>
          <w:highlight w:val="none"/>
          <w:lang w:val="zh-CN"/>
        </w:rPr>
      </w:pPr>
      <w:bookmarkStart w:id="537" w:name="_Toc13582348"/>
      <w:bookmarkStart w:id="538" w:name="_Toc10730588"/>
    </w:p>
    <w:p>
      <w:pPr>
        <w:pStyle w:val="35"/>
        <w:jc w:val="left"/>
        <w:rPr>
          <w:rFonts w:ascii="宋体" w:hAnsi="宋体"/>
          <w:color w:val="auto"/>
          <w:sz w:val="32"/>
          <w:highlight w:val="none"/>
          <w:lang w:val="zh-CN"/>
        </w:rPr>
      </w:pPr>
      <w:bookmarkStart w:id="539" w:name="_Toc11329"/>
    </w:p>
    <w:p>
      <w:pPr>
        <w:pStyle w:val="35"/>
        <w:jc w:val="left"/>
        <w:rPr>
          <w:rFonts w:ascii="宋体" w:hAnsi="宋体"/>
          <w:color w:val="auto"/>
          <w:sz w:val="32"/>
          <w:highlight w:val="none"/>
          <w:lang w:val="zh-CN"/>
        </w:rPr>
      </w:pPr>
    </w:p>
    <w:p>
      <w:pPr>
        <w:pStyle w:val="35"/>
        <w:jc w:val="left"/>
        <w:rPr>
          <w:rFonts w:ascii="宋体" w:hAnsi="宋体"/>
          <w:color w:val="auto"/>
          <w:sz w:val="32"/>
          <w:highlight w:val="none"/>
          <w:lang w:val="zh-CN"/>
        </w:rPr>
      </w:pPr>
      <w:bookmarkStart w:id="540" w:name="_Toc25844"/>
      <w:bookmarkStart w:id="541" w:name="_Toc15478"/>
      <w:bookmarkStart w:id="542" w:name="_Toc13023"/>
      <w:bookmarkStart w:id="543" w:name="_Toc7036"/>
      <w:r>
        <w:rPr>
          <w:rFonts w:hint="eastAsia" w:ascii="宋体" w:hAnsi="宋体"/>
          <w:color w:val="auto"/>
          <w:sz w:val="32"/>
          <w:highlight w:val="none"/>
          <w:lang w:val="zh-CN"/>
        </w:rPr>
        <w:t>格式</w:t>
      </w:r>
      <w:r>
        <w:rPr>
          <w:rFonts w:hint="eastAsia" w:ascii="宋体" w:hAnsi="宋体"/>
          <w:color w:val="auto"/>
          <w:sz w:val="32"/>
          <w:highlight w:val="none"/>
        </w:rPr>
        <w:t>8</w:t>
      </w:r>
      <w:r>
        <w:rPr>
          <w:rFonts w:hint="eastAsia" w:ascii="宋体" w:hAnsi="宋体"/>
          <w:color w:val="auto"/>
          <w:sz w:val="32"/>
          <w:highlight w:val="none"/>
          <w:lang w:val="zh-CN"/>
        </w:rPr>
        <w:t>：货物制造厂商授权书</w:t>
      </w:r>
      <w:bookmarkEnd w:id="537"/>
      <w:bookmarkEnd w:id="538"/>
      <w:bookmarkEnd w:id="539"/>
      <w:bookmarkEnd w:id="540"/>
      <w:bookmarkEnd w:id="541"/>
      <w:bookmarkEnd w:id="542"/>
      <w:bookmarkEnd w:id="543"/>
    </w:p>
    <w:p>
      <w:pPr>
        <w:pStyle w:val="21"/>
        <w:rPr>
          <w:color w:val="auto"/>
          <w:highlight w:val="none"/>
          <w:lang w:val="zh-CN"/>
        </w:rPr>
      </w:pPr>
    </w:p>
    <w:p>
      <w:pPr>
        <w:autoSpaceDE w:val="0"/>
        <w:autoSpaceDN w:val="0"/>
        <w:adjustRightInd w:val="0"/>
        <w:spacing w:line="400" w:lineRule="exact"/>
        <w:jc w:val="center"/>
        <w:rPr>
          <w:rFonts w:ascii="宋体" w:hAnsi="Cambria" w:cs="宋体"/>
          <w:b/>
          <w:bCs/>
          <w:color w:val="auto"/>
          <w:kern w:val="0"/>
          <w:sz w:val="36"/>
          <w:szCs w:val="36"/>
          <w:highlight w:val="none"/>
          <w:lang w:val="zh-CN"/>
        </w:rPr>
      </w:pPr>
      <w:r>
        <w:rPr>
          <w:rFonts w:hint="eastAsia" w:ascii="宋体" w:hAnsi="Cambria" w:cs="宋体"/>
          <w:b/>
          <w:bCs/>
          <w:color w:val="auto"/>
          <w:kern w:val="0"/>
          <w:sz w:val="36"/>
          <w:szCs w:val="36"/>
          <w:highlight w:val="none"/>
          <w:lang w:val="zh-CN"/>
        </w:rPr>
        <w:t>货物制造厂商授权书</w:t>
      </w:r>
    </w:p>
    <w:p>
      <w:pPr>
        <w:pStyle w:val="35"/>
        <w:rPr>
          <w:color w:val="auto"/>
          <w:highlight w:val="none"/>
          <w:lang w:val="zh-CN"/>
        </w:rPr>
      </w:pPr>
    </w:p>
    <w:p>
      <w:pPr>
        <w:pStyle w:val="17"/>
        <w:tabs>
          <w:tab w:val="left" w:pos="2309"/>
        </w:tabs>
        <w:spacing w:before="168" w:line="360" w:lineRule="auto"/>
        <w:rPr>
          <w:rFonts w:hint="eastAsia" w:ascii="Tahoma" w:hAnsi="Tahoma" w:eastAsia="宋体"/>
          <w:color w:val="auto"/>
          <w:sz w:val="24"/>
          <w:szCs w:val="20"/>
          <w:highlight w:val="none"/>
          <w:u w:val="none"/>
          <w:lang w:val="en-US" w:eastAsia="zh-CN"/>
        </w:rPr>
      </w:pPr>
      <w:r>
        <w:rPr>
          <w:rFonts w:ascii="Tahoma" w:hAnsi="Tahoma"/>
          <w:color w:val="auto"/>
          <w:sz w:val="24"/>
          <w:szCs w:val="20"/>
          <w:highlight w:val="none"/>
          <w:u w:val="none"/>
        </w:rPr>
        <w:t>致：</w:t>
      </w:r>
      <w:r>
        <w:rPr>
          <w:rFonts w:ascii="Tahoma" w:hAnsi="Tahoma"/>
          <w:color w:val="auto"/>
          <w:sz w:val="24"/>
          <w:szCs w:val="20"/>
          <w:highlight w:val="none"/>
          <w:u w:val="single"/>
        </w:rPr>
        <w:tab/>
      </w:r>
      <w:r>
        <w:rPr>
          <w:rFonts w:hint="eastAsia" w:ascii="Tahoma" w:hAnsi="Tahoma"/>
          <w:color w:val="auto"/>
          <w:sz w:val="24"/>
          <w:szCs w:val="20"/>
          <w:highlight w:val="none"/>
          <w:u w:val="single"/>
          <w:lang w:val="en-US" w:eastAsia="zh-CN"/>
        </w:rPr>
        <w:t xml:space="preserve">     </w:t>
      </w:r>
    </w:p>
    <w:p>
      <w:pPr>
        <w:pStyle w:val="17"/>
        <w:tabs>
          <w:tab w:val="left" w:pos="2309"/>
        </w:tabs>
        <w:spacing w:before="168" w:line="360" w:lineRule="auto"/>
        <w:ind w:firstLine="480" w:firstLineChars="200"/>
        <w:rPr>
          <w:rFonts w:ascii="Tahoma" w:hAnsi="Tahoma"/>
          <w:color w:val="auto"/>
          <w:sz w:val="24"/>
          <w:szCs w:val="20"/>
          <w:highlight w:val="none"/>
        </w:rPr>
      </w:pPr>
      <w:r>
        <w:rPr>
          <w:rFonts w:ascii="Tahoma" w:hAnsi="Tahoma"/>
          <w:color w:val="auto"/>
          <w:sz w:val="24"/>
          <w:szCs w:val="20"/>
          <w:highlight w:val="none"/>
        </w:rPr>
        <w:t>我单位</w:t>
      </w:r>
      <w:r>
        <w:rPr>
          <w:rFonts w:ascii="Tahoma" w:hAnsi="Tahoma"/>
          <w:color w:val="auto"/>
          <w:sz w:val="24"/>
          <w:szCs w:val="20"/>
          <w:highlight w:val="none"/>
          <w:u w:val="single"/>
        </w:rPr>
        <w:tab/>
      </w:r>
      <w:r>
        <w:rPr>
          <w:rFonts w:ascii="Tahoma" w:hAnsi="Tahoma"/>
          <w:color w:val="auto"/>
          <w:sz w:val="24"/>
          <w:szCs w:val="20"/>
          <w:highlight w:val="none"/>
          <w:u w:val="single"/>
        </w:rPr>
        <w:t>（</w:t>
      </w:r>
      <w:r>
        <w:rPr>
          <w:rFonts w:ascii="Tahoma" w:hAnsi="Tahoma"/>
          <w:color w:val="auto"/>
          <w:sz w:val="24"/>
          <w:szCs w:val="20"/>
          <w:highlight w:val="none"/>
        </w:rPr>
        <w:t>制造商名称）是按</w:t>
      </w:r>
      <w:r>
        <w:rPr>
          <w:rFonts w:ascii="Tahoma" w:hAnsi="Tahoma"/>
          <w:color w:val="auto"/>
          <w:sz w:val="24"/>
          <w:szCs w:val="20"/>
          <w:highlight w:val="none"/>
          <w:u w:val="single"/>
        </w:rPr>
        <w:tab/>
      </w:r>
      <w:r>
        <w:rPr>
          <w:rFonts w:ascii="Tahoma" w:hAnsi="Tahoma"/>
          <w:color w:val="auto"/>
          <w:sz w:val="24"/>
          <w:szCs w:val="20"/>
          <w:highlight w:val="none"/>
          <w:u w:val="single"/>
        </w:rPr>
        <w:t>（</w:t>
      </w:r>
      <w:r>
        <w:rPr>
          <w:rFonts w:ascii="Tahoma" w:hAnsi="Tahoma"/>
          <w:color w:val="auto"/>
          <w:sz w:val="24"/>
          <w:szCs w:val="20"/>
          <w:highlight w:val="none"/>
        </w:rPr>
        <w:t>国家／地区名称）法律成立的一家制造商，主要营业地点设在</w:t>
      </w:r>
      <w:r>
        <w:rPr>
          <w:rFonts w:ascii="Tahoma" w:hAnsi="Tahoma"/>
          <w:color w:val="auto"/>
          <w:sz w:val="24"/>
          <w:szCs w:val="20"/>
          <w:highlight w:val="none"/>
          <w:u w:val="single"/>
        </w:rPr>
        <w:tab/>
      </w:r>
      <w:r>
        <w:rPr>
          <w:rFonts w:ascii="Tahoma" w:hAnsi="Tahoma"/>
          <w:color w:val="auto"/>
          <w:sz w:val="24"/>
          <w:szCs w:val="20"/>
          <w:highlight w:val="none"/>
        </w:rPr>
        <w:t>（制造商地址）。兹授权按（国家／地区名称）的法律正式成立的，主要营业地点设在（</w:t>
      </w:r>
      <w:r>
        <w:rPr>
          <w:rFonts w:hint="eastAsia" w:ascii="Tahoma" w:hAnsi="Tahoma"/>
          <w:color w:val="auto"/>
          <w:sz w:val="24"/>
          <w:szCs w:val="20"/>
          <w:highlight w:val="none"/>
        </w:rPr>
        <w:t>供应商</w:t>
      </w:r>
      <w:r>
        <w:rPr>
          <w:rFonts w:ascii="Tahoma" w:hAnsi="Tahoma"/>
          <w:color w:val="auto"/>
          <w:sz w:val="24"/>
          <w:szCs w:val="20"/>
          <w:highlight w:val="none"/>
        </w:rPr>
        <w:t>的单位地址）的（</w:t>
      </w:r>
      <w:r>
        <w:rPr>
          <w:rFonts w:hint="eastAsia" w:ascii="Tahoma" w:hAnsi="Tahoma"/>
          <w:color w:val="auto"/>
          <w:sz w:val="24"/>
          <w:szCs w:val="20"/>
          <w:highlight w:val="none"/>
        </w:rPr>
        <w:t>供应商</w:t>
      </w:r>
      <w:r>
        <w:rPr>
          <w:rFonts w:ascii="Tahoma" w:hAnsi="Tahoma"/>
          <w:color w:val="auto"/>
          <w:sz w:val="24"/>
          <w:szCs w:val="20"/>
          <w:highlight w:val="none"/>
        </w:rPr>
        <w:t>名称）以我单位制造的 （材料名称）进行</w:t>
      </w:r>
      <w:r>
        <w:rPr>
          <w:rFonts w:ascii="Tahoma" w:hAnsi="Tahoma"/>
          <w:color w:val="auto"/>
          <w:sz w:val="24"/>
          <w:szCs w:val="20"/>
          <w:highlight w:val="none"/>
          <w:u w:val="single"/>
        </w:rPr>
        <w:tab/>
      </w:r>
      <w:r>
        <w:rPr>
          <w:rFonts w:ascii="Tahoma" w:hAnsi="Tahoma"/>
          <w:color w:val="auto"/>
          <w:sz w:val="24"/>
          <w:szCs w:val="20"/>
          <w:highlight w:val="none"/>
        </w:rPr>
        <w:t>（项目名称）</w:t>
      </w:r>
      <w:r>
        <w:rPr>
          <w:rFonts w:hint="eastAsia" w:ascii="Tahoma" w:hAnsi="Tahoma"/>
          <w:color w:val="auto"/>
          <w:sz w:val="24"/>
          <w:szCs w:val="20"/>
          <w:highlight w:val="none"/>
        </w:rPr>
        <w:t>采购</w:t>
      </w:r>
      <w:r>
        <w:rPr>
          <w:rFonts w:ascii="Tahoma" w:hAnsi="Tahoma"/>
          <w:color w:val="auto"/>
          <w:sz w:val="24"/>
          <w:szCs w:val="20"/>
          <w:highlight w:val="none"/>
        </w:rPr>
        <w:t>活动。我单位同意按照</w:t>
      </w:r>
      <w:r>
        <w:rPr>
          <w:rFonts w:hint="eastAsia" w:ascii="Tahoma" w:hAnsi="Tahoma"/>
          <w:color w:val="auto"/>
          <w:sz w:val="24"/>
          <w:szCs w:val="20"/>
          <w:highlight w:val="none"/>
        </w:rPr>
        <w:t>成交</w:t>
      </w:r>
      <w:r>
        <w:rPr>
          <w:rFonts w:ascii="Tahoma" w:hAnsi="Tahoma"/>
          <w:color w:val="auto"/>
          <w:sz w:val="24"/>
          <w:szCs w:val="20"/>
          <w:highlight w:val="none"/>
        </w:rPr>
        <w:t>合同供货，并对产品质量承担责任。授权期限：</w:t>
      </w:r>
      <w:r>
        <w:rPr>
          <w:rFonts w:ascii="Tahoma" w:hAnsi="Tahoma"/>
          <w:color w:val="auto"/>
          <w:sz w:val="24"/>
          <w:szCs w:val="20"/>
          <w:highlight w:val="none"/>
          <w:u w:val="single"/>
        </w:rPr>
        <w:tab/>
      </w:r>
      <w:r>
        <w:rPr>
          <w:rFonts w:ascii="Tahoma" w:hAnsi="Tahoma"/>
          <w:color w:val="auto"/>
          <w:sz w:val="24"/>
          <w:szCs w:val="20"/>
          <w:highlight w:val="none"/>
        </w:rPr>
        <w:t>。</w:t>
      </w:r>
    </w:p>
    <w:p>
      <w:pPr>
        <w:pStyle w:val="17"/>
        <w:spacing w:line="360" w:lineRule="auto"/>
        <w:rPr>
          <w:rFonts w:ascii="Tahoma" w:hAnsi="Tahoma"/>
          <w:color w:val="auto"/>
          <w:sz w:val="24"/>
          <w:szCs w:val="20"/>
          <w:highlight w:val="none"/>
        </w:rPr>
      </w:pPr>
    </w:p>
    <w:p>
      <w:pPr>
        <w:pStyle w:val="17"/>
        <w:spacing w:line="360" w:lineRule="auto"/>
        <w:rPr>
          <w:rFonts w:ascii="Tahoma" w:hAnsi="Tahoma"/>
          <w:color w:val="auto"/>
          <w:sz w:val="24"/>
          <w:szCs w:val="20"/>
          <w:highlight w:val="none"/>
        </w:rPr>
      </w:pPr>
    </w:p>
    <w:p>
      <w:pPr>
        <w:pStyle w:val="17"/>
        <w:spacing w:before="1" w:line="360" w:lineRule="auto"/>
        <w:rPr>
          <w:rFonts w:ascii="Tahoma" w:hAnsi="Tahoma"/>
          <w:color w:val="auto"/>
          <w:sz w:val="24"/>
          <w:szCs w:val="20"/>
          <w:highlight w:val="none"/>
        </w:rPr>
      </w:pPr>
    </w:p>
    <w:p>
      <w:pPr>
        <w:pStyle w:val="17"/>
        <w:tabs>
          <w:tab w:val="left" w:pos="3120"/>
          <w:tab w:val="left" w:pos="4832"/>
          <w:tab w:val="left" w:pos="7881"/>
        </w:tabs>
        <w:spacing w:before="78" w:line="360" w:lineRule="auto"/>
        <w:ind w:left="401"/>
        <w:rPr>
          <w:rFonts w:ascii="Tahoma" w:hAnsi="Tahoma"/>
          <w:color w:val="auto"/>
          <w:sz w:val="24"/>
          <w:szCs w:val="20"/>
          <w:highlight w:val="none"/>
        </w:rPr>
      </w:pPr>
      <w:r>
        <w:rPr>
          <w:rFonts w:hint="eastAsia" w:ascii="Tahoma" w:hAnsi="Tahoma"/>
          <w:color w:val="auto"/>
          <w:sz w:val="24"/>
          <w:szCs w:val="20"/>
          <w:highlight w:val="none"/>
        </w:rPr>
        <w:t>供应商</w:t>
      </w:r>
      <w:r>
        <w:rPr>
          <w:rFonts w:ascii="Tahoma" w:hAnsi="Tahoma"/>
          <w:color w:val="auto"/>
          <w:sz w:val="24"/>
          <w:szCs w:val="20"/>
          <w:highlight w:val="none"/>
        </w:rPr>
        <w:t>名称：</w:t>
      </w:r>
      <w:r>
        <w:rPr>
          <w:rFonts w:ascii="Tahoma" w:hAnsi="Tahoma"/>
          <w:color w:val="auto"/>
          <w:sz w:val="24"/>
          <w:szCs w:val="20"/>
          <w:highlight w:val="none"/>
          <w:u w:val="single"/>
        </w:rPr>
        <w:tab/>
      </w:r>
      <w:r>
        <w:rPr>
          <w:rFonts w:ascii="Tahoma" w:hAnsi="Tahoma"/>
          <w:color w:val="auto"/>
          <w:sz w:val="24"/>
          <w:szCs w:val="20"/>
          <w:highlight w:val="none"/>
        </w:rPr>
        <w:t>（盖单位章）</w:t>
      </w:r>
      <w:r>
        <w:rPr>
          <w:rFonts w:ascii="Tahoma" w:hAnsi="Tahoma"/>
          <w:color w:val="auto"/>
          <w:sz w:val="24"/>
          <w:szCs w:val="20"/>
          <w:highlight w:val="none"/>
        </w:rPr>
        <w:tab/>
      </w:r>
    </w:p>
    <w:p>
      <w:pPr>
        <w:pStyle w:val="17"/>
        <w:tabs>
          <w:tab w:val="left" w:pos="3360"/>
          <w:tab w:val="left" w:pos="4832"/>
          <w:tab w:val="left" w:pos="7881"/>
        </w:tabs>
        <w:spacing w:before="78" w:line="360" w:lineRule="auto"/>
        <w:ind w:left="401"/>
        <w:rPr>
          <w:rFonts w:ascii="Tahoma" w:hAnsi="Tahoma"/>
          <w:color w:val="auto"/>
          <w:sz w:val="24"/>
          <w:szCs w:val="20"/>
          <w:highlight w:val="none"/>
        </w:rPr>
      </w:pPr>
      <w:r>
        <w:rPr>
          <w:rFonts w:ascii="Tahoma" w:hAnsi="Tahoma"/>
          <w:color w:val="auto"/>
          <w:sz w:val="24"/>
          <w:szCs w:val="20"/>
          <w:highlight w:val="none"/>
        </w:rPr>
        <w:t>制造商名称：</w:t>
      </w:r>
      <w:r>
        <w:rPr>
          <w:rFonts w:ascii="Tahoma" w:hAnsi="Tahoma"/>
          <w:color w:val="auto"/>
          <w:sz w:val="24"/>
          <w:szCs w:val="20"/>
          <w:highlight w:val="none"/>
          <w:u w:val="single"/>
        </w:rPr>
        <w:tab/>
      </w:r>
      <w:r>
        <w:rPr>
          <w:rFonts w:ascii="Tahoma" w:hAnsi="Tahoma"/>
          <w:color w:val="auto"/>
          <w:sz w:val="24"/>
          <w:szCs w:val="20"/>
          <w:highlight w:val="none"/>
        </w:rPr>
        <w:t>（盖单位章）</w:t>
      </w:r>
    </w:p>
    <w:p>
      <w:pPr>
        <w:pStyle w:val="17"/>
        <w:spacing w:before="1" w:line="360" w:lineRule="auto"/>
        <w:rPr>
          <w:rFonts w:ascii="Tahoma" w:hAnsi="Tahoma"/>
          <w:color w:val="auto"/>
          <w:sz w:val="24"/>
          <w:szCs w:val="20"/>
          <w:highlight w:val="none"/>
        </w:rPr>
      </w:pPr>
    </w:p>
    <w:p>
      <w:pPr>
        <w:pStyle w:val="17"/>
        <w:tabs>
          <w:tab w:val="left" w:pos="4670"/>
          <w:tab w:val="left" w:pos="9084"/>
        </w:tabs>
        <w:spacing w:before="77" w:line="360" w:lineRule="auto"/>
        <w:ind w:left="401"/>
        <w:rPr>
          <w:rFonts w:ascii="Tahoma" w:hAnsi="Tahoma"/>
          <w:color w:val="auto"/>
          <w:sz w:val="24"/>
          <w:szCs w:val="20"/>
          <w:highlight w:val="none"/>
        </w:rPr>
      </w:pPr>
      <w:r>
        <w:rPr>
          <w:rFonts w:ascii="Tahoma" w:hAnsi="Tahoma"/>
          <w:color w:val="auto"/>
          <w:sz w:val="24"/>
          <w:szCs w:val="20"/>
          <w:highlight w:val="none"/>
        </w:rPr>
        <w:t xml:space="preserve">签字人职务： </w:t>
      </w:r>
      <w:r>
        <w:rPr>
          <w:rFonts w:ascii="Tahoma" w:hAnsi="Tahoma"/>
          <w:color w:val="auto"/>
          <w:sz w:val="24"/>
          <w:szCs w:val="20"/>
          <w:highlight w:val="none"/>
        </w:rPr>
        <w:tab/>
      </w:r>
      <w:r>
        <w:rPr>
          <w:rFonts w:ascii="Tahoma" w:hAnsi="Tahoma"/>
          <w:color w:val="auto"/>
          <w:sz w:val="24"/>
          <w:szCs w:val="20"/>
          <w:highlight w:val="none"/>
        </w:rPr>
        <w:t xml:space="preserve">签字人职务： </w:t>
      </w:r>
      <w:r>
        <w:rPr>
          <w:rFonts w:ascii="Tahoma" w:hAnsi="Tahoma"/>
          <w:color w:val="auto"/>
          <w:sz w:val="24"/>
          <w:szCs w:val="20"/>
          <w:highlight w:val="none"/>
        </w:rPr>
        <w:tab/>
      </w:r>
    </w:p>
    <w:p>
      <w:pPr>
        <w:pStyle w:val="17"/>
        <w:tabs>
          <w:tab w:val="left" w:pos="4670"/>
          <w:tab w:val="left" w:pos="9084"/>
        </w:tabs>
        <w:spacing w:before="167" w:line="360" w:lineRule="auto"/>
        <w:rPr>
          <w:rFonts w:ascii="Tahoma" w:hAnsi="Tahoma"/>
          <w:color w:val="auto"/>
          <w:sz w:val="24"/>
          <w:szCs w:val="20"/>
          <w:highlight w:val="none"/>
        </w:rPr>
      </w:pPr>
      <w:r>
        <w:rPr>
          <w:rFonts w:ascii="Tahoma" w:hAnsi="Tahoma"/>
          <w:color w:val="auto"/>
          <w:sz w:val="24"/>
          <w:szCs w:val="20"/>
          <w:highlight w:val="none"/>
        </w:rPr>
        <w:tab/>
      </w:r>
    </w:p>
    <w:p>
      <w:pPr>
        <w:pStyle w:val="17"/>
        <w:tabs>
          <w:tab w:val="left" w:pos="4670"/>
          <w:tab w:val="left" w:pos="9084"/>
        </w:tabs>
        <w:spacing w:before="166" w:line="360" w:lineRule="auto"/>
        <w:ind w:left="401"/>
        <w:rPr>
          <w:rFonts w:ascii="Tahoma" w:hAnsi="Tahoma"/>
          <w:color w:val="auto"/>
          <w:sz w:val="20"/>
          <w:szCs w:val="20"/>
          <w:highlight w:val="none"/>
        </w:rPr>
      </w:pPr>
      <w:r>
        <w:rPr>
          <w:rFonts w:ascii="Tahoma" w:hAnsi="Tahoma"/>
          <w:color w:val="auto"/>
          <w:sz w:val="24"/>
          <w:szCs w:val="20"/>
          <w:highlight w:val="none"/>
        </w:rPr>
        <w:t xml:space="preserve">签字人签名： </w:t>
      </w:r>
      <w:r>
        <w:rPr>
          <w:rFonts w:ascii="Tahoma" w:hAnsi="Tahoma"/>
          <w:color w:val="auto"/>
          <w:sz w:val="24"/>
          <w:szCs w:val="20"/>
          <w:highlight w:val="none"/>
        </w:rPr>
        <w:tab/>
      </w:r>
      <w:r>
        <w:rPr>
          <w:rFonts w:ascii="Tahoma" w:hAnsi="Tahoma"/>
          <w:color w:val="auto"/>
          <w:sz w:val="24"/>
          <w:szCs w:val="20"/>
          <w:highlight w:val="none"/>
        </w:rPr>
        <w:t xml:space="preserve">签字人签名： </w:t>
      </w:r>
      <w:r>
        <w:rPr>
          <w:rFonts w:ascii="Tahoma" w:hAnsi="Tahoma"/>
          <w:color w:val="auto"/>
          <w:sz w:val="24"/>
          <w:szCs w:val="20"/>
          <w:highlight w:val="none"/>
        </w:rPr>
        <w:tab/>
      </w:r>
    </w:p>
    <w:p>
      <w:pPr>
        <w:pStyle w:val="21"/>
        <w:spacing w:line="360" w:lineRule="auto"/>
        <w:rPr>
          <w:rFonts w:ascii="Tahoma" w:hAnsi="Tahoma"/>
          <w:color w:val="auto"/>
          <w:sz w:val="20"/>
          <w:szCs w:val="20"/>
          <w:highlight w:val="none"/>
        </w:rPr>
      </w:pPr>
    </w:p>
    <w:p>
      <w:pPr>
        <w:pStyle w:val="21"/>
        <w:rPr>
          <w:color w:val="auto"/>
          <w:highlight w:val="none"/>
          <w:lang w:val="zh-CN"/>
        </w:rPr>
      </w:pPr>
    </w:p>
    <w:p>
      <w:pPr>
        <w:pStyle w:val="21"/>
        <w:rPr>
          <w:color w:val="auto"/>
          <w:highlight w:val="none"/>
        </w:rPr>
      </w:pPr>
    </w:p>
    <w:p>
      <w:pPr>
        <w:pStyle w:val="21"/>
        <w:rPr>
          <w:color w:val="auto"/>
          <w:highlight w:val="none"/>
          <w:lang w:val="zh-CN"/>
        </w:rPr>
      </w:pPr>
    </w:p>
    <w:p>
      <w:pPr>
        <w:pStyle w:val="21"/>
        <w:rPr>
          <w:color w:val="auto"/>
          <w:highlight w:val="none"/>
          <w:lang w:val="zh-CN"/>
        </w:rPr>
      </w:pPr>
    </w:p>
    <w:p>
      <w:pPr>
        <w:pStyle w:val="21"/>
        <w:rPr>
          <w:color w:val="auto"/>
          <w:highlight w:val="none"/>
          <w:lang w:val="zh-CN"/>
        </w:rPr>
      </w:pPr>
    </w:p>
    <w:p>
      <w:pPr>
        <w:pStyle w:val="21"/>
        <w:rPr>
          <w:color w:val="auto"/>
          <w:highlight w:val="none"/>
          <w:lang w:val="zh-CN"/>
        </w:rPr>
      </w:pPr>
    </w:p>
    <w:p>
      <w:pPr>
        <w:pStyle w:val="35"/>
        <w:jc w:val="left"/>
        <w:rPr>
          <w:rFonts w:ascii="宋体" w:hAnsi="宋体"/>
          <w:color w:val="auto"/>
          <w:sz w:val="32"/>
          <w:highlight w:val="none"/>
          <w:lang w:val="zh-CN"/>
        </w:rPr>
      </w:pPr>
      <w:bookmarkStart w:id="544" w:name="_Toc8870"/>
      <w:bookmarkStart w:id="545" w:name="_Toc10730589"/>
      <w:bookmarkStart w:id="546" w:name="_Toc13582349"/>
    </w:p>
    <w:p>
      <w:pPr>
        <w:pStyle w:val="35"/>
        <w:jc w:val="left"/>
        <w:rPr>
          <w:rFonts w:ascii="宋体" w:hAnsi="宋体"/>
          <w:color w:val="auto"/>
          <w:sz w:val="32"/>
          <w:highlight w:val="none"/>
          <w:lang w:val="zh-CN"/>
        </w:rPr>
      </w:pPr>
    </w:p>
    <w:p>
      <w:pPr>
        <w:pStyle w:val="35"/>
        <w:jc w:val="left"/>
        <w:rPr>
          <w:rFonts w:ascii="宋体" w:hAnsi="宋体"/>
          <w:color w:val="auto"/>
          <w:sz w:val="32"/>
          <w:highlight w:val="none"/>
          <w:lang w:val="zh-CN"/>
        </w:rPr>
      </w:pPr>
      <w:bookmarkStart w:id="547" w:name="_Toc30895"/>
      <w:bookmarkStart w:id="548" w:name="_Toc22806"/>
      <w:bookmarkStart w:id="549" w:name="_Toc28821"/>
      <w:bookmarkStart w:id="550" w:name="_Toc27918"/>
      <w:r>
        <w:rPr>
          <w:rFonts w:hint="eastAsia" w:ascii="宋体" w:hAnsi="宋体"/>
          <w:color w:val="auto"/>
          <w:sz w:val="32"/>
          <w:highlight w:val="none"/>
          <w:lang w:val="zh-CN"/>
        </w:rPr>
        <w:t>格式</w:t>
      </w:r>
      <w:r>
        <w:rPr>
          <w:rFonts w:hint="eastAsia" w:ascii="宋体" w:hAnsi="宋体"/>
          <w:color w:val="auto"/>
          <w:sz w:val="32"/>
          <w:highlight w:val="none"/>
        </w:rPr>
        <w:t>9</w:t>
      </w:r>
      <w:r>
        <w:rPr>
          <w:rFonts w:hint="eastAsia" w:ascii="宋体" w:hAnsi="宋体"/>
          <w:color w:val="auto"/>
          <w:sz w:val="32"/>
          <w:highlight w:val="none"/>
          <w:lang w:val="zh-CN"/>
        </w:rPr>
        <w:t>：项目主要人员一览表</w:t>
      </w:r>
      <w:bookmarkEnd w:id="544"/>
      <w:bookmarkEnd w:id="545"/>
      <w:bookmarkEnd w:id="546"/>
      <w:bookmarkEnd w:id="547"/>
      <w:bookmarkEnd w:id="548"/>
      <w:bookmarkEnd w:id="549"/>
      <w:bookmarkEnd w:id="550"/>
    </w:p>
    <w:p>
      <w:pPr>
        <w:pStyle w:val="21"/>
        <w:rPr>
          <w:color w:val="auto"/>
          <w:highlight w:val="none"/>
          <w:lang w:val="zh-CN"/>
        </w:rPr>
      </w:pPr>
    </w:p>
    <w:p>
      <w:pPr>
        <w:autoSpaceDE w:val="0"/>
        <w:autoSpaceDN w:val="0"/>
        <w:adjustRightInd w:val="0"/>
        <w:spacing w:line="400" w:lineRule="exact"/>
        <w:jc w:val="center"/>
        <w:rPr>
          <w:rFonts w:ascii="宋体" w:hAnsi="Cambria" w:cs="宋体"/>
          <w:b/>
          <w:bCs/>
          <w:color w:val="auto"/>
          <w:kern w:val="0"/>
          <w:sz w:val="28"/>
          <w:szCs w:val="28"/>
          <w:highlight w:val="none"/>
          <w:lang w:val="zh-CN"/>
        </w:rPr>
      </w:pPr>
      <w:r>
        <w:rPr>
          <w:rFonts w:hint="eastAsia" w:ascii="宋体" w:hAnsi="Cambria" w:cs="宋体"/>
          <w:b/>
          <w:bCs/>
          <w:color w:val="auto"/>
          <w:kern w:val="0"/>
          <w:sz w:val="28"/>
          <w:szCs w:val="28"/>
          <w:highlight w:val="none"/>
          <w:lang w:val="zh-CN"/>
        </w:rPr>
        <w:t>项目主要人员一览表</w:t>
      </w:r>
    </w:p>
    <w:tbl>
      <w:tblPr>
        <w:tblStyle w:val="36"/>
        <w:tblW w:w="903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8"/>
        <w:gridCol w:w="1785"/>
        <w:gridCol w:w="1378"/>
        <w:gridCol w:w="932"/>
        <w:gridCol w:w="398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trPr>
        <w:tc>
          <w:tcPr>
            <w:tcW w:w="948" w:type="dxa"/>
            <w:vAlign w:val="center"/>
          </w:tcPr>
          <w:p>
            <w:pPr>
              <w:jc w:val="center"/>
              <w:rPr>
                <w:rFonts w:ascii="Tahoma" w:hAnsi="Tahoma"/>
                <w:color w:val="auto"/>
                <w:sz w:val="24"/>
                <w:szCs w:val="28"/>
                <w:highlight w:val="none"/>
              </w:rPr>
            </w:pPr>
            <w:r>
              <w:rPr>
                <w:rFonts w:hint="eastAsia" w:ascii="Tahoma" w:hAnsi="Tahoma"/>
                <w:color w:val="auto"/>
                <w:sz w:val="24"/>
                <w:szCs w:val="28"/>
                <w:highlight w:val="none"/>
              </w:rPr>
              <w:t>姓名</w:t>
            </w:r>
          </w:p>
        </w:tc>
        <w:tc>
          <w:tcPr>
            <w:tcW w:w="1785" w:type="dxa"/>
            <w:vAlign w:val="center"/>
          </w:tcPr>
          <w:p>
            <w:pPr>
              <w:jc w:val="center"/>
              <w:rPr>
                <w:rFonts w:ascii="Tahoma" w:hAnsi="Tahoma"/>
                <w:color w:val="auto"/>
                <w:sz w:val="24"/>
                <w:szCs w:val="28"/>
                <w:highlight w:val="none"/>
              </w:rPr>
            </w:pPr>
            <w:r>
              <w:rPr>
                <w:rFonts w:hint="eastAsia" w:ascii="Tahoma" w:hAnsi="Tahoma"/>
                <w:color w:val="auto"/>
                <w:sz w:val="24"/>
                <w:szCs w:val="28"/>
                <w:highlight w:val="none"/>
              </w:rPr>
              <w:t>拟派岗位或</w:t>
            </w:r>
          </w:p>
          <w:p>
            <w:pPr>
              <w:jc w:val="center"/>
              <w:rPr>
                <w:rFonts w:ascii="Tahoma" w:hAnsi="Tahoma"/>
                <w:color w:val="auto"/>
                <w:sz w:val="24"/>
                <w:szCs w:val="28"/>
                <w:highlight w:val="none"/>
              </w:rPr>
            </w:pPr>
            <w:r>
              <w:rPr>
                <w:rFonts w:hint="eastAsia" w:ascii="Tahoma" w:hAnsi="Tahoma"/>
                <w:color w:val="auto"/>
                <w:sz w:val="24"/>
                <w:szCs w:val="28"/>
                <w:highlight w:val="none"/>
              </w:rPr>
              <w:t>具体工作</w:t>
            </w:r>
          </w:p>
        </w:tc>
        <w:tc>
          <w:tcPr>
            <w:tcW w:w="1378" w:type="dxa"/>
            <w:vAlign w:val="center"/>
          </w:tcPr>
          <w:p>
            <w:pPr>
              <w:jc w:val="center"/>
              <w:rPr>
                <w:rFonts w:ascii="Tahoma" w:hAnsi="Tahoma"/>
                <w:color w:val="auto"/>
                <w:sz w:val="24"/>
                <w:szCs w:val="28"/>
                <w:highlight w:val="none"/>
              </w:rPr>
            </w:pPr>
            <w:r>
              <w:rPr>
                <w:rFonts w:hint="eastAsia" w:ascii="Tahoma" w:hAnsi="Tahoma"/>
                <w:color w:val="auto"/>
                <w:sz w:val="24"/>
                <w:szCs w:val="28"/>
                <w:highlight w:val="none"/>
              </w:rPr>
              <w:t>职称或执业资格</w:t>
            </w:r>
          </w:p>
        </w:tc>
        <w:tc>
          <w:tcPr>
            <w:tcW w:w="932" w:type="dxa"/>
            <w:vAlign w:val="center"/>
          </w:tcPr>
          <w:p>
            <w:pPr>
              <w:jc w:val="center"/>
              <w:rPr>
                <w:rFonts w:ascii="Tahoma" w:hAnsi="Tahoma"/>
                <w:color w:val="auto"/>
                <w:sz w:val="24"/>
                <w:szCs w:val="28"/>
                <w:highlight w:val="none"/>
              </w:rPr>
            </w:pPr>
            <w:r>
              <w:rPr>
                <w:rFonts w:hint="eastAsia" w:ascii="Tahoma" w:hAnsi="Tahoma"/>
                <w:color w:val="auto"/>
                <w:sz w:val="24"/>
                <w:szCs w:val="28"/>
                <w:highlight w:val="none"/>
              </w:rPr>
              <w:t>专业</w:t>
            </w:r>
          </w:p>
        </w:tc>
        <w:tc>
          <w:tcPr>
            <w:tcW w:w="3987" w:type="dxa"/>
            <w:vAlign w:val="center"/>
          </w:tcPr>
          <w:p>
            <w:pPr>
              <w:jc w:val="center"/>
              <w:rPr>
                <w:rFonts w:ascii="Tahoma" w:hAnsi="Tahoma"/>
                <w:color w:val="auto"/>
                <w:sz w:val="24"/>
                <w:szCs w:val="28"/>
                <w:highlight w:val="none"/>
              </w:rPr>
            </w:pPr>
            <w:r>
              <w:rPr>
                <w:rFonts w:hint="eastAsia" w:ascii="Tahoma" w:hAnsi="Tahoma"/>
                <w:color w:val="auto"/>
                <w:sz w:val="24"/>
                <w:szCs w:val="28"/>
                <w:highlight w:val="none"/>
              </w:rPr>
              <w:t>主要资历、经验及承担过的</w:t>
            </w:r>
          </w:p>
          <w:p>
            <w:pPr>
              <w:jc w:val="center"/>
              <w:rPr>
                <w:rFonts w:ascii="Tahoma" w:hAnsi="Tahoma"/>
                <w:color w:val="auto"/>
                <w:sz w:val="24"/>
                <w:szCs w:val="28"/>
                <w:highlight w:val="none"/>
              </w:rPr>
            </w:pPr>
            <w:r>
              <w:rPr>
                <w:rFonts w:hint="eastAsia" w:ascii="Tahoma" w:hAnsi="Tahoma"/>
                <w:color w:val="auto"/>
                <w:sz w:val="24"/>
                <w:szCs w:val="28"/>
                <w:highlight w:val="none"/>
              </w:rPr>
              <w:t>服务项目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48" w:type="dxa"/>
          </w:tcPr>
          <w:p>
            <w:pPr>
              <w:rPr>
                <w:rFonts w:ascii="仿宋" w:hAnsi="仿宋" w:eastAsia="仿宋"/>
                <w:color w:val="auto"/>
                <w:sz w:val="28"/>
                <w:szCs w:val="28"/>
                <w:highlight w:val="none"/>
              </w:rPr>
            </w:pPr>
          </w:p>
        </w:tc>
        <w:tc>
          <w:tcPr>
            <w:tcW w:w="1785" w:type="dxa"/>
          </w:tcPr>
          <w:p>
            <w:pPr>
              <w:rPr>
                <w:rFonts w:ascii="仿宋" w:hAnsi="仿宋" w:eastAsia="仿宋"/>
                <w:color w:val="auto"/>
                <w:sz w:val="28"/>
                <w:szCs w:val="28"/>
                <w:highlight w:val="none"/>
              </w:rPr>
            </w:pPr>
          </w:p>
        </w:tc>
        <w:tc>
          <w:tcPr>
            <w:tcW w:w="1378" w:type="dxa"/>
          </w:tcPr>
          <w:p>
            <w:pPr>
              <w:rPr>
                <w:rFonts w:ascii="仿宋" w:hAnsi="仿宋" w:eastAsia="仿宋"/>
                <w:color w:val="auto"/>
                <w:sz w:val="28"/>
                <w:szCs w:val="28"/>
                <w:highlight w:val="none"/>
              </w:rPr>
            </w:pPr>
          </w:p>
        </w:tc>
        <w:tc>
          <w:tcPr>
            <w:tcW w:w="932" w:type="dxa"/>
          </w:tcPr>
          <w:p>
            <w:pPr>
              <w:rPr>
                <w:rFonts w:ascii="仿宋" w:hAnsi="仿宋" w:eastAsia="仿宋"/>
                <w:color w:val="auto"/>
                <w:sz w:val="28"/>
                <w:szCs w:val="28"/>
                <w:highlight w:val="none"/>
              </w:rPr>
            </w:pPr>
          </w:p>
        </w:tc>
        <w:tc>
          <w:tcPr>
            <w:tcW w:w="3987" w:type="dxa"/>
          </w:tcPr>
          <w:p>
            <w:pPr>
              <w:rPr>
                <w:rFonts w:ascii="仿宋" w:hAnsi="仿宋" w:eastAsia="仿宋"/>
                <w:color w:val="auto"/>
                <w:sz w:val="28"/>
                <w:szCs w:val="2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48" w:type="dxa"/>
          </w:tcPr>
          <w:p>
            <w:pPr>
              <w:rPr>
                <w:rFonts w:ascii="仿宋" w:hAnsi="仿宋" w:eastAsia="仿宋"/>
                <w:color w:val="auto"/>
                <w:sz w:val="28"/>
                <w:szCs w:val="28"/>
                <w:highlight w:val="none"/>
              </w:rPr>
            </w:pPr>
          </w:p>
        </w:tc>
        <w:tc>
          <w:tcPr>
            <w:tcW w:w="1785" w:type="dxa"/>
          </w:tcPr>
          <w:p>
            <w:pPr>
              <w:rPr>
                <w:rFonts w:ascii="仿宋" w:hAnsi="仿宋" w:eastAsia="仿宋"/>
                <w:color w:val="auto"/>
                <w:sz w:val="28"/>
                <w:szCs w:val="28"/>
                <w:highlight w:val="none"/>
              </w:rPr>
            </w:pPr>
          </w:p>
        </w:tc>
        <w:tc>
          <w:tcPr>
            <w:tcW w:w="1378" w:type="dxa"/>
          </w:tcPr>
          <w:p>
            <w:pPr>
              <w:rPr>
                <w:rFonts w:ascii="仿宋" w:hAnsi="仿宋" w:eastAsia="仿宋"/>
                <w:color w:val="auto"/>
                <w:sz w:val="28"/>
                <w:szCs w:val="28"/>
                <w:highlight w:val="none"/>
              </w:rPr>
            </w:pPr>
          </w:p>
        </w:tc>
        <w:tc>
          <w:tcPr>
            <w:tcW w:w="932" w:type="dxa"/>
          </w:tcPr>
          <w:p>
            <w:pPr>
              <w:rPr>
                <w:rFonts w:ascii="仿宋" w:hAnsi="仿宋" w:eastAsia="仿宋"/>
                <w:color w:val="auto"/>
                <w:sz w:val="28"/>
                <w:szCs w:val="28"/>
                <w:highlight w:val="none"/>
              </w:rPr>
            </w:pPr>
          </w:p>
        </w:tc>
        <w:tc>
          <w:tcPr>
            <w:tcW w:w="3987" w:type="dxa"/>
          </w:tcPr>
          <w:p>
            <w:pPr>
              <w:rPr>
                <w:rFonts w:ascii="仿宋" w:hAnsi="仿宋" w:eastAsia="仿宋"/>
                <w:color w:val="auto"/>
                <w:sz w:val="28"/>
                <w:szCs w:val="2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48" w:type="dxa"/>
          </w:tcPr>
          <w:p>
            <w:pPr>
              <w:rPr>
                <w:rFonts w:ascii="仿宋" w:hAnsi="仿宋" w:eastAsia="仿宋"/>
                <w:color w:val="auto"/>
                <w:sz w:val="28"/>
                <w:szCs w:val="28"/>
                <w:highlight w:val="none"/>
              </w:rPr>
            </w:pPr>
          </w:p>
        </w:tc>
        <w:tc>
          <w:tcPr>
            <w:tcW w:w="1785" w:type="dxa"/>
          </w:tcPr>
          <w:p>
            <w:pPr>
              <w:rPr>
                <w:rFonts w:ascii="仿宋" w:hAnsi="仿宋" w:eastAsia="仿宋"/>
                <w:color w:val="auto"/>
                <w:sz w:val="28"/>
                <w:szCs w:val="28"/>
                <w:highlight w:val="none"/>
              </w:rPr>
            </w:pPr>
          </w:p>
        </w:tc>
        <w:tc>
          <w:tcPr>
            <w:tcW w:w="1378" w:type="dxa"/>
          </w:tcPr>
          <w:p>
            <w:pPr>
              <w:rPr>
                <w:rFonts w:ascii="仿宋" w:hAnsi="仿宋" w:eastAsia="仿宋"/>
                <w:color w:val="auto"/>
                <w:sz w:val="28"/>
                <w:szCs w:val="28"/>
                <w:highlight w:val="none"/>
              </w:rPr>
            </w:pPr>
          </w:p>
        </w:tc>
        <w:tc>
          <w:tcPr>
            <w:tcW w:w="932" w:type="dxa"/>
          </w:tcPr>
          <w:p>
            <w:pPr>
              <w:rPr>
                <w:rFonts w:ascii="仿宋" w:hAnsi="仿宋" w:eastAsia="仿宋"/>
                <w:color w:val="auto"/>
                <w:sz w:val="28"/>
                <w:szCs w:val="28"/>
                <w:highlight w:val="none"/>
              </w:rPr>
            </w:pPr>
          </w:p>
        </w:tc>
        <w:tc>
          <w:tcPr>
            <w:tcW w:w="3987" w:type="dxa"/>
          </w:tcPr>
          <w:p>
            <w:pPr>
              <w:rPr>
                <w:rFonts w:ascii="仿宋" w:hAnsi="仿宋" w:eastAsia="仿宋"/>
                <w:color w:val="auto"/>
                <w:sz w:val="28"/>
                <w:szCs w:val="2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trPr>
        <w:tc>
          <w:tcPr>
            <w:tcW w:w="948" w:type="dxa"/>
          </w:tcPr>
          <w:p>
            <w:pPr>
              <w:rPr>
                <w:rFonts w:ascii="仿宋" w:hAnsi="仿宋" w:eastAsia="仿宋"/>
                <w:color w:val="auto"/>
                <w:sz w:val="28"/>
                <w:szCs w:val="28"/>
                <w:highlight w:val="none"/>
              </w:rPr>
            </w:pPr>
          </w:p>
        </w:tc>
        <w:tc>
          <w:tcPr>
            <w:tcW w:w="1785" w:type="dxa"/>
          </w:tcPr>
          <w:p>
            <w:pPr>
              <w:rPr>
                <w:rFonts w:ascii="仿宋" w:hAnsi="仿宋" w:eastAsia="仿宋"/>
                <w:color w:val="auto"/>
                <w:sz w:val="28"/>
                <w:szCs w:val="28"/>
                <w:highlight w:val="none"/>
              </w:rPr>
            </w:pPr>
          </w:p>
        </w:tc>
        <w:tc>
          <w:tcPr>
            <w:tcW w:w="1378" w:type="dxa"/>
          </w:tcPr>
          <w:p>
            <w:pPr>
              <w:rPr>
                <w:rFonts w:ascii="仿宋" w:hAnsi="仿宋" w:eastAsia="仿宋"/>
                <w:color w:val="auto"/>
                <w:sz w:val="28"/>
                <w:szCs w:val="28"/>
                <w:highlight w:val="none"/>
              </w:rPr>
            </w:pPr>
          </w:p>
        </w:tc>
        <w:tc>
          <w:tcPr>
            <w:tcW w:w="932" w:type="dxa"/>
          </w:tcPr>
          <w:p>
            <w:pPr>
              <w:rPr>
                <w:rFonts w:ascii="仿宋" w:hAnsi="仿宋" w:eastAsia="仿宋"/>
                <w:color w:val="auto"/>
                <w:sz w:val="28"/>
                <w:szCs w:val="28"/>
                <w:highlight w:val="none"/>
              </w:rPr>
            </w:pPr>
          </w:p>
        </w:tc>
        <w:tc>
          <w:tcPr>
            <w:tcW w:w="3987" w:type="dxa"/>
          </w:tcPr>
          <w:p>
            <w:pPr>
              <w:rPr>
                <w:rFonts w:ascii="仿宋" w:hAnsi="仿宋" w:eastAsia="仿宋"/>
                <w:color w:val="auto"/>
                <w:sz w:val="28"/>
                <w:szCs w:val="2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trPr>
        <w:tc>
          <w:tcPr>
            <w:tcW w:w="948" w:type="dxa"/>
          </w:tcPr>
          <w:p>
            <w:pPr>
              <w:rPr>
                <w:rFonts w:ascii="仿宋" w:hAnsi="仿宋" w:eastAsia="仿宋"/>
                <w:color w:val="auto"/>
                <w:sz w:val="28"/>
                <w:szCs w:val="28"/>
                <w:highlight w:val="none"/>
              </w:rPr>
            </w:pPr>
          </w:p>
        </w:tc>
        <w:tc>
          <w:tcPr>
            <w:tcW w:w="1785" w:type="dxa"/>
          </w:tcPr>
          <w:p>
            <w:pPr>
              <w:rPr>
                <w:rFonts w:ascii="仿宋" w:hAnsi="仿宋" w:eastAsia="仿宋"/>
                <w:color w:val="auto"/>
                <w:sz w:val="28"/>
                <w:szCs w:val="28"/>
                <w:highlight w:val="none"/>
              </w:rPr>
            </w:pPr>
          </w:p>
        </w:tc>
        <w:tc>
          <w:tcPr>
            <w:tcW w:w="1378" w:type="dxa"/>
          </w:tcPr>
          <w:p>
            <w:pPr>
              <w:rPr>
                <w:rFonts w:ascii="仿宋" w:hAnsi="仿宋" w:eastAsia="仿宋"/>
                <w:color w:val="auto"/>
                <w:sz w:val="28"/>
                <w:szCs w:val="28"/>
                <w:highlight w:val="none"/>
              </w:rPr>
            </w:pPr>
          </w:p>
        </w:tc>
        <w:tc>
          <w:tcPr>
            <w:tcW w:w="932" w:type="dxa"/>
          </w:tcPr>
          <w:p>
            <w:pPr>
              <w:rPr>
                <w:rFonts w:ascii="仿宋" w:hAnsi="仿宋" w:eastAsia="仿宋"/>
                <w:color w:val="auto"/>
                <w:sz w:val="28"/>
                <w:szCs w:val="28"/>
                <w:highlight w:val="none"/>
              </w:rPr>
            </w:pPr>
          </w:p>
        </w:tc>
        <w:tc>
          <w:tcPr>
            <w:tcW w:w="3987" w:type="dxa"/>
          </w:tcPr>
          <w:p>
            <w:pPr>
              <w:rPr>
                <w:rFonts w:ascii="仿宋" w:hAnsi="仿宋" w:eastAsia="仿宋"/>
                <w:color w:val="auto"/>
                <w:sz w:val="28"/>
                <w:szCs w:val="2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trPr>
        <w:tc>
          <w:tcPr>
            <w:tcW w:w="948" w:type="dxa"/>
          </w:tcPr>
          <w:p>
            <w:pPr>
              <w:rPr>
                <w:rFonts w:ascii="仿宋" w:hAnsi="仿宋" w:eastAsia="仿宋"/>
                <w:color w:val="auto"/>
                <w:sz w:val="28"/>
                <w:szCs w:val="28"/>
                <w:highlight w:val="none"/>
              </w:rPr>
            </w:pPr>
          </w:p>
        </w:tc>
        <w:tc>
          <w:tcPr>
            <w:tcW w:w="1785" w:type="dxa"/>
          </w:tcPr>
          <w:p>
            <w:pPr>
              <w:rPr>
                <w:rFonts w:ascii="仿宋" w:hAnsi="仿宋" w:eastAsia="仿宋"/>
                <w:color w:val="auto"/>
                <w:sz w:val="28"/>
                <w:szCs w:val="28"/>
                <w:highlight w:val="none"/>
              </w:rPr>
            </w:pPr>
          </w:p>
        </w:tc>
        <w:tc>
          <w:tcPr>
            <w:tcW w:w="1378" w:type="dxa"/>
          </w:tcPr>
          <w:p>
            <w:pPr>
              <w:rPr>
                <w:rFonts w:ascii="仿宋" w:hAnsi="仿宋" w:eastAsia="仿宋"/>
                <w:color w:val="auto"/>
                <w:sz w:val="28"/>
                <w:szCs w:val="28"/>
                <w:highlight w:val="none"/>
              </w:rPr>
            </w:pPr>
          </w:p>
        </w:tc>
        <w:tc>
          <w:tcPr>
            <w:tcW w:w="932" w:type="dxa"/>
          </w:tcPr>
          <w:p>
            <w:pPr>
              <w:rPr>
                <w:rFonts w:ascii="仿宋" w:hAnsi="仿宋" w:eastAsia="仿宋"/>
                <w:color w:val="auto"/>
                <w:sz w:val="28"/>
                <w:szCs w:val="28"/>
                <w:highlight w:val="none"/>
              </w:rPr>
            </w:pPr>
          </w:p>
        </w:tc>
        <w:tc>
          <w:tcPr>
            <w:tcW w:w="3987" w:type="dxa"/>
          </w:tcPr>
          <w:p>
            <w:pPr>
              <w:rPr>
                <w:rFonts w:ascii="仿宋" w:hAnsi="仿宋" w:eastAsia="仿宋"/>
                <w:color w:val="auto"/>
                <w:sz w:val="28"/>
                <w:szCs w:val="2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trPr>
        <w:tc>
          <w:tcPr>
            <w:tcW w:w="948" w:type="dxa"/>
          </w:tcPr>
          <w:p>
            <w:pPr>
              <w:rPr>
                <w:rFonts w:ascii="仿宋" w:hAnsi="仿宋" w:eastAsia="仿宋"/>
                <w:color w:val="auto"/>
                <w:sz w:val="28"/>
                <w:szCs w:val="28"/>
                <w:highlight w:val="none"/>
              </w:rPr>
            </w:pPr>
          </w:p>
        </w:tc>
        <w:tc>
          <w:tcPr>
            <w:tcW w:w="1785" w:type="dxa"/>
          </w:tcPr>
          <w:p>
            <w:pPr>
              <w:rPr>
                <w:rFonts w:ascii="仿宋" w:hAnsi="仿宋" w:eastAsia="仿宋"/>
                <w:color w:val="auto"/>
                <w:sz w:val="28"/>
                <w:szCs w:val="28"/>
                <w:highlight w:val="none"/>
              </w:rPr>
            </w:pPr>
          </w:p>
        </w:tc>
        <w:tc>
          <w:tcPr>
            <w:tcW w:w="1378" w:type="dxa"/>
          </w:tcPr>
          <w:p>
            <w:pPr>
              <w:rPr>
                <w:rFonts w:ascii="仿宋" w:hAnsi="仿宋" w:eastAsia="仿宋"/>
                <w:color w:val="auto"/>
                <w:sz w:val="28"/>
                <w:szCs w:val="28"/>
                <w:highlight w:val="none"/>
              </w:rPr>
            </w:pPr>
          </w:p>
        </w:tc>
        <w:tc>
          <w:tcPr>
            <w:tcW w:w="932" w:type="dxa"/>
          </w:tcPr>
          <w:p>
            <w:pPr>
              <w:rPr>
                <w:rFonts w:ascii="仿宋" w:hAnsi="仿宋" w:eastAsia="仿宋"/>
                <w:color w:val="auto"/>
                <w:sz w:val="28"/>
                <w:szCs w:val="28"/>
                <w:highlight w:val="none"/>
              </w:rPr>
            </w:pPr>
          </w:p>
        </w:tc>
        <w:tc>
          <w:tcPr>
            <w:tcW w:w="3987" w:type="dxa"/>
          </w:tcPr>
          <w:p>
            <w:pPr>
              <w:rPr>
                <w:rFonts w:ascii="仿宋" w:hAnsi="仿宋" w:eastAsia="仿宋"/>
                <w:color w:val="auto"/>
                <w:sz w:val="28"/>
                <w:szCs w:val="2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trPr>
        <w:tc>
          <w:tcPr>
            <w:tcW w:w="948" w:type="dxa"/>
          </w:tcPr>
          <w:p>
            <w:pPr>
              <w:rPr>
                <w:rFonts w:ascii="仿宋" w:hAnsi="仿宋" w:eastAsia="仿宋"/>
                <w:color w:val="auto"/>
                <w:sz w:val="28"/>
                <w:szCs w:val="28"/>
                <w:highlight w:val="none"/>
              </w:rPr>
            </w:pPr>
          </w:p>
        </w:tc>
        <w:tc>
          <w:tcPr>
            <w:tcW w:w="1785" w:type="dxa"/>
          </w:tcPr>
          <w:p>
            <w:pPr>
              <w:rPr>
                <w:rFonts w:ascii="仿宋" w:hAnsi="仿宋" w:eastAsia="仿宋"/>
                <w:color w:val="auto"/>
                <w:sz w:val="28"/>
                <w:szCs w:val="28"/>
                <w:highlight w:val="none"/>
              </w:rPr>
            </w:pPr>
          </w:p>
        </w:tc>
        <w:tc>
          <w:tcPr>
            <w:tcW w:w="1378" w:type="dxa"/>
          </w:tcPr>
          <w:p>
            <w:pPr>
              <w:rPr>
                <w:rFonts w:ascii="仿宋" w:hAnsi="仿宋" w:eastAsia="仿宋"/>
                <w:color w:val="auto"/>
                <w:sz w:val="28"/>
                <w:szCs w:val="28"/>
                <w:highlight w:val="none"/>
              </w:rPr>
            </w:pPr>
          </w:p>
        </w:tc>
        <w:tc>
          <w:tcPr>
            <w:tcW w:w="932" w:type="dxa"/>
          </w:tcPr>
          <w:p>
            <w:pPr>
              <w:rPr>
                <w:rFonts w:ascii="仿宋" w:hAnsi="仿宋" w:eastAsia="仿宋"/>
                <w:color w:val="auto"/>
                <w:sz w:val="28"/>
                <w:szCs w:val="28"/>
                <w:highlight w:val="none"/>
              </w:rPr>
            </w:pPr>
          </w:p>
        </w:tc>
        <w:tc>
          <w:tcPr>
            <w:tcW w:w="3987" w:type="dxa"/>
          </w:tcPr>
          <w:p>
            <w:pPr>
              <w:rPr>
                <w:rFonts w:ascii="仿宋" w:hAnsi="仿宋" w:eastAsia="仿宋"/>
                <w:color w:val="auto"/>
                <w:sz w:val="28"/>
                <w:szCs w:val="2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trPr>
        <w:tc>
          <w:tcPr>
            <w:tcW w:w="948" w:type="dxa"/>
          </w:tcPr>
          <w:p>
            <w:pPr>
              <w:rPr>
                <w:rFonts w:ascii="仿宋" w:hAnsi="仿宋" w:eastAsia="仿宋"/>
                <w:color w:val="auto"/>
                <w:sz w:val="28"/>
                <w:szCs w:val="28"/>
                <w:highlight w:val="none"/>
              </w:rPr>
            </w:pPr>
          </w:p>
        </w:tc>
        <w:tc>
          <w:tcPr>
            <w:tcW w:w="1785" w:type="dxa"/>
          </w:tcPr>
          <w:p>
            <w:pPr>
              <w:rPr>
                <w:rFonts w:ascii="仿宋" w:hAnsi="仿宋" w:eastAsia="仿宋"/>
                <w:color w:val="auto"/>
                <w:sz w:val="28"/>
                <w:szCs w:val="28"/>
                <w:highlight w:val="none"/>
              </w:rPr>
            </w:pPr>
          </w:p>
        </w:tc>
        <w:tc>
          <w:tcPr>
            <w:tcW w:w="1378" w:type="dxa"/>
          </w:tcPr>
          <w:p>
            <w:pPr>
              <w:rPr>
                <w:rFonts w:ascii="仿宋" w:hAnsi="仿宋" w:eastAsia="仿宋"/>
                <w:color w:val="auto"/>
                <w:sz w:val="28"/>
                <w:szCs w:val="28"/>
                <w:highlight w:val="none"/>
              </w:rPr>
            </w:pPr>
          </w:p>
        </w:tc>
        <w:tc>
          <w:tcPr>
            <w:tcW w:w="932" w:type="dxa"/>
          </w:tcPr>
          <w:p>
            <w:pPr>
              <w:rPr>
                <w:rFonts w:ascii="仿宋" w:hAnsi="仿宋" w:eastAsia="仿宋"/>
                <w:color w:val="auto"/>
                <w:sz w:val="28"/>
                <w:szCs w:val="28"/>
                <w:highlight w:val="none"/>
              </w:rPr>
            </w:pPr>
          </w:p>
        </w:tc>
        <w:tc>
          <w:tcPr>
            <w:tcW w:w="3987" w:type="dxa"/>
          </w:tcPr>
          <w:p>
            <w:pPr>
              <w:rPr>
                <w:rFonts w:ascii="仿宋" w:hAnsi="仿宋" w:eastAsia="仿宋"/>
                <w:color w:val="auto"/>
                <w:sz w:val="28"/>
                <w:szCs w:val="2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trPr>
        <w:tc>
          <w:tcPr>
            <w:tcW w:w="948" w:type="dxa"/>
          </w:tcPr>
          <w:p>
            <w:pPr>
              <w:rPr>
                <w:rFonts w:ascii="仿宋" w:hAnsi="仿宋" w:eastAsia="仿宋"/>
                <w:color w:val="auto"/>
                <w:sz w:val="28"/>
                <w:szCs w:val="28"/>
                <w:highlight w:val="none"/>
              </w:rPr>
            </w:pPr>
          </w:p>
        </w:tc>
        <w:tc>
          <w:tcPr>
            <w:tcW w:w="1785" w:type="dxa"/>
          </w:tcPr>
          <w:p>
            <w:pPr>
              <w:rPr>
                <w:rFonts w:ascii="仿宋" w:hAnsi="仿宋" w:eastAsia="仿宋"/>
                <w:color w:val="auto"/>
                <w:sz w:val="28"/>
                <w:szCs w:val="28"/>
                <w:highlight w:val="none"/>
              </w:rPr>
            </w:pPr>
          </w:p>
        </w:tc>
        <w:tc>
          <w:tcPr>
            <w:tcW w:w="1378" w:type="dxa"/>
          </w:tcPr>
          <w:p>
            <w:pPr>
              <w:rPr>
                <w:rFonts w:ascii="仿宋" w:hAnsi="仿宋" w:eastAsia="仿宋"/>
                <w:color w:val="auto"/>
                <w:sz w:val="28"/>
                <w:szCs w:val="28"/>
                <w:highlight w:val="none"/>
              </w:rPr>
            </w:pPr>
          </w:p>
        </w:tc>
        <w:tc>
          <w:tcPr>
            <w:tcW w:w="932" w:type="dxa"/>
          </w:tcPr>
          <w:p>
            <w:pPr>
              <w:rPr>
                <w:rFonts w:ascii="仿宋" w:hAnsi="仿宋" w:eastAsia="仿宋"/>
                <w:color w:val="auto"/>
                <w:sz w:val="28"/>
                <w:szCs w:val="28"/>
                <w:highlight w:val="none"/>
              </w:rPr>
            </w:pPr>
          </w:p>
        </w:tc>
        <w:tc>
          <w:tcPr>
            <w:tcW w:w="3987" w:type="dxa"/>
          </w:tcPr>
          <w:p>
            <w:pPr>
              <w:rPr>
                <w:rFonts w:ascii="仿宋" w:hAnsi="仿宋" w:eastAsia="仿宋"/>
                <w:color w:val="auto"/>
                <w:sz w:val="28"/>
                <w:szCs w:val="2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trPr>
        <w:tc>
          <w:tcPr>
            <w:tcW w:w="948" w:type="dxa"/>
          </w:tcPr>
          <w:p>
            <w:pPr>
              <w:rPr>
                <w:rFonts w:ascii="仿宋" w:hAnsi="仿宋" w:eastAsia="仿宋"/>
                <w:color w:val="auto"/>
                <w:sz w:val="28"/>
                <w:szCs w:val="28"/>
                <w:highlight w:val="none"/>
              </w:rPr>
            </w:pPr>
          </w:p>
        </w:tc>
        <w:tc>
          <w:tcPr>
            <w:tcW w:w="1785" w:type="dxa"/>
          </w:tcPr>
          <w:p>
            <w:pPr>
              <w:rPr>
                <w:rFonts w:ascii="仿宋" w:hAnsi="仿宋" w:eastAsia="仿宋"/>
                <w:color w:val="auto"/>
                <w:sz w:val="28"/>
                <w:szCs w:val="28"/>
                <w:highlight w:val="none"/>
              </w:rPr>
            </w:pPr>
          </w:p>
        </w:tc>
        <w:tc>
          <w:tcPr>
            <w:tcW w:w="1378" w:type="dxa"/>
          </w:tcPr>
          <w:p>
            <w:pPr>
              <w:rPr>
                <w:rFonts w:ascii="仿宋" w:hAnsi="仿宋" w:eastAsia="仿宋"/>
                <w:color w:val="auto"/>
                <w:sz w:val="28"/>
                <w:szCs w:val="28"/>
                <w:highlight w:val="none"/>
              </w:rPr>
            </w:pPr>
          </w:p>
        </w:tc>
        <w:tc>
          <w:tcPr>
            <w:tcW w:w="932" w:type="dxa"/>
          </w:tcPr>
          <w:p>
            <w:pPr>
              <w:rPr>
                <w:rFonts w:ascii="仿宋" w:hAnsi="仿宋" w:eastAsia="仿宋"/>
                <w:color w:val="auto"/>
                <w:sz w:val="28"/>
                <w:szCs w:val="28"/>
                <w:highlight w:val="none"/>
              </w:rPr>
            </w:pPr>
          </w:p>
        </w:tc>
        <w:tc>
          <w:tcPr>
            <w:tcW w:w="3987" w:type="dxa"/>
          </w:tcPr>
          <w:p>
            <w:pPr>
              <w:rPr>
                <w:rFonts w:ascii="仿宋" w:hAnsi="仿宋" w:eastAsia="仿宋"/>
                <w:color w:val="auto"/>
                <w:sz w:val="28"/>
                <w:szCs w:val="28"/>
                <w:highlight w:val="none"/>
              </w:rPr>
            </w:pPr>
          </w:p>
        </w:tc>
      </w:tr>
    </w:tbl>
    <w:p>
      <w:pPr>
        <w:pStyle w:val="21"/>
        <w:rPr>
          <w:color w:val="auto"/>
          <w:highlight w:val="none"/>
          <w:lang w:val="zh-CN"/>
        </w:rPr>
      </w:pPr>
    </w:p>
    <w:p>
      <w:pPr>
        <w:pStyle w:val="21"/>
        <w:rPr>
          <w:color w:val="auto"/>
          <w:highlight w:val="none"/>
          <w:lang w:val="zh-CN"/>
        </w:rPr>
      </w:pPr>
    </w:p>
    <w:p>
      <w:pPr>
        <w:pStyle w:val="21"/>
        <w:rPr>
          <w:color w:val="auto"/>
          <w:highlight w:val="none"/>
          <w:lang w:val="zh-CN"/>
        </w:rPr>
      </w:pPr>
    </w:p>
    <w:p>
      <w:pPr>
        <w:pStyle w:val="21"/>
        <w:rPr>
          <w:color w:val="auto"/>
          <w:highlight w:val="none"/>
          <w:lang w:val="zh-CN"/>
        </w:rPr>
      </w:pPr>
    </w:p>
    <w:p>
      <w:pPr>
        <w:pStyle w:val="21"/>
        <w:rPr>
          <w:color w:val="auto"/>
          <w:highlight w:val="none"/>
          <w:lang w:val="zh-CN"/>
        </w:rPr>
      </w:pPr>
    </w:p>
    <w:p>
      <w:pPr>
        <w:pStyle w:val="21"/>
        <w:rPr>
          <w:color w:val="auto"/>
          <w:highlight w:val="none"/>
          <w:lang w:val="zh-CN"/>
        </w:rPr>
      </w:pPr>
    </w:p>
    <w:p>
      <w:pPr>
        <w:pStyle w:val="21"/>
        <w:rPr>
          <w:color w:val="auto"/>
          <w:highlight w:val="none"/>
          <w:lang w:val="zh-CN"/>
        </w:rPr>
      </w:pPr>
    </w:p>
    <w:p>
      <w:pPr>
        <w:pStyle w:val="21"/>
        <w:rPr>
          <w:color w:val="auto"/>
          <w:highlight w:val="none"/>
          <w:lang w:val="zh-CN"/>
        </w:rPr>
      </w:pPr>
    </w:p>
    <w:p>
      <w:pPr>
        <w:pStyle w:val="21"/>
        <w:rPr>
          <w:color w:val="auto"/>
          <w:highlight w:val="none"/>
          <w:lang w:val="zh-CN"/>
        </w:rPr>
      </w:pPr>
    </w:p>
    <w:p>
      <w:pPr>
        <w:pStyle w:val="21"/>
        <w:rPr>
          <w:color w:val="auto"/>
          <w:highlight w:val="none"/>
          <w:lang w:val="zh-CN"/>
        </w:rPr>
      </w:pPr>
    </w:p>
    <w:p>
      <w:pPr>
        <w:pStyle w:val="21"/>
        <w:rPr>
          <w:color w:val="auto"/>
          <w:highlight w:val="none"/>
          <w:lang w:val="zh-CN"/>
        </w:rPr>
      </w:pPr>
    </w:p>
    <w:p>
      <w:pPr>
        <w:pStyle w:val="21"/>
        <w:rPr>
          <w:color w:val="auto"/>
          <w:highlight w:val="none"/>
          <w:lang w:val="zh-CN"/>
        </w:rPr>
      </w:pPr>
    </w:p>
    <w:p>
      <w:pPr>
        <w:pStyle w:val="35"/>
        <w:jc w:val="left"/>
        <w:rPr>
          <w:color w:val="auto"/>
          <w:highlight w:val="none"/>
          <w:lang w:val="zh-CN"/>
        </w:rPr>
      </w:pPr>
    </w:p>
    <w:p>
      <w:pPr>
        <w:rPr>
          <w:color w:val="auto"/>
          <w:highlight w:val="none"/>
          <w:lang w:val="zh-CN"/>
        </w:rPr>
      </w:pPr>
    </w:p>
    <w:p>
      <w:pPr>
        <w:pStyle w:val="21"/>
        <w:rPr>
          <w:color w:val="auto"/>
          <w:highlight w:val="none"/>
          <w:lang w:val="zh-CN"/>
        </w:rPr>
      </w:pPr>
    </w:p>
    <w:p>
      <w:pPr>
        <w:pStyle w:val="35"/>
        <w:jc w:val="left"/>
        <w:rPr>
          <w:rFonts w:ascii="宋体" w:hAnsi="宋体"/>
          <w:color w:val="auto"/>
          <w:sz w:val="32"/>
          <w:highlight w:val="none"/>
          <w:lang w:val="zh-CN"/>
        </w:rPr>
      </w:pPr>
      <w:bookmarkStart w:id="551" w:name="_Toc68"/>
      <w:bookmarkStart w:id="552" w:name="_Toc32463"/>
      <w:bookmarkStart w:id="553" w:name="_Toc15010"/>
      <w:bookmarkStart w:id="554" w:name="_Toc26046"/>
      <w:bookmarkStart w:id="555" w:name="_Toc10694"/>
      <w:r>
        <w:rPr>
          <w:rFonts w:hint="eastAsia" w:ascii="宋体" w:hAnsi="宋体"/>
          <w:color w:val="auto"/>
          <w:sz w:val="32"/>
          <w:highlight w:val="none"/>
          <w:lang w:val="zh-CN"/>
        </w:rPr>
        <w:t>格式10：资格审查资料</w:t>
      </w:r>
      <w:bookmarkEnd w:id="551"/>
      <w:bookmarkEnd w:id="552"/>
      <w:bookmarkEnd w:id="553"/>
      <w:bookmarkEnd w:id="554"/>
      <w:bookmarkEnd w:id="555"/>
    </w:p>
    <w:p>
      <w:pPr>
        <w:pStyle w:val="21"/>
        <w:rPr>
          <w:color w:val="auto"/>
          <w:highlight w:val="none"/>
          <w:lang w:val="zh-CN"/>
        </w:rPr>
      </w:pPr>
    </w:p>
    <w:p>
      <w:pPr>
        <w:autoSpaceDE w:val="0"/>
        <w:autoSpaceDN w:val="0"/>
        <w:adjustRightInd w:val="0"/>
        <w:spacing w:line="400" w:lineRule="exact"/>
        <w:jc w:val="center"/>
        <w:rPr>
          <w:rFonts w:ascii="宋体" w:hAnsi="Cambria" w:cs="宋体"/>
          <w:b/>
          <w:bCs/>
          <w:color w:val="auto"/>
          <w:kern w:val="0"/>
          <w:sz w:val="36"/>
          <w:szCs w:val="36"/>
          <w:highlight w:val="none"/>
          <w:lang w:val="zh-CN"/>
        </w:rPr>
      </w:pPr>
      <w:r>
        <w:rPr>
          <w:rFonts w:hint="eastAsia" w:ascii="宋体" w:hAnsi="Cambria" w:cs="宋体"/>
          <w:b/>
          <w:bCs/>
          <w:color w:val="auto"/>
          <w:kern w:val="0"/>
          <w:sz w:val="36"/>
          <w:szCs w:val="36"/>
          <w:highlight w:val="none"/>
          <w:lang w:val="zh-CN"/>
        </w:rPr>
        <w:t>资格审查资料表</w:t>
      </w:r>
    </w:p>
    <w:p>
      <w:pPr>
        <w:pStyle w:val="5"/>
        <w:spacing w:before="0" w:after="0"/>
        <w:ind w:firstLine="103"/>
        <w:rPr>
          <w:rFonts w:ascii="Tahoma" w:hAnsi="Tahoma"/>
          <w:color w:val="auto"/>
          <w:sz w:val="24"/>
          <w:szCs w:val="28"/>
          <w:highlight w:val="none"/>
        </w:rPr>
      </w:pPr>
      <w:bookmarkStart w:id="556" w:name="_Toc13582350"/>
      <w:bookmarkStart w:id="557" w:name="_Toc15048858"/>
      <w:bookmarkStart w:id="558" w:name="_Toc5639533"/>
      <w:bookmarkStart w:id="559" w:name="_Toc6838172"/>
      <w:bookmarkStart w:id="560" w:name="_Toc10730590"/>
      <w:bookmarkStart w:id="561" w:name="_Toc12670"/>
      <w:bookmarkStart w:id="562" w:name="_Toc1668"/>
      <w:bookmarkStart w:id="563" w:name="_Toc23531"/>
      <w:bookmarkStart w:id="564" w:name="_Toc29309963"/>
      <w:r>
        <w:rPr>
          <w:rFonts w:hint="eastAsia" w:ascii="Tahoma" w:hAnsi="Tahoma"/>
          <w:color w:val="auto"/>
          <w:sz w:val="24"/>
          <w:szCs w:val="28"/>
          <w:highlight w:val="none"/>
        </w:rPr>
        <w:t>（一）供应商基本情况表</w:t>
      </w:r>
      <w:bookmarkEnd w:id="556"/>
      <w:bookmarkEnd w:id="557"/>
      <w:bookmarkEnd w:id="558"/>
      <w:bookmarkEnd w:id="559"/>
      <w:bookmarkEnd w:id="560"/>
      <w:bookmarkEnd w:id="561"/>
      <w:bookmarkEnd w:id="562"/>
      <w:bookmarkEnd w:id="563"/>
      <w:bookmarkEnd w:id="564"/>
    </w:p>
    <w:tbl>
      <w:tblPr>
        <w:tblStyle w:val="36"/>
        <w:tblW w:w="8568"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728"/>
        <w:gridCol w:w="898"/>
        <w:gridCol w:w="951"/>
        <w:gridCol w:w="840"/>
        <w:gridCol w:w="420"/>
        <w:gridCol w:w="311"/>
        <w:gridCol w:w="1078"/>
        <w:gridCol w:w="490"/>
        <w:gridCol w:w="860"/>
        <w:gridCol w:w="992"/>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728" w:type="dxa"/>
            <w:tcBorders>
              <w:top w:val="single" w:color="auto" w:sz="4" w:space="0"/>
              <w:left w:val="single" w:color="auto" w:sz="4" w:space="0"/>
              <w:bottom w:val="single" w:color="auto" w:sz="4" w:space="0"/>
              <w:right w:val="single" w:color="auto" w:sz="4" w:space="0"/>
            </w:tcBorders>
            <w:vAlign w:val="center"/>
          </w:tcPr>
          <w:p>
            <w:pPr>
              <w:jc w:val="center"/>
              <w:rPr>
                <w:rFonts w:ascii="Tahoma" w:hAnsi="Tahoma"/>
                <w:color w:val="auto"/>
                <w:sz w:val="24"/>
                <w:szCs w:val="28"/>
                <w:highlight w:val="none"/>
              </w:rPr>
            </w:pPr>
            <w:r>
              <w:rPr>
                <w:rFonts w:hint="eastAsia" w:ascii="Tahoma" w:hAnsi="Tahoma"/>
                <w:color w:val="auto"/>
                <w:sz w:val="24"/>
                <w:szCs w:val="28"/>
                <w:highlight w:val="none"/>
              </w:rPr>
              <w:t>供应商名称</w:t>
            </w:r>
          </w:p>
        </w:tc>
        <w:tc>
          <w:tcPr>
            <w:tcW w:w="6840" w:type="dxa"/>
            <w:gridSpan w:val="9"/>
            <w:tcBorders>
              <w:top w:val="single" w:color="auto" w:sz="4" w:space="0"/>
              <w:left w:val="single" w:color="auto" w:sz="4" w:space="0"/>
              <w:bottom w:val="single" w:color="auto" w:sz="4" w:space="0"/>
              <w:right w:val="single" w:color="auto" w:sz="4" w:space="0"/>
            </w:tcBorders>
            <w:vAlign w:val="center"/>
          </w:tcPr>
          <w:p>
            <w:pPr>
              <w:jc w:val="center"/>
              <w:rPr>
                <w:rFonts w:ascii="Tahoma" w:hAnsi="Tahoma"/>
                <w:color w:val="auto"/>
                <w:sz w:val="24"/>
                <w:szCs w:val="28"/>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1" w:hRule="atLeast"/>
        </w:trPr>
        <w:tc>
          <w:tcPr>
            <w:tcW w:w="1728" w:type="dxa"/>
            <w:tcBorders>
              <w:top w:val="single" w:color="auto" w:sz="4" w:space="0"/>
              <w:left w:val="single" w:color="auto" w:sz="4" w:space="0"/>
              <w:bottom w:val="single" w:color="auto" w:sz="4" w:space="0"/>
              <w:right w:val="single" w:color="auto" w:sz="4" w:space="0"/>
            </w:tcBorders>
            <w:vAlign w:val="center"/>
          </w:tcPr>
          <w:p>
            <w:pPr>
              <w:jc w:val="center"/>
              <w:rPr>
                <w:rFonts w:ascii="Tahoma" w:hAnsi="Tahoma"/>
                <w:color w:val="auto"/>
                <w:sz w:val="24"/>
                <w:szCs w:val="28"/>
                <w:highlight w:val="none"/>
              </w:rPr>
            </w:pPr>
            <w:r>
              <w:rPr>
                <w:rFonts w:hint="eastAsia" w:ascii="Tahoma" w:hAnsi="Tahoma"/>
                <w:color w:val="auto"/>
                <w:sz w:val="24"/>
                <w:szCs w:val="28"/>
                <w:highlight w:val="none"/>
              </w:rPr>
              <w:t>注册地址</w:t>
            </w:r>
          </w:p>
        </w:tc>
        <w:tc>
          <w:tcPr>
            <w:tcW w:w="3420" w:type="dxa"/>
            <w:gridSpan w:val="5"/>
            <w:tcBorders>
              <w:top w:val="single" w:color="auto" w:sz="4" w:space="0"/>
              <w:left w:val="single" w:color="auto" w:sz="4" w:space="0"/>
              <w:bottom w:val="single" w:color="auto" w:sz="4" w:space="0"/>
              <w:right w:val="single" w:color="auto" w:sz="4" w:space="0"/>
            </w:tcBorders>
            <w:vAlign w:val="center"/>
          </w:tcPr>
          <w:p>
            <w:pPr>
              <w:jc w:val="center"/>
              <w:rPr>
                <w:rFonts w:ascii="Tahoma" w:hAnsi="Tahoma"/>
                <w:color w:val="auto"/>
                <w:sz w:val="24"/>
                <w:szCs w:val="28"/>
                <w:highlight w:val="none"/>
              </w:rPr>
            </w:pPr>
          </w:p>
        </w:tc>
        <w:tc>
          <w:tcPr>
            <w:tcW w:w="1078" w:type="dxa"/>
            <w:tcBorders>
              <w:top w:val="single" w:color="auto" w:sz="4" w:space="0"/>
              <w:left w:val="single" w:color="auto" w:sz="4" w:space="0"/>
              <w:bottom w:val="single" w:color="auto" w:sz="4" w:space="0"/>
              <w:right w:val="single" w:color="auto" w:sz="4" w:space="0"/>
            </w:tcBorders>
            <w:vAlign w:val="center"/>
          </w:tcPr>
          <w:p>
            <w:pPr>
              <w:jc w:val="center"/>
              <w:rPr>
                <w:rFonts w:ascii="Tahoma" w:hAnsi="Tahoma"/>
                <w:color w:val="auto"/>
                <w:sz w:val="24"/>
                <w:szCs w:val="28"/>
                <w:highlight w:val="none"/>
              </w:rPr>
            </w:pPr>
            <w:r>
              <w:rPr>
                <w:rFonts w:hint="eastAsia" w:ascii="Tahoma" w:hAnsi="Tahoma"/>
                <w:color w:val="auto"/>
                <w:sz w:val="24"/>
                <w:szCs w:val="28"/>
                <w:highlight w:val="none"/>
              </w:rPr>
              <w:t>邮政编码</w:t>
            </w:r>
          </w:p>
        </w:tc>
        <w:tc>
          <w:tcPr>
            <w:tcW w:w="2342" w:type="dxa"/>
            <w:gridSpan w:val="3"/>
            <w:tcBorders>
              <w:top w:val="single" w:color="auto" w:sz="4" w:space="0"/>
              <w:left w:val="single" w:color="auto" w:sz="4" w:space="0"/>
              <w:bottom w:val="single" w:color="auto" w:sz="4" w:space="0"/>
              <w:right w:val="single" w:color="auto" w:sz="4" w:space="0"/>
            </w:tcBorders>
            <w:vAlign w:val="center"/>
          </w:tcPr>
          <w:p>
            <w:pPr>
              <w:jc w:val="center"/>
              <w:rPr>
                <w:rFonts w:ascii="Tahoma" w:hAnsi="Tahoma"/>
                <w:color w:val="auto"/>
                <w:sz w:val="24"/>
                <w:szCs w:val="28"/>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05" w:hRule="atLeast"/>
        </w:trPr>
        <w:tc>
          <w:tcPr>
            <w:tcW w:w="1728" w:type="dxa"/>
            <w:vMerge w:val="restart"/>
            <w:tcBorders>
              <w:top w:val="single" w:color="auto" w:sz="4" w:space="0"/>
              <w:left w:val="single" w:color="auto" w:sz="4" w:space="0"/>
              <w:bottom w:val="single" w:color="auto" w:sz="4" w:space="0"/>
              <w:right w:val="single" w:color="auto" w:sz="4" w:space="0"/>
            </w:tcBorders>
            <w:vAlign w:val="center"/>
          </w:tcPr>
          <w:p>
            <w:pPr>
              <w:jc w:val="center"/>
              <w:rPr>
                <w:rFonts w:ascii="Tahoma" w:hAnsi="Tahoma"/>
                <w:color w:val="auto"/>
                <w:sz w:val="24"/>
                <w:szCs w:val="28"/>
                <w:highlight w:val="none"/>
              </w:rPr>
            </w:pPr>
            <w:r>
              <w:rPr>
                <w:rFonts w:hint="eastAsia" w:ascii="Tahoma" w:hAnsi="Tahoma"/>
                <w:color w:val="auto"/>
                <w:sz w:val="24"/>
                <w:szCs w:val="28"/>
                <w:highlight w:val="none"/>
              </w:rPr>
              <w:t>联系方式</w:t>
            </w:r>
          </w:p>
        </w:tc>
        <w:tc>
          <w:tcPr>
            <w:tcW w:w="898" w:type="dxa"/>
            <w:tcBorders>
              <w:top w:val="single" w:color="auto" w:sz="4" w:space="0"/>
              <w:left w:val="single" w:color="auto" w:sz="4" w:space="0"/>
              <w:bottom w:val="single" w:color="auto" w:sz="4" w:space="0"/>
              <w:right w:val="single" w:color="auto" w:sz="4" w:space="0"/>
            </w:tcBorders>
            <w:vAlign w:val="center"/>
          </w:tcPr>
          <w:p>
            <w:pPr>
              <w:jc w:val="center"/>
              <w:rPr>
                <w:rFonts w:ascii="Tahoma" w:hAnsi="Tahoma"/>
                <w:color w:val="auto"/>
                <w:sz w:val="24"/>
                <w:szCs w:val="28"/>
                <w:highlight w:val="none"/>
              </w:rPr>
            </w:pPr>
            <w:r>
              <w:rPr>
                <w:rFonts w:hint="eastAsia" w:ascii="Tahoma" w:hAnsi="Tahoma"/>
                <w:color w:val="auto"/>
                <w:sz w:val="24"/>
                <w:szCs w:val="28"/>
                <w:highlight w:val="none"/>
              </w:rPr>
              <w:t>联系人</w:t>
            </w:r>
          </w:p>
        </w:tc>
        <w:tc>
          <w:tcPr>
            <w:tcW w:w="2522" w:type="dxa"/>
            <w:gridSpan w:val="4"/>
            <w:tcBorders>
              <w:top w:val="single" w:color="auto" w:sz="4" w:space="0"/>
              <w:left w:val="single" w:color="auto" w:sz="4" w:space="0"/>
              <w:bottom w:val="single" w:color="auto" w:sz="4" w:space="0"/>
              <w:right w:val="single" w:color="auto" w:sz="4" w:space="0"/>
            </w:tcBorders>
            <w:vAlign w:val="center"/>
          </w:tcPr>
          <w:p>
            <w:pPr>
              <w:jc w:val="center"/>
              <w:rPr>
                <w:rFonts w:ascii="Tahoma" w:hAnsi="Tahoma"/>
                <w:color w:val="auto"/>
                <w:sz w:val="24"/>
                <w:szCs w:val="28"/>
                <w:highlight w:val="none"/>
              </w:rPr>
            </w:pPr>
          </w:p>
        </w:tc>
        <w:tc>
          <w:tcPr>
            <w:tcW w:w="1078" w:type="dxa"/>
            <w:tcBorders>
              <w:top w:val="single" w:color="auto" w:sz="4" w:space="0"/>
              <w:left w:val="single" w:color="auto" w:sz="4" w:space="0"/>
              <w:bottom w:val="single" w:color="auto" w:sz="4" w:space="0"/>
              <w:right w:val="single" w:color="auto" w:sz="4" w:space="0"/>
            </w:tcBorders>
            <w:vAlign w:val="center"/>
          </w:tcPr>
          <w:p>
            <w:pPr>
              <w:jc w:val="center"/>
              <w:rPr>
                <w:rFonts w:ascii="Tahoma" w:hAnsi="Tahoma"/>
                <w:color w:val="auto"/>
                <w:sz w:val="24"/>
                <w:szCs w:val="28"/>
                <w:highlight w:val="none"/>
              </w:rPr>
            </w:pPr>
            <w:r>
              <w:rPr>
                <w:rFonts w:hint="eastAsia" w:ascii="Tahoma" w:hAnsi="Tahoma"/>
                <w:color w:val="auto"/>
                <w:sz w:val="24"/>
                <w:szCs w:val="28"/>
                <w:highlight w:val="none"/>
              </w:rPr>
              <w:t>电 话</w:t>
            </w:r>
          </w:p>
        </w:tc>
        <w:tc>
          <w:tcPr>
            <w:tcW w:w="2342" w:type="dxa"/>
            <w:gridSpan w:val="3"/>
            <w:tcBorders>
              <w:top w:val="single" w:color="auto" w:sz="4" w:space="0"/>
              <w:left w:val="single" w:color="auto" w:sz="4" w:space="0"/>
              <w:bottom w:val="single" w:color="auto" w:sz="4" w:space="0"/>
              <w:right w:val="single" w:color="auto" w:sz="4" w:space="0"/>
            </w:tcBorders>
            <w:vAlign w:val="center"/>
          </w:tcPr>
          <w:p>
            <w:pPr>
              <w:jc w:val="center"/>
              <w:rPr>
                <w:rFonts w:ascii="Tahoma" w:hAnsi="Tahoma"/>
                <w:color w:val="auto"/>
                <w:sz w:val="24"/>
                <w:szCs w:val="28"/>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13" w:hRule="atLeast"/>
        </w:trPr>
        <w:tc>
          <w:tcPr>
            <w:tcW w:w="1728" w:type="dxa"/>
            <w:vMerge w:val="continue"/>
            <w:tcBorders>
              <w:top w:val="single" w:color="auto" w:sz="4" w:space="0"/>
              <w:left w:val="single" w:color="auto" w:sz="4" w:space="0"/>
              <w:bottom w:val="single" w:color="auto" w:sz="4" w:space="0"/>
              <w:right w:val="single" w:color="auto" w:sz="4" w:space="0"/>
            </w:tcBorders>
            <w:vAlign w:val="center"/>
          </w:tcPr>
          <w:p>
            <w:pPr>
              <w:jc w:val="center"/>
              <w:rPr>
                <w:rFonts w:ascii="Tahoma" w:hAnsi="Tahoma"/>
                <w:color w:val="auto"/>
                <w:sz w:val="24"/>
                <w:szCs w:val="28"/>
                <w:highlight w:val="none"/>
              </w:rPr>
            </w:pPr>
          </w:p>
        </w:tc>
        <w:tc>
          <w:tcPr>
            <w:tcW w:w="898" w:type="dxa"/>
            <w:tcBorders>
              <w:top w:val="single" w:color="auto" w:sz="4" w:space="0"/>
              <w:left w:val="single" w:color="auto" w:sz="4" w:space="0"/>
              <w:bottom w:val="single" w:color="auto" w:sz="4" w:space="0"/>
              <w:right w:val="single" w:color="auto" w:sz="4" w:space="0"/>
            </w:tcBorders>
            <w:vAlign w:val="center"/>
          </w:tcPr>
          <w:p>
            <w:pPr>
              <w:jc w:val="center"/>
              <w:rPr>
                <w:rFonts w:ascii="Tahoma" w:hAnsi="Tahoma"/>
                <w:color w:val="auto"/>
                <w:sz w:val="24"/>
                <w:szCs w:val="28"/>
                <w:highlight w:val="none"/>
              </w:rPr>
            </w:pPr>
            <w:r>
              <w:rPr>
                <w:rFonts w:hint="eastAsia" w:ascii="Tahoma" w:hAnsi="Tahoma"/>
                <w:color w:val="auto"/>
                <w:sz w:val="24"/>
                <w:szCs w:val="28"/>
                <w:highlight w:val="none"/>
              </w:rPr>
              <w:t>传  真</w:t>
            </w:r>
          </w:p>
        </w:tc>
        <w:tc>
          <w:tcPr>
            <w:tcW w:w="2522" w:type="dxa"/>
            <w:gridSpan w:val="4"/>
            <w:tcBorders>
              <w:top w:val="single" w:color="auto" w:sz="4" w:space="0"/>
              <w:left w:val="single" w:color="auto" w:sz="4" w:space="0"/>
              <w:bottom w:val="single" w:color="auto" w:sz="4" w:space="0"/>
              <w:right w:val="single" w:color="auto" w:sz="4" w:space="0"/>
            </w:tcBorders>
            <w:vAlign w:val="center"/>
          </w:tcPr>
          <w:p>
            <w:pPr>
              <w:jc w:val="center"/>
              <w:rPr>
                <w:rFonts w:ascii="Tahoma" w:hAnsi="Tahoma"/>
                <w:color w:val="auto"/>
                <w:sz w:val="24"/>
                <w:szCs w:val="28"/>
                <w:highlight w:val="none"/>
              </w:rPr>
            </w:pPr>
          </w:p>
        </w:tc>
        <w:tc>
          <w:tcPr>
            <w:tcW w:w="1078" w:type="dxa"/>
            <w:tcBorders>
              <w:top w:val="single" w:color="auto" w:sz="4" w:space="0"/>
              <w:left w:val="single" w:color="auto" w:sz="4" w:space="0"/>
              <w:bottom w:val="single" w:color="auto" w:sz="4" w:space="0"/>
              <w:right w:val="single" w:color="auto" w:sz="4" w:space="0"/>
            </w:tcBorders>
            <w:vAlign w:val="center"/>
          </w:tcPr>
          <w:p>
            <w:pPr>
              <w:jc w:val="center"/>
              <w:rPr>
                <w:rFonts w:ascii="Tahoma" w:hAnsi="Tahoma"/>
                <w:color w:val="auto"/>
                <w:sz w:val="24"/>
                <w:szCs w:val="28"/>
                <w:highlight w:val="none"/>
              </w:rPr>
            </w:pPr>
            <w:r>
              <w:rPr>
                <w:rFonts w:hint="eastAsia" w:ascii="Tahoma" w:hAnsi="Tahoma"/>
                <w:color w:val="auto"/>
                <w:sz w:val="24"/>
                <w:szCs w:val="28"/>
                <w:highlight w:val="none"/>
              </w:rPr>
              <w:t>网 址</w:t>
            </w:r>
          </w:p>
        </w:tc>
        <w:tc>
          <w:tcPr>
            <w:tcW w:w="2342" w:type="dxa"/>
            <w:gridSpan w:val="3"/>
            <w:tcBorders>
              <w:top w:val="single" w:color="auto" w:sz="4" w:space="0"/>
              <w:left w:val="single" w:color="auto" w:sz="4" w:space="0"/>
              <w:bottom w:val="single" w:color="auto" w:sz="4" w:space="0"/>
              <w:right w:val="single" w:color="auto" w:sz="4" w:space="0"/>
            </w:tcBorders>
            <w:vAlign w:val="center"/>
          </w:tcPr>
          <w:p>
            <w:pPr>
              <w:jc w:val="center"/>
              <w:rPr>
                <w:rFonts w:ascii="Tahoma" w:hAnsi="Tahoma"/>
                <w:color w:val="auto"/>
                <w:sz w:val="24"/>
                <w:szCs w:val="28"/>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4" w:hRule="atLeast"/>
        </w:trPr>
        <w:tc>
          <w:tcPr>
            <w:tcW w:w="1728" w:type="dxa"/>
            <w:tcBorders>
              <w:top w:val="single" w:color="auto" w:sz="4" w:space="0"/>
              <w:left w:val="single" w:color="auto" w:sz="4" w:space="0"/>
              <w:bottom w:val="single" w:color="auto" w:sz="4" w:space="0"/>
              <w:right w:val="single" w:color="auto" w:sz="4" w:space="0"/>
            </w:tcBorders>
            <w:vAlign w:val="center"/>
          </w:tcPr>
          <w:p>
            <w:pPr>
              <w:jc w:val="center"/>
              <w:rPr>
                <w:rFonts w:ascii="Tahoma" w:hAnsi="Tahoma"/>
                <w:color w:val="auto"/>
                <w:sz w:val="24"/>
                <w:szCs w:val="28"/>
                <w:highlight w:val="none"/>
              </w:rPr>
            </w:pPr>
            <w:r>
              <w:rPr>
                <w:rFonts w:hint="eastAsia" w:ascii="Tahoma" w:hAnsi="Tahoma"/>
                <w:color w:val="auto"/>
                <w:sz w:val="24"/>
                <w:szCs w:val="28"/>
                <w:highlight w:val="none"/>
              </w:rPr>
              <w:t>组织结构</w:t>
            </w:r>
          </w:p>
        </w:tc>
        <w:tc>
          <w:tcPr>
            <w:tcW w:w="6840" w:type="dxa"/>
            <w:gridSpan w:val="9"/>
            <w:tcBorders>
              <w:top w:val="single" w:color="auto" w:sz="4" w:space="0"/>
              <w:left w:val="single" w:color="auto" w:sz="4" w:space="0"/>
              <w:bottom w:val="single" w:color="auto" w:sz="4" w:space="0"/>
              <w:right w:val="single" w:color="auto" w:sz="4" w:space="0"/>
            </w:tcBorders>
            <w:vAlign w:val="center"/>
          </w:tcPr>
          <w:p>
            <w:pPr>
              <w:jc w:val="center"/>
              <w:rPr>
                <w:rFonts w:ascii="Tahoma" w:hAnsi="Tahoma"/>
                <w:color w:val="auto"/>
                <w:sz w:val="24"/>
                <w:szCs w:val="28"/>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8" w:hRule="atLeast"/>
        </w:trPr>
        <w:tc>
          <w:tcPr>
            <w:tcW w:w="1728" w:type="dxa"/>
            <w:tcBorders>
              <w:top w:val="single" w:color="auto" w:sz="4" w:space="0"/>
              <w:left w:val="single" w:color="auto" w:sz="4" w:space="0"/>
              <w:bottom w:val="single" w:color="auto" w:sz="4" w:space="0"/>
              <w:right w:val="single" w:color="auto" w:sz="4" w:space="0"/>
            </w:tcBorders>
            <w:vAlign w:val="center"/>
          </w:tcPr>
          <w:p>
            <w:pPr>
              <w:jc w:val="center"/>
              <w:rPr>
                <w:rFonts w:ascii="Tahoma" w:hAnsi="Tahoma"/>
                <w:color w:val="auto"/>
                <w:sz w:val="24"/>
                <w:szCs w:val="28"/>
                <w:highlight w:val="none"/>
              </w:rPr>
            </w:pPr>
            <w:r>
              <w:rPr>
                <w:rFonts w:hint="eastAsia" w:ascii="Tahoma" w:hAnsi="Tahoma"/>
                <w:color w:val="auto"/>
                <w:sz w:val="24"/>
                <w:szCs w:val="28"/>
                <w:highlight w:val="none"/>
              </w:rPr>
              <w:t>法定代表人</w:t>
            </w:r>
          </w:p>
        </w:tc>
        <w:tc>
          <w:tcPr>
            <w:tcW w:w="898" w:type="dxa"/>
            <w:tcBorders>
              <w:top w:val="single" w:color="auto" w:sz="4" w:space="0"/>
              <w:left w:val="single" w:color="auto" w:sz="4" w:space="0"/>
              <w:bottom w:val="single" w:color="auto" w:sz="4" w:space="0"/>
              <w:right w:val="single" w:color="auto" w:sz="4" w:space="0"/>
            </w:tcBorders>
            <w:vAlign w:val="center"/>
          </w:tcPr>
          <w:p>
            <w:pPr>
              <w:jc w:val="center"/>
              <w:rPr>
                <w:rFonts w:ascii="Tahoma" w:hAnsi="Tahoma"/>
                <w:color w:val="auto"/>
                <w:sz w:val="24"/>
                <w:szCs w:val="28"/>
                <w:highlight w:val="none"/>
              </w:rPr>
            </w:pPr>
            <w:r>
              <w:rPr>
                <w:rFonts w:hint="eastAsia" w:ascii="Tahoma" w:hAnsi="Tahoma"/>
                <w:color w:val="auto"/>
                <w:sz w:val="24"/>
                <w:szCs w:val="28"/>
                <w:highlight w:val="none"/>
              </w:rPr>
              <w:t>姓名</w:t>
            </w:r>
          </w:p>
        </w:tc>
        <w:tc>
          <w:tcPr>
            <w:tcW w:w="951" w:type="dxa"/>
            <w:tcBorders>
              <w:top w:val="single" w:color="auto" w:sz="4" w:space="0"/>
              <w:left w:val="single" w:color="auto" w:sz="4" w:space="0"/>
              <w:bottom w:val="single" w:color="auto" w:sz="4" w:space="0"/>
              <w:right w:val="single" w:color="auto" w:sz="4" w:space="0"/>
            </w:tcBorders>
            <w:vAlign w:val="center"/>
          </w:tcPr>
          <w:p>
            <w:pPr>
              <w:jc w:val="center"/>
              <w:rPr>
                <w:rFonts w:ascii="Tahoma" w:hAnsi="Tahoma"/>
                <w:color w:val="auto"/>
                <w:sz w:val="24"/>
                <w:szCs w:val="28"/>
                <w:highlight w:val="none"/>
              </w:rPr>
            </w:pPr>
          </w:p>
        </w:tc>
        <w:tc>
          <w:tcPr>
            <w:tcW w:w="1260"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Tahoma" w:hAnsi="Tahoma"/>
                <w:color w:val="auto"/>
                <w:sz w:val="24"/>
                <w:szCs w:val="28"/>
                <w:highlight w:val="none"/>
              </w:rPr>
            </w:pPr>
            <w:r>
              <w:rPr>
                <w:rFonts w:hint="eastAsia" w:ascii="Tahoma" w:hAnsi="Tahoma"/>
                <w:color w:val="auto"/>
                <w:sz w:val="24"/>
                <w:szCs w:val="28"/>
                <w:highlight w:val="none"/>
              </w:rPr>
              <w:t>技术职称</w:t>
            </w:r>
          </w:p>
        </w:tc>
        <w:tc>
          <w:tcPr>
            <w:tcW w:w="1879" w:type="dxa"/>
            <w:gridSpan w:val="3"/>
            <w:tcBorders>
              <w:top w:val="single" w:color="auto" w:sz="4" w:space="0"/>
              <w:left w:val="single" w:color="auto" w:sz="4" w:space="0"/>
              <w:bottom w:val="single" w:color="auto" w:sz="4" w:space="0"/>
              <w:right w:val="single" w:color="auto" w:sz="4" w:space="0"/>
            </w:tcBorders>
            <w:vAlign w:val="center"/>
          </w:tcPr>
          <w:p>
            <w:pPr>
              <w:jc w:val="center"/>
              <w:rPr>
                <w:rFonts w:ascii="Tahoma" w:hAnsi="Tahoma"/>
                <w:color w:val="auto"/>
                <w:sz w:val="24"/>
                <w:szCs w:val="28"/>
                <w:highlight w:val="none"/>
              </w:rPr>
            </w:pPr>
          </w:p>
        </w:tc>
        <w:tc>
          <w:tcPr>
            <w:tcW w:w="860" w:type="dxa"/>
            <w:tcBorders>
              <w:top w:val="single" w:color="auto" w:sz="4" w:space="0"/>
              <w:left w:val="single" w:color="auto" w:sz="4" w:space="0"/>
              <w:bottom w:val="single" w:color="auto" w:sz="4" w:space="0"/>
              <w:right w:val="single" w:color="auto" w:sz="4" w:space="0"/>
            </w:tcBorders>
            <w:vAlign w:val="center"/>
          </w:tcPr>
          <w:p>
            <w:pPr>
              <w:jc w:val="center"/>
              <w:rPr>
                <w:rFonts w:ascii="Tahoma" w:hAnsi="Tahoma"/>
                <w:color w:val="auto"/>
                <w:sz w:val="24"/>
                <w:szCs w:val="28"/>
                <w:highlight w:val="none"/>
              </w:rPr>
            </w:pPr>
            <w:r>
              <w:rPr>
                <w:rFonts w:hint="eastAsia" w:ascii="Tahoma" w:hAnsi="Tahoma"/>
                <w:color w:val="auto"/>
                <w:sz w:val="24"/>
                <w:szCs w:val="28"/>
                <w:highlight w:val="none"/>
              </w:rPr>
              <w:t>电话</w:t>
            </w:r>
          </w:p>
        </w:tc>
        <w:tc>
          <w:tcPr>
            <w:tcW w:w="992" w:type="dxa"/>
            <w:tcBorders>
              <w:top w:val="single" w:color="auto" w:sz="4" w:space="0"/>
              <w:left w:val="single" w:color="auto" w:sz="4" w:space="0"/>
              <w:bottom w:val="single" w:color="auto" w:sz="4" w:space="0"/>
              <w:right w:val="single" w:color="auto" w:sz="4" w:space="0"/>
            </w:tcBorders>
            <w:vAlign w:val="center"/>
          </w:tcPr>
          <w:p>
            <w:pPr>
              <w:jc w:val="center"/>
              <w:rPr>
                <w:rFonts w:ascii="Tahoma" w:hAnsi="Tahoma"/>
                <w:color w:val="auto"/>
                <w:sz w:val="24"/>
                <w:szCs w:val="28"/>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2" w:hRule="atLeast"/>
        </w:trPr>
        <w:tc>
          <w:tcPr>
            <w:tcW w:w="1728" w:type="dxa"/>
            <w:tcBorders>
              <w:top w:val="single" w:color="auto" w:sz="4" w:space="0"/>
              <w:left w:val="single" w:color="auto" w:sz="4" w:space="0"/>
              <w:bottom w:val="single" w:color="auto" w:sz="4" w:space="0"/>
              <w:right w:val="single" w:color="auto" w:sz="4" w:space="0"/>
            </w:tcBorders>
            <w:vAlign w:val="center"/>
          </w:tcPr>
          <w:p>
            <w:pPr>
              <w:jc w:val="center"/>
              <w:rPr>
                <w:rFonts w:ascii="Tahoma" w:hAnsi="Tahoma"/>
                <w:color w:val="auto"/>
                <w:sz w:val="24"/>
                <w:szCs w:val="28"/>
                <w:highlight w:val="none"/>
              </w:rPr>
            </w:pPr>
            <w:r>
              <w:rPr>
                <w:rFonts w:hint="eastAsia" w:ascii="Tahoma" w:hAnsi="Tahoma"/>
                <w:color w:val="auto"/>
                <w:sz w:val="24"/>
                <w:szCs w:val="28"/>
                <w:highlight w:val="none"/>
              </w:rPr>
              <w:t>技术负责人</w:t>
            </w:r>
          </w:p>
        </w:tc>
        <w:tc>
          <w:tcPr>
            <w:tcW w:w="898" w:type="dxa"/>
            <w:tcBorders>
              <w:top w:val="single" w:color="auto" w:sz="4" w:space="0"/>
              <w:left w:val="single" w:color="auto" w:sz="4" w:space="0"/>
              <w:bottom w:val="single" w:color="auto" w:sz="4" w:space="0"/>
              <w:right w:val="single" w:color="auto" w:sz="4" w:space="0"/>
            </w:tcBorders>
            <w:vAlign w:val="center"/>
          </w:tcPr>
          <w:p>
            <w:pPr>
              <w:jc w:val="center"/>
              <w:rPr>
                <w:rFonts w:ascii="Tahoma" w:hAnsi="Tahoma"/>
                <w:color w:val="auto"/>
                <w:sz w:val="24"/>
                <w:szCs w:val="28"/>
                <w:highlight w:val="none"/>
              </w:rPr>
            </w:pPr>
            <w:r>
              <w:rPr>
                <w:rFonts w:hint="eastAsia" w:ascii="Tahoma" w:hAnsi="Tahoma"/>
                <w:color w:val="auto"/>
                <w:sz w:val="24"/>
                <w:szCs w:val="28"/>
                <w:highlight w:val="none"/>
              </w:rPr>
              <w:t>姓名</w:t>
            </w:r>
          </w:p>
        </w:tc>
        <w:tc>
          <w:tcPr>
            <w:tcW w:w="951" w:type="dxa"/>
            <w:tcBorders>
              <w:top w:val="single" w:color="auto" w:sz="4" w:space="0"/>
              <w:left w:val="single" w:color="auto" w:sz="4" w:space="0"/>
              <w:bottom w:val="single" w:color="auto" w:sz="4" w:space="0"/>
              <w:right w:val="single" w:color="auto" w:sz="4" w:space="0"/>
            </w:tcBorders>
            <w:vAlign w:val="center"/>
          </w:tcPr>
          <w:p>
            <w:pPr>
              <w:jc w:val="center"/>
              <w:rPr>
                <w:rFonts w:ascii="Tahoma" w:hAnsi="Tahoma"/>
                <w:color w:val="auto"/>
                <w:sz w:val="24"/>
                <w:szCs w:val="28"/>
                <w:highlight w:val="none"/>
              </w:rPr>
            </w:pPr>
          </w:p>
        </w:tc>
        <w:tc>
          <w:tcPr>
            <w:tcW w:w="1260"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Tahoma" w:hAnsi="Tahoma"/>
                <w:color w:val="auto"/>
                <w:sz w:val="24"/>
                <w:szCs w:val="28"/>
                <w:highlight w:val="none"/>
              </w:rPr>
            </w:pPr>
            <w:r>
              <w:rPr>
                <w:rFonts w:hint="eastAsia" w:ascii="Tahoma" w:hAnsi="Tahoma"/>
                <w:color w:val="auto"/>
                <w:sz w:val="24"/>
                <w:szCs w:val="28"/>
                <w:highlight w:val="none"/>
              </w:rPr>
              <w:t>技术职称</w:t>
            </w:r>
          </w:p>
        </w:tc>
        <w:tc>
          <w:tcPr>
            <w:tcW w:w="1879" w:type="dxa"/>
            <w:gridSpan w:val="3"/>
            <w:tcBorders>
              <w:top w:val="single" w:color="auto" w:sz="4" w:space="0"/>
              <w:left w:val="single" w:color="auto" w:sz="4" w:space="0"/>
              <w:bottom w:val="single" w:color="auto" w:sz="4" w:space="0"/>
              <w:right w:val="single" w:color="auto" w:sz="4" w:space="0"/>
            </w:tcBorders>
            <w:vAlign w:val="center"/>
          </w:tcPr>
          <w:p>
            <w:pPr>
              <w:jc w:val="center"/>
              <w:rPr>
                <w:rFonts w:ascii="Tahoma" w:hAnsi="Tahoma"/>
                <w:color w:val="auto"/>
                <w:sz w:val="24"/>
                <w:szCs w:val="28"/>
                <w:highlight w:val="none"/>
              </w:rPr>
            </w:pPr>
          </w:p>
        </w:tc>
        <w:tc>
          <w:tcPr>
            <w:tcW w:w="860" w:type="dxa"/>
            <w:tcBorders>
              <w:top w:val="single" w:color="auto" w:sz="4" w:space="0"/>
              <w:left w:val="single" w:color="auto" w:sz="4" w:space="0"/>
              <w:bottom w:val="single" w:color="auto" w:sz="4" w:space="0"/>
              <w:right w:val="single" w:color="auto" w:sz="4" w:space="0"/>
            </w:tcBorders>
            <w:vAlign w:val="center"/>
          </w:tcPr>
          <w:p>
            <w:pPr>
              <w:jc w:val="center"/>
              <w:rPr>
                <w:rFonts w:ascii="Tahoma" w:hAnsi="Tahoma"/>
                <w:color w:val="auto"/>
                <w:sz w:val="24"/>
                <w:szCs w:val="28"/>
                <w:highlight w:val="none"/>
              </w:rPr>
            </w:pPr>
            <w:r>
              <w:rPr>
                <w:rFonts w:hint="eastAsia" w:ascii="Tahoma" w:hAnsi="Tahoma"/>
                <w:color w:val="auto"/>
                <w:sz w:val="24"/>
                <w:szCs w:val="28"/>
                <w:highlight w:val="none"/>
              </w:rPr>
              <w:t>电话</w:t>
            </w:r>
          </w:p>
        </w:tc>
        <w:tc>
          <w:tcPr>
            <w:tcW w:w="992" w:type="dxa"/>
            <w:tcBorders>
              <w:top w:val="single" w:color="auto" w:sz="4" w:space="0"/>
              <w:left w:val="single" w:color="auto" w:sz="4" w:space="0"/>
              <w:bottom w:val="single" w:color="auto" w:sz="4" w:space="0"/>
              <w:right w:val="single" w:color="auto" w:sz="4" w:space="0"/>
            </w:tcBorders>
            <w:vAlign w:val="center"/>
          </w:tcPr>
          <w:p>
            <w:pPr>
              <w:jc w:val="center"/>
              <w:rPr>
                <w:rFonts w:ascii="Tahoma" w:hAnsi="Tahoma"/>
                <w:color w:val="auto"/>
                <w:sz w:val="24"/>
                <w:szCs w:val="28"/>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1728" w:type="dxa"/>
            <w:tcBorders>
              <w:top w:val="single" w:color="auto" w:sz="4" w:space="0"/>
              <w:left w:val="single" w:color="auto" w:sz="4" w:space="0"/>
              <w:bottom w:val="single" w:color="auto" w:sz="4" w:space="0"/>
              <w:right w:val="single" w:color="auto" w:sz="4" w:space="0"/>
            </w:tcBorders>
            <w:vAlign w:val="center"/>
          </w:tcPr>
          <w:p>
            <w:pPr>
              <w:jc w:val="center"/>
              <w:rPr>
                <w:rFonts w:ascii="Tahoma" w:hAnsi="Tahoma"/>
                <w:color w:val="auto"/>
                <w:sz w:val="24"/>
                <w:szCs w:val="28"/>
                <w:highlight w:val="none"/>
              </w:rPr>
            </w:pPr>
            <w:r>
              <w:rPr>
                <w:rFonts w:hint="eastAsia" w:ascii="Tahoma" w:hAnsi="Tahoma"/>
                <w:color w:val="auto"/>
                <w:sz w:val="24"/>
                <w:szCs w:val="28"/>
                <w:highlight w:val="none"/>
              </w:rPr>
              <w:t>成立时间</w:t>
            </w:r>
          </w:p>
        </w:tc>
        <w:tc>
          <w:tcPr>
            <w:tcW w:w="1849"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Tahoma" w:hAnsi="Tahoma"/>
                <w:color w:val="auto"/>
                <w:sz w:val="24"/>
                <w:szCs w:val="28"/>
                <w:highlight w:val="none"/>
              </w:rPr>
            </w:pPr>
          </w:p>
        </w:tc>
        <w:tc>
          <w:tcPr>
            <w:tcW w:w="4991" w:type="dxa"/>
            <w:gridSpan w:val="7"/>
            <w:tcBorders>
              <w:top w:val="single" w:color="auto" w:sz="4" w:space="0"/>
              <w:left w:val="single" w:color="auto" w:sz="4" w:space="0"/>
              <w:bottom w:val="single" w:color="auto" w:sz="4" w:space="0"/>
              <w:right w:val="single" w:color="auto" w:sz="4" w:space="0"/>
            </w:tcBorders>
            <w:vAlign w:val="center"/>
          </w:tcPr>
          <w:p>
            <w:pPr>
              <w:jc w:val="center"/>
              <w:rPr>
                <w:rFonts w:ascii="Tahoma" w:hAnsi="Tahoma"/>
                <w:color w:val="auto"/>
                <w:sz w:val="24"/>
                <w:szCs w:val="28"/>
                <w:highlight w:val="none"/>
              </w:rPr>
            </w:pPr>
            <w:r>
              <w:rPr>
                <w:rFonts w:hint="eastAsia" w:ascii="Tahoma" w:hAnsi="Tahoma"/>
                <w:color w:val="auto"/>
                <w:sz w:val="24"/>
                <w:szCs w:val="28"/>
                <w:highlight w:val="none"/>
              </w:rPr>
              <w:t>员工总人数：</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58" w:hRule="atLeast"/>
        </w:trPr>
        <w:tc>
          <w:tcPr>
            <w:tcW w:w="1728" w:type="dxa"/>
            <w:tcBorders>
              <w:top w:val="single" w:color="auto" w:sz="4" w:space="0"/>
              <w:left w:val="single" w:color="auto" w:sz="4" w:space="0"/>
              <w:bottom w:val="single" w:color="auto" w:sz="4" w:space="0"/>
              <w:right w:val="single" w:color="auto" w:sz="4" w:space="0"/>
            </w:tcBorders>
            <w:vAlign w:val="center"/>
          </w:tcPr>
          <w:p>
            <w:pPr>
              <w:jc w:val="center"/>
              <w:rPr>
                <w:rFonts w:ascii="Tahoma" w:hAnsi="Tahoma"/>
                <w:color w:val="auto"/>
                <w:sz w:val="24"/>
                <w:szCs w:val="28"/>
                <w:highlight w:val="none"/>
              </w:rPr>
            </w:pPr>
            <w:r>
              <w:rPr>
                <w:rFonts w:hint="eastAsia" w:ascii="Tahoma" w:hAnsi="Tahoma"/>
                <w:color w:val="auto"/>
                <w:sz w:val="24"/>
                <w:szCs w:val="28"/>
                <w:highlight w:val="none"/>
              </w:rPr>
              <w:t>企业资质等级</w:t>
            </w:r>
          </w:p>
        </w:tc>
        <w:tc>
          <w:tcPr>
            <w:tcW w:w="1849"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Tahoma" w:hAnsi="Tahoma"/>
                <w:color w:val="auto"/>
                <w:sz w:val="24"/>
                <w:szCs w:val="28"/>
                <w:highlight w:val="none"/>
              </w:rPr>
            </w:pPr>
          </w:p>
        </w:tc>
        <w:tc>
          <w:tcPr>
            <w:tcW w:w="840" w:type="dxa"/>
            <w:vMerge w:val="restart"/>
            <w:tcBorders>
              <w:top w:val="single" w:color="auto" w:sz="4" w:space="0"/>
              <w:left w:val="single" w:color="auto" w:sz="4" w:space="0"/>
              <w:bottom w:val="single" w:color="auto" w:sz="4" w:space="0"/>
              <w:right w:val="single" w:color="auto" w:sz="4" w:space="0"/>
            </w:tcBorders>
            <w:vAlign w:val="center"/>
          </w:tcPr>
          <w:p>
            <w:pPr>
              <w:jc w:val="center"/>
              <w:rPr>
                <w:rFonts w:ascii="Tahoma" w:hAnsi="Tahoma"/>
                <w:color w:val="auto"/>
                <w:sz w:val="24"/>
                <w:szCs w:val="28"/>
                <w:highlight w:val="none"/>
              </w:rPr>
            </w:pPr>
            <w:r>
              <w:rPr>
                <w:rFonts w:hint="eastAsia" w:ascii="Tahoma" w:hAnsi="Tahoma"/>
                <w:color w:val="auto"/>
                <w:sz w:val="24"/>
                <w:szCs w:val="28"/>
                <w:highlight w:val="none"/>
              </w:rPr>
              <w:t>其中</w:t>
            </w:r>
          </w:p>
        </w:tc>
        <w:tc>
          <w:tcPr>
            <w:tcW w:w="2299" w:type="dxa"/>
            <w:gridSpan w:val="4"/>
            <w:tcBorders>
              <w:top w:val="single" w:color="auto" w:sz="4" w:space="0"/>
              <w:left w:val="single" w:color="auto" w:sz="4" w:space="0"/>
              <w:bottom w:val="single" w:color="auto" w:sz="4" w:space="0"/>
              <w:right w:val="single" w:color="auto" w:sz="4" w:space="0"/>
            </w:tcBorders>
            <w:vAlign w:val="center"/>
          </w:tcPr>
          <w:p>
            <w:pPr>
              <w:jc w:val="center"/>
              <w:rPr>
                <w:rFonts w:ascii="Tahoma" w:hAnsi="Tahoma"/>
                <w:color w:val="auto"/>
                <w:sz w:val="24"/>
                <w:szCs w:val="28"/>
                <w:highlight w:val="none"/>
              </w:rPr>
            </w:pPr>
            <w:r>
              <w:rPr>
                <w:rFonts w:hint="eastAsia" w:ascii="Tahoma" w:hAnsi="Tahoma"/>
                <w:color w:val="auto"/>
                <w:sz w:val="24"/>
                <w:szCs w:val="28"/>
                <w:highlight w:val="none"/>
              </w:rPr>
              <w:t>项目经理</w:t>
            </w:r>
          </w:p>
        </w:tc>
        <w:tc>
          <w:tcPr>
            <w:tcW w:w="1852"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Tahoma" w:hAnsi="Tahoma"/>
                <w:color w:val="auto"/>
                <w:sz w:val="24"/>
                <w:szCs w:val="28"/>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10" w:hRule="atLeast"/>
        </w:trPr>
        <w:tc>
          <w:tcPr>
            <w:tcW w:w="1728" w:type="dxa"/>
            <w:tcBorders>
              <w:top w:val="single" w:color="auto" w:sz="4" w:space="0"/>
              <w:left w:val="single" w:color="auto" w:sz="4" w:space="0"/>
              <w:bottom w:val="single" w:color="auto" w:sz="4" w:space="0"/>
              <w:right w:val="single" w:color="auto" w:sz="4" w:space="0"/>
            </w:tcBorders>
            <w:vAlign w:val="center"/>
          </w:tcPr>
          <w:p>
            <w:pPr>
              <w:jc w:val="center"/>
              <w:rPr>
                <w:rFonts w:ascii="Tahoma" w:hAnsi="Tahoma"/>
                <w:color w:val="auto"/>
                <w:sz w:val="24"/>
                <w:szCs w:val="28"/>
                <w:highlight w:val="none"/>
              </w:rPr>
            </w:pPr>
            <w:r>
              <w:rPr>
                <w:rFonts w:hint="eastAsia" w:ascii="Tahoma" w:hAnsi="Tahoma"/>
                <w:color w:val="auto"/>
                <w:sz w:val="24"/>
                <w:szCs w:val="28"/>
                <w:highlight w:val="none"/>
              </w:rPr>
              <w:t>营业执照号</w:t>
            </w:r>
          </w:p>
        </w:tc>
        <w:tc>
          <w:tcPr>
            <w:tcW w:w="1849"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Tahoma" w:hAnsi="Tahoma"/>
                <w:color w:val="auto"/>
                <w:sz w:val="24"/>
                <w:szCs w:val="28"/>
                <w:highlight w:val="none"/>
              </w:rPr>
            </w:pPr>
          </w:p>
        </w:tc>
        <w:tc>
          <w:tcPr>
            <w:tcW w:w="840" w:type="dxa"/>
            <w:vMerge w:val="continue"/>
            <w:tcBorders>
              <w:top w:val="single" w:color="auto" w:sz="4" w:space="0"/>
              <w:left w:val="single" w:color="auto" w:sz="4" w:space="0"/>
              <w:bottom w:val="single" w:color="auto" w:sz="4" w:space="0"/>
              <w:right w:val="single" w:color="auto" w:sz="4" w:space="0"/>
            </w:tcBorders>
            <w:vAlign w:val="center"/>
          </w:tcPr>
          <w:p>
            <w:pPr>
              <w:jc w:val="center"/>
              <w:rPr>
                <w:rFonts w:ascii="Tahoma" w:hAnsi="Tahoma"/>
                <w:color w:val="auto"/>
                <w:sz w:val="24"/>
                <w:szCs w:val="28"/>
                <w:highlight w:val="none"/>
              </w:rPr>
            </w:pPr>
          </w:p>
        </w:tc>
        <w:tc>
          <w:tcPr>
            <w:tcW w:w="2299" w:type="dxa"/>
            <w:gridSpan w:val="4"/>
            <w:tcBorders>
              <w:top w:val="single" w:color="auto" w:sz="4" w:space="0"/>
              <w:left w:val="single" w:color="auto" w:sz="4" w:space="0"/>
              <w:bottom w:val="single" w:color="auto" w:sz="4" w:space="0"/>
              <w:right w:val="single" w:color="auto" w:sz="4" w:space="0"/>
            </w:tcBorders>
            <w:vAlign w:val="center"/>
          </w:tcPr>
          <w:p>
            <w:pPr>
              <w:jc w:val="center"/>
              <w:rPr>
                <w:rFonts w:ascii="Tahoma" w:hAnsi="Tahoma"/>
                <w:color w:val="auto"/>
                <w:sz w:val="24"/>
                <w:szCs w:val="28"/>
                <w:highlight w:val="none"/>
              </w:rPr>
            </w:pPr>
            <w:r>
              <w:rPr>
                <w:rFonts w:hint="eastAsia" w:ascii="Tahoma" w:hAnsi="Tahoma"/>
                <w:color w:val="auto"/>
                <w:sz w:val="24"/>
                <w:szCs w:val="28"/>
                <w:highlight w:val="none"/>
              </w:rPr>
              <w:t>高级职称人员</w:t>
            </w:r>
          </w:p>
        </w:tc>
        <w:tc>
          <w:tcPr>
            <w:tcW w:w="1852"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Tahoma" w:hAnsi="Tahoma"/>
                <w:color w:val="auto"/>
                <w:sz w:val="24"/>
                <w:szCs w:val="28"/>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04" w:hRule="atLeast"/>
        </w:trPr>
        <w:tc>
          <w:tcPr>
            <w:tcW w:w="1728" w:type="dxa"/>
            <w:tcBorders>
              <w:top w:val="single" w:color="auto" w:sz="4" w:space="0"/>
              <w:left w:val="single" w:color="auto" w:sz="4" w:space="0"/>
              <w:bottom w:val="single" w:color="auto" w:sz="4" w:space="0"/>
              <w:right w:val="single" w:color="auto" w:sz="4" w:space="0"/>
            </w:tcBorders>
            <w:vAlign w:val="center"/>
          </w:tcPr>
          <w:p>
            <w:pPr>
              <w:jc w:val="center"/>
              <w:rPr>
                <w:rFonts w:ascii="Tahoma" w:hAnsi="Tahoma"/>
                <w:color w:val="auto"/>
                <w:sz w:val="24"/>
                <w:szCs w:val="28"/>
                <w:highlight w:val="none"/>
              </w:rPr>
            </w:pPr>
            <w:r>
              <w:rPr>
                <w:rFonts w:hint="eastAsia" w:ascii="Tahoma" w:hAnsi="Tahoma"/>
                <w:color w:val="auto"/>
                <w:sz w:val="24"/>
                <w:szCs w:val="28"/>
                <w:highlight w:val="none"/>
              </w:rPr>
              <w:t>注册资金</w:t>
            </w:r>
          </w:p>
        </w:tc>
        <w:tc>
          <w:tcPr>
            <w:tcW w:w="1849"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Tahoma" w:hAnsi="Tahoma"/>
                <w:color w:val="auto"/>
                <w:sz w:val="24"/>
                <w:szCs w:val="28"/>
                <w:highlight w:val="none"/>
              </w:rPr>
            </w:pPr>
          </w:p>
        </w:tc>
        <w:tc>
          <w:tcPr>
            <w:tcW w:w="840" w:type="dxa"/>
            <w:vMerge w:val="continue"/>
            <w:tcBorders>
              <w:top w:val="single" w:color="auto" w:sz="4" w:space="0"/>
              <w:left w:val="single" w:color="auto" w:sz="4" w:space="0"/>
              <w:bottom w:val="single" w:color="auto" w:sz="4" w:space="0"/>
              <w:right w:val="single" w:color="auto" w:sz="4" w:space="0"/>
            </w:tcBorders>
            <w:vAlign w:val="center"/>
          </w:tcPr>
          <w:p>
            <w:pPr>
              <w:jc w:val="center"/>
              <w:rPr>
                <w:rFonts w:ascii="Tahoma" w:hAnsi="Tahoma"/>
                <w:color w:val="auto"/>
                <w:sz w:val="24"/>
                <w:szCs w:val="28"/>
                <w:highlight w:val="none"/>
              </w:rPr>
            </w:pPr>
          </w:p>
        </w:tc>
        <w:tc>
          <w:tcPr>
            <w:tcW w:w="2299" w:type="dxa"/>
            <w:gridSpan w:val="4"/>
            <w:tcBorders>
              <w:top w:val="single" w:color="auto" w:sz="4" w:space="0"/>
              <w:left w:val="single" w:color="auto" w:sz="4" w:space="0"/>
              <w:bottom w:val="single" w:color="auto" w:sz="4" w:space="0"/>
              <w:right w:val="single" w:color="auto" w:sz="4" w:space="0"/>
            </w:tcBorders>
            <w:vAlign w:val="center"/>
          </w:tcPr>
          <w:p>
            <w:pPr>
              <w:jc w:val="center"/>
              <w:rPr>
                <w:rFonts w:ascii="Tahoma" w:hAnsi="Tahoma"/>
                <w:color w:val="auto"/>
                <w:sz w:val="24"/>
                <w:szCs w:val="28"/>
                <w:highlight w:val="none"/>
              </w:rPr>
            </w:pPr>
            <w:r>
              <w:rPr>
                <w:rFonts w:hint="eastAsia" w:ascii="Tahoma" w:hAnsi="Tahoma"/>
                <w:color w:val="auto"/>
                <w:sz w:val="24"/>
                <w:szCs w:val="28"/>
                <w:highlight w:val="none"/>
              </w:rPr>
              <w:t>中级职称人员</w:t>
            </w:r>
          </w:p>
        </w:tc>
        <w:tc>
          <w:tcPr>
            <w:tcW w:w="1852"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Tahoma" w:hAnsi="Tahoma"/>
                <w:color w:val="auto"/>
                <w:sz w:val="24"/>
                <w:szCs w:val="28"/>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26" w:hRule="atLeast"/>
        </w:trPr>
        <w:tc>
          <w:tcPr>
            <w:tcW w:w="1728" w:type="dxa"/>
            <w:tcBorders>
              <w:top w:val="single" w:color="auto" w:sz="4" w:space="0"/>
              <w:left w:val="single" w:color="auto" w:sz="4" w:space="0"/>
              <w:bottom w:val="single" w:color="auto" w:sz="4" w:space="0"/>
              <w:right w:val="single" w:color="auto" w:sz="4" w:space="0"/>
            </w:tcBorders>
            <w:vAlign w:val="center"/>
          </w:tcPr>
          <w:p>
            <w:pPr>
              <w:jc w:val="center"/>
              <w:rPr>
                <w:rFonts w:ascii="Tahoma" w:hAnsi="Tahoma"/>
                <w:color w:val="auto"/>
                <w:sz w:val="24"/>
                <w:szCs w:val="28"/>
                <w:highlight w:val="none"/>
              </w:rPr>
            </w:pPr>
            <w:r>
              <w:rPr>
                <w:rFonts w:hint="eastAsia" w:ascii="Tahoma" w:hAnsi="Tahoma"/>
                <w:color w:val="auto"/>
                <w:sz w:val="24"/>
                <w:szCs w:val="28"/>
                <w:highlight w:val="none"/>
              </w:rPr>
              <w:t>开户银行</w:t>
            </w:r>
          </w:p>
        </w:tc>
        <w:tc>
          <w:tcPr>
            <w:tcW w:w="1849"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Tahoma" w:hAnsi="Tahoma"/>
                <w:color w:val="auto"/>
                <w:sz w:val="24"/>
                <w:szCs w:val="28"/>
                <w:highlight w:val="none"/>
              </w:rPr>
            </w:pPr>
          </w:p>
        </w:tc>
        <w:tc>
          <w:tcPr>
            <w:tcW w:w="840" w:type="dxa"/>
            <w:vMerge w:val="continue"/>
            <w:tcBorders>
              <w:top w:val="single" w:color="auto" w:sz="4" w:space="0"/>
              <w:left w:val="single" w:color="auto" w:sz="4" w:space="0"/>
              <w:bottom w:val="single" w:color="auto" w:sz="4" w:space="0"/>
              <w:right w:val="single" w:color="auto" w:sz="4" w:space="0"/>
            </w:tcBorders>
            <w:vAlign w:val="center"/>
          </w:tcPr>
          <w:p>
            <w:pPr>
              <w:jc w:val="center"/>
              <w:rPr>
                <w:rFonts w:ascii="Tahoma" w:hAnsi="Tahoma"/>
                <w:color w:val="auto"/>
                <w:sz w:val="24"/>
                <w:szCs w:val="28"/>
                <w:highlight w:val="none"/>
              </w:rPr>
            </w:pPr>
          </w:p>
        </w:tc>
        <w:tc>
          <w:tcPr>
            <w:tcW w:w="2299" w:type="dxa"/>
            <w:gridSpan w:val="4"/>
            <w:tcBorders>
              <w:top w:val="single" w:color="auto" w:sz="4" w:space="0"/>
              <w:left w:val="single" w:color="auto" w:sz="4" w:space="0"/>
              <w:bottom w:val="single" w:color="auto" w:sz="4" w:space="0"/>
              <w:right w:val="single" w:color="auto" w:sz="4" w:space="0"/>
            </w:tcBorders>
            <w:vAlign w:val="center"/>
          </w:tcPr>
          <w:p>
            <w:pPr>
              <w:jc w:val="center"/>
              <w:rPr>
                <w:rFonts w:ascii="Tahoma" w:hAnsi="Tahoma"/>
                <w:color w:val="auto"/>
                <w:sz w:val="24"/>
                <w:szCs w:val="28"/>
                <w:highlight w:val="none"/>
              </w:rPr>
            </w:pPr>
            <w:r>
              <w:rPr>
                <w:rFonts w:hint="eastAsia" w:ascii="Tahoma" w:hAnsi="Tahoma"/>
                <w:color w:val="auto"/>
                <w:sz w:val="24"/>
                <w:szCs w:val="28"/>
                <w:highlight w:val="none"/>
              </w:rPr>
              <w:t>初级职称人员</w:t>
            </w:r>
          </w:p>
        </w:tc>
        <w:tc>
          <w:tcPr>
            <w:tcW w:w="1852"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Tahoma" w:hAnsi="Tahoma"/>
                <w:color w:val="auto"/>
                <w:sz w:val="24"/>
                <w:szCs w:val="28"/>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06" w:hRule="atLeast"/>
        </w:trPr>
        <w:tc>
          <w:tcPr>
            <w:tcW w:w="1728" w:type="dxa"/>
            <w:tcBorders>
              <w:top w:val="single" w:color="auto" w:sz="4" w:space="0"/>
              <w:left w:val="single" w:color="auto" w:sz="4" w:space="0"/>
              <w:bottom w:val="single" w:color="auto" w:sz="4" w:space="0"/>
              <w:right w:val="single" w:color="auto" w:sz="4" w:space="0"/>
            </w:tcBorders>
            <w:vAlign w:val="center"/>
          </w:tcPr>
          <w:p>
            <w:pPr>
              <w:jc w:val="center"/>
              <w:rPr>
                <w:rFonts w:ascii="Tahoma" w:hAnsi="Tahoma"/>
                <w:color w:val="auto"/>
                <w:sz w:val="24"/>
                <w:szCs w:val="28"/>
                <w:highlight w:val="none"/>
              </w:rPr>
            </w:pPr>
            <w:r>
              <w:rPr>
                <w:rFonts w:hint="eastAsia" w:ascii="Tahoma" w:hAnsi="Tahoma"/>
                <w:color w:val="auto"/>
                <w:sz w:val="24"/>
                <w:szCs w:val="28"/>
                <w:highlight w:val="none"/>
              </w:rPr>
              <w:t>账号</w:t>
            </w:r>
          </w:p>
        </w:tc>
        <w:tc>
          <w:tcPr>
            <w:tcW w:w="1849"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Tahoma" w:hAnsi="Tahoma"/>
                <w:color w:val="auto"/>
                <w:sz w:val="24"/>
                <w:szCs w:val="28"/>
                <w:highlight w:val="none"/>
              </w:rPr>
            </w:pPr>
          </w:p>
        </w:tc>
        <w:tc>
          <w:tcPr>
            <w:tcW w:w="840" w:type="dxa"/>
            <w:vMerge w:val="continue"/>
            <w:tcBorders>
              <w:top w:val="single" w:color="auto" w:sz="4" w:space="0"/>
              <w:left w:val="single" w:color="auto" w:sz="4" w:space="0"/>
              <w:bottom w:val="single" w:color="auto" w:sz="4" w:space="0"/>
              <w:right w:val="single" w:color="auto" w:sz="4" w:space="0"/>
            </w:tcBorders>
            <w:vAlign w:val="center"/>
          </w:tcPr>
          <w:p>
            <w:pPr>
              <w:jc w:val="center"/>
              <w:rPr>
                <w:rFonts w:ascii="Tahoma" w:hAnsi="Tahoma"/>
                <w:color w:val="auto"/>
                <w:sz w:val="24"/>
                <w:szCs w:val="28"/>
                <w:highlight w:val="none"/>
              </w:rPr>
            </w:pPr>
          </w:p>
        </w:tc>
        <w:tc>
          <w:tcPr>
            <w:tcW w:w="2299" w:type="dxa"/>
            <w:gridSpan w:val="4"/>
            <w:tcBorders>
              <w:top w:val="single" w:color="auto" w:sz="4" w:space="0"/>
              <w:left w:val="single" w:color="auto" w:sz="4" w:space="0"/>
              <w:bottom w:val="single" w:color="auto" w:sz="4" w:space="0"/>
              <w:right w:val="single" w:color="auto" w:sz="4" w:space="0"/>
            </w:tcBorders>
            <w:vAlign w:val="center"/>
          </w:tcPr>
          <w:p>
            <w:pPr>
              <w:jc w:val="center"/>
              <w:rPr>
                <w:rFonts w:ascii="Tahoma" w:hAnsi="Tahoma"/>
                <w:color w:val="auto"/>
                <w:sz w:val="24"/>
                <w:szCs w:val="28"/>
                <w:highlight w:val="none"/>
              </w:rPr>
            </w:pPr>
            <w:r>
              <w:rPr>
                <w:rFonts w:hint="eastAsia" w:ascii="Tahoma" w:hAnsi="Tahoma"/>
                <w:color w:val="auto"/>
                <w:sz w:val="24"/>
                <w:szCs w:val="28"/>
                <w:highlight w:val="none"/>
              </w:rPr>
              <w:t>技工</w:t>
            </w:r>
          </w:p>
        </w:tc>
        <w:tc>
          <w:tcPr>
            <w:tcW w:w="1852"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Tahoma" w:hAnsi="Tahoma"/>
                <w:color w:val="auto"/>
                <w:sz w:val="24"/>
                <w:szCs w:val="28"/>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245" w:hRule="atLeast"/>
        </w:trPr>
        <w:tc>
          <w:tcPr>
            <w:tcW w:w="1728" w:type="dxa"/>
            <w:tcBorders>
              <w:top w:val="single" w:color="auto" w:sz="4" w:space="0"/>
              <w:left w:val="single" w:color="auto" w:sz="4" w:space="0"/>
              <w:right w:val="single" w:color="auto" w:sz="4" w:space="0"/>
            </w:tcBorders>
            <w:vAlign w:val="center"/>
          </w:tcPr>
          <w:p>
            <w:pPr>
              <w:jc w:val="center"/>
              <w:rPr>
                <w:rFonts w:ascii="Tahoma" w:hAnsi="Tahoma"/>
                <w:color w:val="auto"/>
                <w:sz w:val="24"/>
                <w:szCs w:val="28"/>
                <w:highlight w:val="none"/>
              </w:rPr>
            </w:pPr>
            <w:r>
              <w:rPr>
                <w:rFonts w:hint="eastAsia" w:ascii="Tahoma" w:hAnsi="Tahoma"/>
                <w:color w:val="auto"/>
                <w:sz w:val="24"/>
                <w:szCs w:val="28"/>
                <w:highlight w:val="none"/>
              </w:rPr>
              <w:t>经营范围</w:t>
            </w:r>
          </w:p>
        </w:tc>
        <w:tc>
          <w:tcPr>
            <w:tcW w:w="6840" w:type="dxa"/>
            <w:gridSpan w:val="9"/>
            <w:tcBorders>
              <w:top w:val="single" w:color="auto" w:sz="4" w:space="0"/>
              <w:left w:val="single" w:color="auto" w:sz="4" w:space="0"/>
              <w:right w:val="single" w:color="auto" w:sz="4" w:space="0"/>
            </w:tcBorders>
            <w:vAlign w:val="center"/>
          </w:tcPr>
          <w:p>
            <w:pPr>
              <w:jc w:val="center"/>
              <w:rPr>
                <w:rFonts w:ascii="Tahoma" w:hAnsi="Tahoma"/>
                <w:color w:val="auto"/>
                <w:sz w:val="24"/>
                <w:szCs w:val="28"/>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5" w:hRule="atLeast"/>
        </w:trPr>
        <w:tc>
          <w:tcPr>
            <w:tcW w:w="1728" w:type="dxa"/>
            <w:tcBorders>
              <w:top w:val="single" w:color="auto" w:sz="4" w:space="0"/>
              <w:left w:val="single" w:color="auto" w:sz="4" w:space="0"/>
              <w:bottom w:val="single" w:color="auto" w:sz="4" w:space="0"/>
              <w:right w:val="single" w:color="auto" w:sz="4" w:space="0"/>
            </w:tcBorders>
            <w:vAlign w:val="center"/>
          </w:tcPr>
          <w:p>
            <w:pPr>
              <w:jc w:val="center"/>
              <w:rPr>
                <w:rFonts w:ascii="Tahoma" w:hAnsi="Tahoma"/>
                <w:color w:val="auto"/>
                <w:sz w:val="24"/>
                <w:szCs w:val="28"/>
                <w:highlight w:val="none"/>
              </w:rPr>
            </w:pPr>
            <w:r>
              <w:rPr>
                <w:rFonts w:hint="eastAsia" w:ascii="Tahoma" w:hAnsi="Tahoma"/>
                <w:color w:val="auto"/>
                <w:sz w:val="24"/>
                <w:szCs w:val="28"/>
                <w:highlight w:val="none"/>
              </w:rPr>
              <w:t>备注</w:t>
            </w:r>
          </w:p>
        </w:tc>
        <w:tc>
          <w:tcPr>
            <w:tcW w:w="6840" w:type="dxa"/>
            <w:gridSpan w:val="9"/>
            <w:tcBorders>
              <w:top w:val="single" w:color="auto" w:sz="4" w:space="0"/>
              <w:left w:val="single" w:color="auto" w:sz="4" w:space="0"/>
              <w:bottom w:val="single" w:color="auto" w:sz="4" w:space="0"/>
              <w:right w:val="single" w:color="auto" w:sz="4" w:space="0"/>
            </w:tcBorders>
            <w:vAlign w:val="center"/>
          </w:tcPr>
          <w:p>
            <w:pPr>
              <w:jc w:val="center"/>
              <w:rPr>
                <w:rFonts w:ascii="Tahoma" w:hAnsi="Tahoma"/>
                <w:color w:val="auto"/>
                <w:sz w:val="24"/>
                <w:szCs w:val="28"/>
                <w:highlight w:val="none"/>
              </w:rPr>
            </w:pPr>
          </w:p>
        </w:tc>
      </w:tr>
    </w:tbl>
    <w:p>
      <w:pPr>
        <w:jc w:val="center"/>
        <w:rPr>
          <w:rFonts w:ascii="Tahoma" w:hAnsi="Tahoma"/>
          <w:color w:val="auto"/>
          <w:sz w:val="24"/>
          <w:szCs w:val="28"/>
          <w:highlight w:val="none"/>
        </w:rPr>
      </w:pPr>
      <w:r>
        <w:rPr>
          <w:rFonts w:ascii="Tahoma" w:hAnsi="Tahoma"/>
          <w:color w:val="auto"/>
          <w:sz w:val="24"/>
          <w:szCs w:val="28"/>
          <w:highlight w:val="none"/>
        </w:rPr>
        <w:t xml:space="preserve">注：1. </w:t>
      </w:r>
      <w:r>
        <w:rPr>
          <w:rFonts w:hint="eastAsia" w:ascii="Tahoma" w:hAnsi="Tahoma"/>
          <w:color w:val="auto"/>
          <w:sz w:val="24"/>
          <w:szCs w:val="28"/>
          <w:highlight w:val="none"/>
        </w:rPr>
        <w:t>供应商</w:t>
      </w:r>
      <w:r>
        <w:rPr>
          <w:rFonts w:ascii="Tahoma" w:hAnsi="Tahoma"/>
          <w:color w:val="auto"/>
          <w:sz w:val="24"/>
          <w:szCs w:val="28"/>
          <w:highlight w:val="none"/>
        </w:rPr>
        <w:t>应根据</w:t>
      </w:r>
      <w:r>
        <w:rPr>
          <w:rFonts w:hint="eastAsia" w:ascii="Tahoma" w:hAnsi="Tahoma"/>
          <w:color w:val="auto"/>
          <w:sz w:val="24"/>
          <w:szCs w:val="28"/>
          <w:highlight w:val="none"/>
        </w:rPr>
        <w:t>供应商</w:t>
      </w:r>
      <w:r>
        <w:rPr>
          <w:rFonts w:ascii="Tahoma" w:hAnsi="Tahoma"/>
          <w:color w:val="auto"/>
          <w:sz w:val="24"/>
          <w:szCs w:val="28"/>
          <w:highlight w:val="none"/>
        </w:rPr>
        <w:t>须知的要求在本表后附相关证明材料。</w:t>
      </w:r>
    </w:p>
    <w:p>
      <w:pPr>
        <w:autoSpaceDE w:val="0"/>
        <w:autoSpaceDN w:val="0"/>
        <w:adjustRightInd w:val="0"/>
        <w:spacing w:line="400" w:lineRule="exact"/>
        <w:jc w:val="left"/>
        <w:rPr>
          <w:rFonts w:ascii="宋体" w:hAnsi="宋体"/>
          <w:b/>
          <w:bCs/>
          <w:color w:val="auto"/>
          <w:sz w:val="32"/>
          <w:szCs w:val="32"/>
          <w:highlight w:val="none"/>
          <w:lang w:val="zh-CN"/>
        </w:rPr>
      </w:pPr>
    </w:p>
    <w:p>
      <w:pPr>
        <w:autoSpaceDE w:val="0"/>
        <w:autoSpaceDN w:val="0"/>
        <w:adjustRightInd w:val="0"/>
        <w:spacing w:line="400" w:lineRule="exact"/>
        <w:jc w:val="left"/>
        <w:rPr>
          <w:rFonts w:ascii="宋体" w:hAnsi="宋体"/>
          <w:b/>
          <w:bCs/>
          <w:color w:val="auto"/>
          <w:sz w:val="32"/>
          <w:szCs w:val="32"/>
          <w:highlight w:val="none"/>
          <w:lang w:val="zh-CN"/>
        </w:rPr>
      </w:pPr>
    </w:p>
    <w:p>
      <w:pPr>
        <w:pStyle w:val="35"/>
        <w:rPr>
          <w:color w:val="auto"/>
          <w:highlight w:val="none"/>
          <w:lang w:val="zh-CN"/>
        </w:rPr>
      </w:pPr>
      <w:bookmarkStart w:id="565" w:name="_Toc17315"/>
      <w:bookmarkStart w:id="566" w:name="_Toc27463"/>
      <w:bookmarkStart w:id="567" w:name="_Toc22878"/>
      <w:bookmarkStart w:id="568" w:name="_Toc19753"/>
      <w:r>
        <w:rPr>
          <w:rFonts w:hint="eastAsia"/>
          <w:color w:val="auto"/>
          <w:highlight w:val="none"/>
          <w:lang w:val="zh-CN"/>
        </w:rPr>
        <w:t>财务状况的相关证明</w:t>
      </w:r>
      <w:bookmarkEnd w:id="565"/>
      <w:bookmarkEnd w:id="566"/>
      <w:bookmarkEnd w:id="567"/>
      <w:bookmarkEnd w:id="568"/>
    </w:p>
    <w:p>
      <w:pPr>
        <w:numPr>
          <w:ilvl w:val="0"/>
          <w:numId w:val="4"/>
        </w:numPr>
        <w:autoSpaceDE w:val="0"/>
        <w:autoSpaceDN w:val="0"/>
        <w:spacing w:line="360" w:lineRule="auto"/>
        <w:ind w:left="480" w:hanging="420" w:hangingChars="200"/>
        <w:jc w:val="both"/>
        <w:rPr>
          <w:rFonts w:hint="eastAsia" w:ascii="宋体" w:hAnsi="宋体" w:eastAsia="宋体" w:cs="宋体"/>
          <w:color w:val="auto"/>
          <w:kern w:val="0"/>
          <w:highlight w:val="none"/>
          <w:lang w:val="zh-CN" w:eastAsia="zh-CN"/>
        </w:rPr>
      </w:pPr>
      <w:r>
        <w:rPr>
          <w:rFonts w:hint="eastAsia" w:ascii="宋体" w:hAnsi="宋体" w:cs="宋体"/>
          <w:color w:val="auto"/>
          <w:highlight w:val="none"/>
          <w:lang w:val="zh-CN"/>
        </w:rPr>
        <w:t>投标人是</w:t>
      </w:r>
      <w:r>
        <w:rPr>
          <w:rFonts w:ascii="宋体" w:hAnsi="宋体" w:cs="宋体"/>
          <w:color w:val="auto"/>
          <w:highlight w:val="none"/>
          <w:lang w:val="zh-CN"/>
        </w:rPr>
        <w:t>法</w:t>
      </w:r>
      <w:r>
        <w:rPr>
          <w:rFonts w:hint="eastAsia" w:ascii="宋体" w:hAnsi="宋体" w:eastAsia="宋体" w:cs="宋体"/>
          <w:color w:val="auto"/>
          <w:kern w:val="0"/>
          <w:highlight w:val="none"/>
          <w:lang w:val="zh-CN" w:eastAsia="zh-CN"/>
        </w:rPr>
        <w:t>人的，提供基本开户银行近三个月内出具的资信证明（同时提供基本存款账户开</w:t>
      </w:r>
    </w:p>
    <w:p>
      <w:pPr>
        <w:numPr>
          <w:ilvl w:val="0"/>
          <w:numId w:val="0"/>
        </w:numPr>
        <w:autoSpaceDE w:val="0"/>
        <w:autoSpaceDN w:val="0"/>
        <w:spacing w:line="360" w:lineRule="auto"/>
        <w:ind w:leftChars="-200"/>
        <w:jc w:val="both"/>
        <w:rPr>
          <w:rFonts w:hint="eastAsia" w:ascii="宋体" w:hAnsi="宋体" w:eastAsia="宋体" w:cs="宋体"/>
          <w:color w:val="auto"/>
          <w:kern w:val="0"/>
          <w:highlight w:val="none"/>
          <w:lang w:val="en-US" w:eastAsia="zh-CN"/>
        </w:rPr>
      </w:pPr>
      <w:r>
        <w:rPr>
          <w:rFonts w:hint="eastAsia" w:ascii="宋体" w:hAnsi="宋体" w:eastAsia="宋体" w:cs="宋体"/>
          <w:color w:val="auto"/>
          <w:kern w:val="0"/>
          <w:highlight w:val="none"/>
          <w:lang w:val="zh-CN" w:eastAsia="zh-CN"/>
        </w:rPr>
        <w:t>户许可证）或</w:t>
      </w:r>
      <w:r>
        <w:rPr>
          <w:rFonts w:hint="eastAsia" w:ascii="宋体" w:hAnsi="宋体" w:eastAsia="宋体" w:cs="宋体"/>
          <w:color w:val="auto"/>
          <w:kern w:val="0"/>
          <w:highlight w:val="none"/>
          <w:lang w:val="en-US" w:eastAsia="zh-CN"/>
        </w:rPr>
        <w:t>2020年度或2021年度经第三方审计的财务状况报告</w:t>
      </w:r>
      <w:r>
        <w:rPr>
          <w:rFonts w:hint="eastAsia" w:ascii="宋体" w:hAnsi="宋体" w:eastAsia="宋体" w:cs="宋体"/>
          <w:color w:val="auto"/>
          <w:kern w:val="0"/>
          <w:highlight w:val="none"/>
          <w:lang w:val="zh-CN" w:eastAsia="zh-CN"/>
        </w:rPr>
        <w:t>（扫描或复印件应全面、完整、清晰），包括资产负债表、现金流量表、利润表和财务（会计）报表附注</w:t>
      </w:r>
      <w:r>
        <w:rPr>
          <w:rFonts w:hint="eastAsia" w:ascii="宋体" w:hAnsi="宋体" w:eastAsia="宋体" w:cs="宋体"/>
          <w:color w:val="auto"/>
          <w:kern w:val="0"/>
          <w:highlight w:val="none"/>
          <w:lang w:val="en-US" w:eastAsia="zh-CN"/>
        </w:rPr>
        <w:t>，</w:t>
      </w:r>
      <w:r>
        <w:rPr>
          <w:rFonts w:hint="eastAsia" w:ascii="宋体" w:hAnsi="宋体" w:eastAsia="宋体" w:cs="宋体"/>
          <w:color w:val="auto"/>
          <w:kern w:val="0"/>
          <w:highlight w:val="none"/>
          <w:lang w:val="zh-CN" w:eastAsia="zh-CN"/>
        </w:rPr>
        <w:t>并提供第三方机构的营业执照、执业证书。</w:t>
      </w:r>
      <w:r>
        <w:rPr>
          <w:rFonts w:hint="eastAsia" w:ascii="宋体" w:hAnsi="宋体" w:eastAsia="宋体" w:cs="宋体"/>
          <w:color w:val="auto"/>
          <w:kern w:val="0"/>
          <w:highlight w:val="none"/>
          <w:lang w:val="en-US" w:eastAsia="zh-CN"/>
        </w:rPr>
        <w:t>投标人是其他组织和自然人，没有经审计的财务报告，可以提供基本开户银行出具的资信证明（同时提供基本存款账户开户许可证）。</w:t>
      </w:r>
    </w:p>
    <w:p>
      <w:pPr>
        <w:numPr>
          <w:ilvl w:val="0"/>
          <w:numId w:val="0"/>
        </w:numPr>
        <w:autoSpaceDE w:val="0"/>
        <w:autoSpaceDN w:val="0"/>
        <w:spacing w:line="360" w:lineRule="auto"/>
        <w:ind w:leftChars="-200" w:firstLine="420" w:firstLineChars="200"/>
        <w:jc w:val="both"/>
        <w:rPr>
          <w:rFonts w:hint="eastAsia" w:ascii="宋体" w:hAnsi="宋体" w:eastAsia="宋体" w:cs="宋体"/>
          <w:b w:val="0"/>
          <w:color w:val="auto"/>
          <w:kern w:val="0"/>
          <w:sz w:val="21"/>
          <w:szCs w:val="24"/>
          <w:highlight w:val="none"/>
          <w:lang w:val="en-US" w:eastAsia="zh-CN" w:bidi="ar-SA"/>
        </w:rPr>
      </w:pPr>
      <w:r>
        <w:rPr>
          <w:rFonts w:hint="eastAsia" w:ascii="宋体" w:hAnsi="宋体" w:eastAsia="宋体" w:cs="宋体"/>
          <w:b w:val="0"/>
          <w:color w:val="auto"/>
          <w:kern w:val="0"/>
          <w:sz w:val="21"/>
          <w:szCs w:val="24"/>
          <w:highlight w:val="none"/>
          <w:lang w:val="en-US" w:eastAsia="zh-CN" w:bidi="ar-SA"/>
        </w:rPr>
        <w:t>2.2021年12月至今任意3个月</w:t>
      </w:r>
      <w:r>
        <w:rPr>
          <w:rFonts w:hint="eastAsia" w:ascii="宋体" w:hAnsi="宋体" w:eastAsia="宋体" w:cs="宋体"/>
          <w:b w:val="0"/>
          <w:color w:val="auto"/>
          <w:kern w:val="0"/>
          <w:sz w:val="21"/>
          <w:szCs w:val="24"/>
          <w:highlight w:val="none"/>
          <w:lang w:val="zh-CN" w:eastAsia="zh-CN" w:bidi="ar-SA"/>
        </w:rPr>
        <w:t>的依法缴纳税收和社会保障资金记录的证明材料；依法免税或不需要缴纳社会保障资金的投标人须提供相应文件证明其依法免税或不需要缴纳社会保障资金。</w:t>
      </w:r>
    </w:p>
    <w:p>
      <w:pPr>
        <w:autoSpaceDE w:val="0"/>
        <w:autoSpaceDN w:val="0"/>
        <w:adjustRightInd w:val="0"/>
        <w:spacing w:line="400" w:lineRule="exact"/>
        <w:jc w:val="left"/>
        <w:rPr>
          <w:rFonts w:hint="eastAsia" w:ascii="宋体" w:hAnsi="宋体" w:eastAsia="宋体" w:cs="宋体"/>
          <w:b w:val="0"/>
          <w:color w:val="auto"/>
          <w:kern w:val="0"/>
          <w:sz w:val="21"/>
          <w:szCs w:val="24"/>
          <w:highlight w:val="none"/>
          <w:lang w:val="zh-CN" w:eastAsia="zh-CN" w:bidi="ar-SA"/>
        </w:rPr>
      </w:pPr>
    </w:p>
    <w:p>
      <w:pPr>
        <w:autoSpaceDE w:val="0"/>
        <w:autoSpaceDN w:val="0"/>
        <w:adjustRightInd w:val="0"/>
        <w:spacing w:line="400" w:lineRule="exact"/>
        <w:jc w:val="left"/>
        <w:rPr>
          <w:rFonts w:ascii="宋体" w:hAnsi="宋体"/>
          <w:b/>
          <w:bCs/>
          <w:color w:val="auto"/>
          <w:sz w:val="32"/>
          <w:szCs w:val="32"/>
          <w:highlight w:val="none"/>
          <w:lang w:val="zh-CN"/>
        </w:rPr>
      </w:pPr>
    </w:p>
    <w:p>
      <w:pPr>
        <w:autoSpaceDE w:val="0"/>
        <w:autoSpaceDN w:val="0"/>
        <w:adjustRightInd w:val="0"/>
        <w:spacing w:line="400" w:lineRule="exact"/>
        <w:jc w:val="left"/>
        <w:rPr>
          <w:rFonts w:ascii="宋体" w:hAnsi="宋体"/>
          <w:b/>
          <w:bCs/>
          <w:color w:val="auto"/>
          <w:sz w:val="32"/>
          <w:szCs w:val="32"/>
          <w:highlight w:val="none"/>
          <w:lang w:val="zh-CN"/>
        </w:rPr>
      </w:pPr>
    </w:p>
    <w:p>
      <w:pPr>
        <w:autoSpaceDE w:val="0"/>
        <w:autoSpaceDN w:val="0"/>
        <w:adjustRightInd w:val="0"/>
        <w:spacing w:line="400" w:lineRule="exact"/>
        <w:jc w:val="left"/>
        <w:rPr>
          <w:rFonts w:ascii="宋体" w:hAnsi="宋体"/>
          <w:b/>
          <w:bCs/>
          <w:color w:val="auto"/>
          <w:sz w:val="32"/>
          <w:szCs w:val="32"/>
          <w:highlight w:val="none"/>
          <w:lang w:val="zh-CN"/>
        </w:rPr>
      </w:pPr>
    </w:p>
    <w:p>
      <w:pPr>
        <w:autoSpaceDE w:val="0"/>
        <w:autoSpaceDN w:val="0"/>
        <w:adjustRightInd w:val="0"/>
        <w:spacing w:line="400" w:lineRule="exact"/>
        <w:jc w:val="left"/>
        <w:rPr>
          <w:rFonts w:ascii="宋体" w:hAnsi="宋体"/>
          <w:b/>
          <w:bCs/>
          <w:color w:val="auto"/>
          <w:sz w:val="32"/>
          <w:szCs w:val="32"/>
          <w:highlight w:val="none"/>
          <w:lang w:val="zh-CN"/>
        </w:rPr>
      </w:pPr>
    </w:p>
    <w:p>
      <w:pPr>
        <w:autoSpaceDE w:val="0"/>
        <w:autoSpaceDN w:val="0"/>
        <w:adjustRightInd w:val="0"/>
        <w:spacing w:line="400" w:lineRule="exact"/>
        <w:jc w:val="left"/>
        <w:rPr>
          <w:rFonts w:ascii="宋体" w:hAnsi="宋体"/>
          <w:b/>
          <w:bCs/>
          <w:color w:val="auto"/>
          <w:sz w:val="32"/>
          <w:szCs w:val="32"/>
          <w:highlight w:val="none"/>
          <w:lang w:val="zh-CN"/>
        </w:rPr>
      </w:pPr>
    </w:p>
    <w:p>
      <w:pPr>
        <w:autoSpaceDE w:val="0"/>
        <w:autoSpaceDN w:val="0"/>
        <w:adjustRightInd w:val="0"/>
        <w:spacing w:line="400" w:lineRule="exact"/>
        <w:jc w:val="left"/>
        <w:rPr>
          <w:rFonts w:ascii="宋体" w:hAnsi="宋体"/>
          <w:b/>
          <w:bCs/>
          <w:color w:val="auto"/>
          <w:sz w:val="32"/>
          <w:szCs w:val="32"/>
          <w:highlight w:val="none"/>
          <w:lang w:val="zh-CN"/>
        </w:rPr>
      </w:pPr>
    </w:p>
    <w:p>
      <w:pPr>
        <w:autoSpaceDE w:val="0"/>
        <w:autoSpaceDN w:val="0"/>
        <w:adjustRightInd w:val="0"/>
        <w:spacing w:line="400" w:lineRule="exact"/>
        <w:jc w:val="left"/>
        <w:rPr>
          <w:rFonts w:ascii="宋体" w:hAnsi="宋体"/>
          <w:b/>
          <w:bCs/>
          <w:color w:val="auto"/>
          <w:sz w:val="32"/>
          <w:szCs w:val="32"/>
          <w:highlight w:val="none"/>
          <w:lang w:val="zh-CN"/>
        </w:rPr>
      </w:pPr>
    </w:p>
    <w:p>
      <w:pPr>
        <w:autoSpaceDE w:val="0"/>
        <w:autoSpaceDN w:val="0"/>
        <w:adjustRightInd w:val="0"/>
        <w:spacing w:line="400" w:lineRule="exact"/>
        <w:jc w:val="left"/>
        <w:rPr>
          <w:rFonts w:ascii="宋体" w:hAnsi="宋体"/>
          <w:b/>
          <w:bCs/>
          <w:color w:val="auto"/>
          <w:sz w:val="32"/>
          <w:szCs w:val="32"/>
          <w:highlight w:val="none"/>
          <w:lang w:val="zh-CN"/>
        </w:rPr>
      </w:pPr>
    </w:p>
    <w:p>
      <w:pPr>
        <w:autoSpaceDE w:val="0"/>
        <w:autoSpaceDN w:val="0"/>
        <w:adjustRightInd w:val="0"/>
        <w:spacing w:line="400" w:lineRule="exact"/>
        <w:jc w:val="left"/>
        <w:rPr>
          <w:rFonts w:ascii="宋体" w:hAnsi="宋体"/>
          <w:b/>
          <w:bCs/>
          <w:color w:val="auto"/>
          <w:sz w:val="32"/>
          <w:szCs w:val="32"/>
          <w:highlight w:val="none"/>
          <w:lang w:val="zh-CN"/>
        </w:rPr>
      </w:pPr>
    </w:p>
    <w:p>
      <w:pPr>
        <w:autoSpaceDE w:val="0"/>
        <w:autoSpaceDN w:val="0"/>
        <w:adjustRightInd w:val="0"/>
        <w:spacing w:line="400" w:lineRule="exact"/>
        <w:jc w:val="left"/>
        <w:rPr>
          <w:rFonts w:ascii="宋体" w:hAnsi="宋体"/>
          <w:b/>
          <w:bCs/>
          <w:color w:val="auto"/>
          <w:sz w:val="32"/>
          <w:szCs w:val="32"/>
          <w:highlight w:val="none"/>
          <w:lang w:val="zh-CN"/>
        </w:rPr>
      </w:pPr>
    </w:p>
    <w:p>
      <w:pPr>
        <w:autoSpaceDE w:val="0"/>
        <w:autoSpaceDN w:val="0"/>
        <w:adjustRightInd w:val="0"/>
        <w:spacing w:line="400" w:lineRule="exact"/>
        <w:jc w:val="left"/>
        <w:rPr>
          <w:rFonts w:ascii="宋体" w:hAnsi="宋体"/>
          <w:b/>
          <w:bCs/>
          <w:color w:val="auto"/>
          <w:sz w:val="32"/>
          <w:szCs w:val="32"/>
          <w:highlight w:val="none"/>
          <w:lang w:val="zh-CN"/>
        </w:rPr>
      </w:pPr>
    </w:p>
    <w:p>
      <w:pPr>
        <w:autoSpaceDE w:val="0"/>
        <w:autoSpaceDN w:val="0"/>
        <w:adjustRightInd w:val="0"/>
        <w:spacing w:line="400" w:lineRule="exact"/>
        <w:jc w:val="left"/>
        <w:rPr>
          <w:rFonts w:ascii="宋体" w:hAnsi="宋体"/>
          <w:b/>
          <w:bCs/>
          <w:color w:val="auto"/>
          <w:sz w:val="32"/>
          <w:szCs w:val="32"/>
          <w:highlight w:val="none"/>
          <w:lang w:val="zh-CN"/>
        </w:rPr>
      </w:pPr>
    </w:p>
    <w:p>
      <w:pPr>
        <w:autoSpaceDE w:val="0"/>
        <w:autoSpaceDN w:val="0"/>
        <w:adjustRightInd w:val="0"/>
        <w:spacing w:line="400" w:lineRule="exact"/>
        <w:jc w:val="left"/>
        <w:rPr>
          <w:rFonts w:ascii="宋体" w:hAnsi="宋体"/>
          <w:b/>
          <w:bCs/>
          <w:color w:val="auto"/>
          <w:sz w:val="32"/>
          <w:szCs w:val="32"/>
          <w:highlight w:val="none"/>
          <w:lang w:val="zh-CN"/>
        </w:rPr>
      </w:pPr>
    </w:p>
    <w:p>
      <w:pPr>
        <w:autoSpaceDE w:val="0"/>
        <w:autoSpaceDN w:val="0"/>
        <w:adjustRightInd w:val="0"/>
        <w:spacing w:line="400" w:lineRule="exact"/>
        <w:jc w:val="left"/>
        <w:rPr>
          <w:rFonts w:ascii="宋体" w:hAnsi="宋体"/>
          <w:b/>
          <w:bCs/>
          <w:color w:val="auto"/>
          <w:sz w:val="32"/>
          <w:szCs w:val="32"/>
          <w:highlight w:val="none"/>
          <w:lang w:val="zh-CN"/>
        </w:rPr>
      </w:pPr>
    </w:p>
    <w:p>
      <w:pPr>
        <w:autoSpaceDE w:val="0"/>
        <w:autoSpaceDN w:val="0"/>
        <w:adjustRightInd w:val="0"/>
        <w:spacing w:line="400" w:lineRule="exact"/>
        <w:jc w:val="left"/>
        <w:rPr>
          <w:rFonts w:ascii="宋体" w:hAnsi="宋体"/>
          <w:b/>
          <w:bCs/>
          <w:color w:val="auto"/>
          <w:sz w:val="32"/>
          <w:szCs w:val="32"/>
          <w:highlight w:val="none"/>
          <w:lang w:val="zh-CN"/>
        </w:rPr>
      </w:pPr>
    </w:p>
    <w:p>
      <w:pPr>
        <w:autoSpaceDE w:val="0"/>
        <w:autoSpaceDN w:val="0"/>
        <w:adjustRightInd w:val="0"/>
        <w:spacing w:line="400" w:lineRule="exact"/>
        <w:jc w:val="left"/>
        <w:rPr>
          <w:rFonts w:ascii="宋体" w:hAnsi="宋体"/>
          <w:b/>
          <w:bCs/>
          <w:color w:val="auto"/>
          <w:sz w:val="32"/>
          <w:szCs w:val="32"/>
          <w:highlight w:val="none"/>
          <w:lang w:val="zh-CN"/>
        </w:rPr>
      </w:pPr>
    </w:p>
    <w:p>
      <w:pPr>
        <w:autoSpaceDE w:val="0"/>
        <w:autoSpaceDN w:val="0"/>
        <w:adjustRightInd w:val="0"/>
        <w:spacing w:line="400" w:lineRule="exact"/>
        <w:jc w:val="left"/>
        <w:rPr>
          <w:rFonts w:ascii="宋体" w:hAnsi="宋体"/>
          <w:b/>
          <w:bCs/>
          <w:color w:val="auto"/>
          <w:sz w:val="32"/>
          <w:szCs w:val="32"/>
          <w:highlight w:val="none"/>
          <w:lang w:val="zh-CN"/>
        </w:rPr>
      </w:pPr>
    </w:p>
    <w:p>
      <w:pPr>
        <w:autoSpaceDE w:val="0"/>
        <w:autoSpaceDN w:val="0"/>
        <w:adjustRightInd w:val="0"/>
        <w:spacing w:line="400" w:lineRule="exact"/>
        <w:jc w:val="left"/>
        <w:rPr>
          <w:rFonts w:ascii="宋体" w:hAnsi="宋体"/>
          <w:b/>
          <w:bCs/>
          <w:color w:val="auto"/>
          <w:sz w:val="32"/>
          <w:szCs w:val="32"/>
          <w:highlight w:val="none"/>
          <w:lang w:val="zh-CN"/>
        </w:rPr>
      </w:pPr>
    </w:p>
    <w:p>
      <w:pPr>
        <w:autoSpaceDE w:val="0"/>
        <w:autoSpaceDN w:val="0"/>
        <w:adjustRightInd w:val="0"/>
        <w:spacing w:line="400" w:lineRule="exact"/>
        <w:jc w:val="left"/>
        <w:rPr>
          <w:rFonts w:ascii="宋体" w:hAnsi="宋体"/>
          <w:b/>
          <w:bCs/>
          <w:color w:val="auto"/>
          <w:sz w:val="32"/>
          <w:szCs w:val="32"/>
          <w:highlight w:val="none"/>
          <w:lang w:val="zh-CN"/>
        </w:rPr>
      </w:pPr>
    </w:p>
    <w:p>
      <w:pPr>
        <w:autoSpaceDE w:val="0"/>
        <w:autoSpaceDN w:val="0"/>
        <w:adjustRightInd w:val="0"/>
        <w:spacing w:line="400" w:lineRule="exact"/>
        <w:jc w:val="left"/>
        <w:rPr>
          <w:rFonts w:ascii="宋体" w:hAnsi="宋体"/>
          <w:b/>
          <w:bCs/>
          <w:color w:val="auto"/>
          <w:sz w:val="32"/>
          <w:szCs w:val="32"/>
          <w:highlight w:val="none"/>
          <w:lang w:val="zh-CN"/>
        </w:rPr>
      </w:pPr>
    </w:p>
    <w:p>
      <w:pPr>
        <w:autoSpaceDE w:val="0"/>
        <w:autoSpaceDN w:val="0"/>
        <w:adjustRightInd w:val="0"/>
        <w:spacing w:line="400" w:lineRule="exact"/>
        <w:jc w:val="left"/>
        <w:rPr>
          <w:rFonts w:ascii="宋体" w:hAnsi="宋体"/>
          <w:b/>
          <w:bCs/>
          <w:color w:val="auto"/>
          <w:sz w:val="32"/>
          <w:szCs w:val="32"/>
          <w:highlight w:val="none"/>
          <w:lang w:val="zh-CN"/>
        </w:rPr>
      </w:pPr>
    </w:p>
    <w:p>
      <w:pPr>
        <w:spacing w:line="360" w:lineRule="auto"/>
        <w:rPr>
          <w:rFonts w:hint="eastAsia" w:ascii="宋体" w:hAnsi="宋体" w:eastAsia="宋体" w:cs="宋体"/>
          <w:color w:val="auto"/>
          <w:sz w:val="28"/>
          <w:szCs w:val="28"/>
          <w:highlight w:val="none"/>
          <w:lang w:val="zh-CN"/>
        </w:rPr>
      </w:pPr>
    </w:p>
    <w:p>
      <w:pPr>
        <w:autoSpaceDE w:val="0"/>
        <w:autoSpaceDN w:val="0"/>
        <w:spacing w:line="360" w:lineRule="auto"/>
        <w:jc w:val="center"/>
        <w:rPr>
          <w:rFonts w:hint="eastAsia" w:ascii="宋体" w:hAnsi="宋体" w:eastAsia="宋体" w:cs="宋体"/>
          <w:b/>
          <w:bCs/>
          <w:color w:val="auto"/>
          <w:kern w:val="0"/>
          <w:sz w:val="36"/>
          <w:szCs w:val="36"/>
          <w:highlight w:val="none"/>
          <w:lang w:val="zh-CN"/>
        </w:rPr>
      </w:pPr>
      <w:r>
        <w:rPr>
          <w:rFonts w:hint="eastAsia" w:ascii="宋体" w:hAnsi="宋体" w:eastAsia="宋体" w:cs="宋体"/>
          <w:b/>
          <w:bCs/>
          <w:color w:val="auto"/>
          <w:kern w:val="0"/>
          <w:sz w:val="28"/>
          <w:szCs w:val="28"/>
          <w:highlight w:val="none"/>
          <w:lang w:val="zh-CN"/>
        </w:rPr>
        <w:t>投标保证金证明</w:t>
      </w:r>
    </w:p>
    <w:p>
      <w:pPr>
        <w:autoSpaceDE w:val="0"/>
        <w:autoSpaceDN w:val="0"/>
        <w:spacing w:line="360" w:lineRule="auto"/>
        <w:rPr>
          <w:rFonts w:hint="eastAsia" w:ascii="宋体" w:hAnsi="宋体" w:eastAsia="宋体" w:cs="宋体"/>
          <w:b/>
          <w:bCs/>
          <w:color w:val="auto"/>
          <w:kern w:val="0"/>
          <w:sz w:val="28"/>
          <w:szCs w:val="28"/>
          <w:highlight w:val="none"/>
          <w:lang w:val="zh-CN"/>
        </w:rPr>
      </w:pPr>
    </w:p>
    <w:p>
      <w:pPr>
        <w:autoSpaceDE w:val="0"/>
        <w:autoSpaceDN w:val="0"/>
        <w:spacing w:line="360" w:lineRule="auto"/>
        <w:rPr>
          <w:rFonts w:hint="eastAsia" w:ascii="宋体" w:hAnsi="宋体" w:eastAsia="宋体" w:cs="宋体"/>
          <w:b/>
          <w:bCs/>
          <w:color w:val="auto"/>
          <w:kern w:val="0"/>
          <w:highlight w:val="none"/>
          <w:lang w:val="zh-CN"/>
        </w:rPr>
      </w:pPr>
      <w:r>
        <w:rPr>
          <w:rFonts w:hint="eastAsia" w:ascii="宋体" w:hAnsi="宋体" w:eastAsia="宋体" w:cs="宋体"/>
          <w:b/>
          <w:bCs/>
          <w:color w:val="auto"/>
          <w:kern w:val="0"/>
          <w:highlight w:val="none"/>
          <w:lang w:val="zh-CN"/>
        </w:rPr>
        <w:t>致：青海锦翔工程项目管理有限公司</w:t>
      </w:r>
    </w:p>
    <w:p>
      <w:pPr>
        <w:autoSpaceDE w:val="0"/>
        <w:autoSpaceDN w:val="0"/>
        <w:spacing w:line="360" w:lineRule="auto"/>
        <w:ind w:firstLine="360"/>
        <w:rPr>
          <w:rFonts w:hint="eastAsia" w:ascii="宋体" w:hAnsi="宋体" w:eastAsia="宋体" w:cs="宋体"/>
          <w:color w:val="auto"/>
          <w:kern w:val="0"/>
          <w:highlight w:val="none"/>
          <w:lang w:val="zh-CN"/>
        </w:rPr>
      </w:pPr>
      <w:r>
        <w:rPr>
          <w:rFonts w:hint="eastAsia" w:ascii="宋体" w:hAnsi="宋体" w:eastAsia="宋体" w:cs="宋体"/>
          <w:color w:val="auto"/>
          <w:kern w:val="0"/>
          <w:highlight w:val="none"/>
          <w:lang w:val="zh-CN"/>
        </w:rPr>
        <w:t>我方为（采购项目名称）项目（采购项目编号为：        ）递交保证金人民币       （大写：人民币        元）已于     年    月    日以</w:t>
      </w:r>
      <w:r>
        <w:rPr>
          <w:rFonts w:hint="eastAsia" w:ascii="宋体" w:hAnsi="宋体" w:eastAsia="宋体" w:cs="宋体"/>
          <w:color w:val="auto"/>
          <w:kern w:val="0"/>
          <w:highlight w:val="none"/>
          <w:lang w:val="en-US" w:eastAsia="zh-CN"/>
        </w:rPr>
        <w:t xml:space="preserve">    形式</w:t>
      </w:r>
      <w:r>
        <w:rPr>
          <w:rFonts w:hint="eastAsia" w:ascii="宋体" w:hAnsi="宋体" w:eastAsia="宋体" w:cs="宋体"/>
          <w:color w:val="auto"/>
          <w:kern w:val="0"/>
          <w:highlight w:val="none"/>
          <w:lang w:val="zh-CN"/>
        </w:rPr>
        <w:t>提供投标保证金。</w:t>
      </w:r>
    </w:p>
    <w:p>
      <w:pPr>
        <w:autoSpaceDE w:val="0"/>
        <w:autoSpaceDN w:val="0"/>
        <w:spacing w:line="360" w:lineRule="auto"/>
        <w:ind w:firstLine="360"/>
        <w:rPr>
          <w:rFonts w:hint="eastAsia" w:ascii="宋体" w:hAnsi="宋体" w:eastAsia="宋体" w:cs="宋体"/>
          <w:color w:val="auto"/>
          <w:kern w:val="0"/>
          <w:highlight w:val="none"/>
          <w:lang w:val="zh-CN"/>
        </w:rPr>
      </w:pPr>
      <w:r>
        <w:rPr>
          <w:rFonts w:hint="eastAsia" w:ascii="宋体" w:hAnsi="宋体" w:eastAsia="宋体" w:cs="宋体"/>
          <w:color w:val="auto"/>
          <w:kern w:val="0"/>
          <w:highlight w:val="none"/>
          <w:lang w:val="zh-CN"/>
        </w:rPr>
        <w:t>附件：保证金交款证明复印件（加盖公章）</w:t>
      </w:r>
    </w:p>
    <w:p>
      <w:pPr>
        <w:autoSpaceDE w:val="0"/>
        <w:autoSpaceDN w:val="0"/>
        <w:spacing w:line="360" w:lineRule="auto"/>
        <w:ind w:firstLine="360"/>
        <w:rPr>
          <w:rFonts w:hint="eastAsia" w:ascii="宋体" w:hAnsi="宋体" w:eastAsia="宋体" w:cs="宋体"/>
          <w:color w:val="auto"/>
          <w:kern w:val="0"/>
          <w:highlight w:val="none"/>
          <w:lang w:val="zh-CN"/>
        </w:rPr>
      </w:pPr>
      <w:r>
        <w:rPr>
          <w:rFonts w:hint="eastAsia" w:ascii="宋体" w:hAnsi="宋体" w:eastAsia="宋体" w:cs="宋体"/>
          <w:color w:val="auto"/>
          <w:kern w:val="0"/>
          <w:highlight w:val="none"/>
          <w:lang w:val="zh-CN"/>
        </w:rPr>
        <w:t>退还保证金时请按以下内容汇入至我方账户（同递交保证金账户）。若因提供内容不全、错误等原因导致该项目保证金未能及时退还或退还过程中发生错误，我方将承担全部责任和损失。</w:t>
      </w:r>
    </w:p>
    <w:p>
      <w:pPr>
        <w:autoSpaceDE w:val="0"/>
        <w:autoSpaceDN w:val="0"/>
        <w:spacing w:line="360" w:lineRule="auto"/>
        <w:ind w:firstLine="360"/>
        <w:rPr>
          <w:rFonts w:hint="eastAsia" w:ascii="宋体" w:hAnsi="宋体" w:eastAsia="宋体" w:cs="宋体"/>
          <w:color w:val="auto"/>
          <w:kern w:val="0"/>
          <w:highlight w:val="none"/>
          <w:lang w:val="zh-CN"/>
        </w:rPr>
      </w:pPr>
      <w:r>
        <w:rPr>
          <w:rFonts w:hint="eastAsia" w:ascii="宋体" w:hAnsi="宋体" w:eastAsia="宋体" w:cs="宋体"/>
          <w:color w:val="auto"/>
          <w:kern w:val="0"/>
          <w:highlight w:val="none"/>
          <w:lang w:val="zh-CN"/>
        </w:rPr>
        <w:t>户    名：</w:t>
      </w:r>
    </w:p>
    <w:p>
      <w:pPr>
        <w:autoSpaceDE w:val="0"/>
        <w:autoSpaceDN w:val="0"/>
        <w:spacing w:line="360" w:lineRule="auto"/>
        <w:ind w:firstLine="360"/>
        <w:rPr>
          <w:rFonts w:hint="eastAsia" w:ascii="宋体" w:hAnsi="宋体" w:eastAsia="宋体" w:cs="宋体"/>
          <w:color w:val="auto"/>
          <w:kern w:val="0"/>
          <w:highlight w:val="none"/>
          <w:lang w:val="zh-CN"/>
        </w:rPr>
      </w:pPr>
      <w:r>
        <w:rPr>
          <w:rFonts w:hint="eastAsia" w:ascii="宋体" w:hAnsi="宋体" w:eastAsia="宋体" w:cs="宋体"/>
          <w:color w:val="auto"/>
          <w:kern w:val="0"/>
          <w:highlight w:val="none"/>
          <w:lang w:val="zh-CN"/>
        </w:rPr>
        <w:t>开户银行：</w:t>
      </w:r>
    </w:p>
    <w:p>
      <w:pPr>
        <w:autoSpaceDE w:val="0"/>
        <w:autoSpaceDN w:val="0"/>
        <w:spacing w:line="360" w:lineRule="auto"/>
        <w:ind w:firstLine="360"/>
        <w:rPr>
          <w:rFonts w:hint="eastAsia" w:ascii="宋体" w:hAnsi="宋体" w:eastAsia="宋体" w:cs="宋体"/>
          <w:color w:val="auto"/>
          <w:kern w:val="0"/>
          <w:highlight w:val="none"/>
          <w:lang w:val="zh-CN"/>
        </w:rPr>
      </w:pPr>
      <w:r>
        <w:rPr>
          <w:rFonts w:hint="eastAsia" w:ascii="宋体" w:hAnsi="宋体" w:eastAsia="宋体" w:cs="宋体"/>
          <w:color w:val="auto"/>
          <w:kern w:val="0"/>
          <w:highlight w:val="none"/>
          <w:lang w:val="zh-CN"/>
        </w:rPr>
        <w:t>开户帐号：</w:t>
      </w:r>
    </w:p>
    <w:p>
      <w:pPr>
        <w:autoSpaceDE w:val="0"/>
        <w:autoSpaceDN w:val="0"/>
        <w:spacing w:line="360" w:lineRule="auto"/>
        <w:ind w:firstLine="360"/>
        <w:rPr>
          <w:rFonts w:hint="eastAsia" w:ascii="宋体" w:hAnsi="宋体" w:eastAsia="宋体" w:cs="宋体"/>
          <w:color w:val="auto"/>
          <w:kern w:val="0"/>
          <w:highlight w:val="none"/>
          <w:lang w:val="zh-CN"/>
        </w:rPr>
      </w:pPr>
      <w:r>
        <w:rPr>
          <w:rFonts w:hint="eastAsia" w:ascii="宋体" w:hAnsi="宋体" w:eastAsia="宋体" w:cs="宋体"/>
          <w:color w:val="auto"/>
          <w:kern w:val="0"/>
          <w:highlight w:val="none"/>
          <w:lang w:val="zh-CN"/>
        </w:rPr>
        <w:t>注：通过银行转账的，必须由投标人从其基本账户汇（转）入</w:t>
      </w:r>
      <w:r>
        <w:rPr>
          <w:rFonts w:hint="eastAsia" w:ascii="宋体" w:hAnsi="宋体" w:eastAsia="宋体" w:cs="宋体"/>
          <w:color w:val="auto"/>
          <w:kern w:val="0"/>
          <w:highlight w:val="none"/>
        </w:rPr>
        <w:t>9.1条规定的账户</w:t>
      </w:r>
      <w:r>
        <w:rPr>
          <w:rFonts w:hint="eastAsia" w:ascii="宋体" w:hAnsi="宋体" w:eastAsia="宋体" w:cs="宋体"/>
          <w:color w:val="auto"/>
          <w:kern w:val="0"/>
          <w:highlight w:val="none"/>
          <w:lang w:val="zh-CN"/>
        </w:rPr>
        <w:t>。</w:t>
      </w:r>
    </w:p>
    <w:p>
      <w:pPr>
        <w:autoSpaceDE w:val="0"/>
        <w:autoSpaceDN w:val="0"/>
        <w:spacing w:line="360" w:lineRule="auto"/>
        <w:ind w:firstLine="360"/>
        <w:rPr>
          <w:rFonts w:hint="eastAsia" w:ascii="宋体" w:hAnsi="宋体" w:eastAsia="宋体" w:cs="宋体"/>
          <w:color w:val="auto"/>
          <w:kern w:val="0"/>
          <w:highlight w:val="none"/>
          <w:lang w:val="zh-CN"/>
        </w:rPr>
      </w:pPr>
    </w:p>
    <w:p>
      <w:pPr>
        <w:autoSpaceDE w:val="0"/>
        <w:autoSpaceDN w:val="0"/>
        <w:spacing w:line="360" w:lineRule="auto"/>
        <w:ind w:firstLine="360"/>
        <w:rPr>
          <w:rFonts w:hint="eastAsia" w:ascii="宋体" w:hAnsi="宋体" w:eastAsia="宋体" w:cs="宋体"/>
          <w:color w:val="auto"/>
          <w:kern w:val="0"/>
          <w:highlight w:val="none"/>
          <w:lang w:val="zh-CN"/>
        </w:rPr>
      </w:pPr>
    </w:p>
    <w:p>
      <w:pPr>
        <w:autoSpaceDE w:val="0"/>
        <w:autoSpaceDN w:val="0"/>
        <w:spacing w:line="360" w:lineRule="auto"/>
        <w:jc w:val="center"/>
        <w:rPr>
          <w:rFonts w:hint="eastAsia" w:ascii="宋体" w:hAnsi="宋体" w:eastAsia="宋体" w:cs="宋体"/>
          <w:b/>
          <w:bCs/>
          <w:color w:val="auto"/>
          <w:kern w:val="0"/>
          <w:highlight w:val="none"/>
          <w:lang w:val="zh-CN"/>
        </w:rPr>
      </w:pPr>
      <w:r>
        <w:rPr>
          <w:rFonts w:hint="eastAsia" w:ascii="宋体" w:hAnsi="宋体" w:eastAsia="宋体" w:cs="宋体"/>
          <w:b/>
          <w:bCs/>
          <w:color w:val="auto"/>
          <w:kern w:val="0"/>
          <w:highlight w:val="none"/>
          <w:lang w:val="zh-CN"/>
        </w:rPr>
        <w:t xml:space="preserve"> </w:t>
      </w:r>
      <w:bookmarkStart w:id="569" w:name="_Toc28568_WPSOffice_Level2"/>
      <w:r>
        <w:rPr>
          <w:rFonts w:hint="eastAsia" w:ascii="宋体" w:hAnsi="宋体" w:eastAsia="宋体" w:cs="宋体"/>
          <w:b/>
          <w:bCs/>
          <w:color w:val="auto"/>
          <w:kern w:val="0"/>
          <w:highlight w:val="none"/>
          <w:lang w:val="zh-CN"/>
        </w:rPr>
        <w:t xml:space="preserve">投标人：           </w:t>
      </w:r>
      <w:r>
        <w:rPr>
          <w:rFonts w:hint="eastAsia" w:ascii="宋体" w:hAnsi="宋体" w:eastAsia="宋体" w:cs="宋体"/>
          <w:b/>
          <w:bCs/>
          <w:color w:val="auto"/>
          <w:kern w:val="0"/>
          <w:highlight w:val="none"/>
        </w:rPr>
        <w:t xml:space="preserve">           </w:t>
      </w:r>
      <w:r>
        <w:rPr>
          <w:rFonts w:hint="eastAsia" w:ascii="宋体" w:hAnsi="宋体" w:eastAsia="宋体" w:cs="宋体"/>
          <w:b/>
          <w:bCs/>
          <w:color w:val="auto"/>
          <w:kern w:val="0"/>
          <w:highlight w:val="none"/>
          <w:lang w:val="zh-CN"/>
        </w:rPr>
        <w:t xml:space="preserve">  （公章）</w:t>
      </w:r>
      <w:bookmarkEnd w:id="569"/>
    </w:p>
    <w:p>
      <w:pPr>
        <w:autoSpaceDE w:val="0"/>
        <w:autoSpaceDN w:val="0"/>
        <w:spacing w:line="360" w:lineRule="auto"/>
        <w:jc w:val="center"/>
        <w:rPr>
          <w:rFonts w:hint="eastAsia" w:ascii="宋体" w:hAnsi="宋体" w:eastAsia="宋体" w:cs="宋体"/>
          <w:b/>
          <w:bCs/>
          <w:color w:val="auto"/>
          <w:kern w:val="0"/>
          <w:highlight w:val="none"/>
          <w:lang w:val="zh-CN"/>
        </w:rPr>
      </w:pPr>
      <w:r>
        <w:rPr>
          <w:rFonts w:hint="eastAsia" w:ascii="宋体" w:hAnsi="宋体" w:eastAsia="宋体" w:cs="宋体"/>
          <w:b/>
          <w:bCs/>
          <w:color w:val="auto"/>
          <w:kern w:val="0"/>
          <w:highlight w:val="none"/>
          <w:lang w:val="zh-CN"/>
        </w:rPr>
        <w:t xml:space="preserve"> </w:t>
      </w:r>
      <w:bookmarkStart w:id="570" w:name="_Toc28596_WPSOffice_Level2"/>
      <w:r>
        <w:rPr>
          <w:rFonts w:hint="eastAsia" w:ascii="宋体" w:hAnsi="宋体" w:eastAsia="宋体" w:cs="宋体"/>
          <w:b/>
          <w:bCs/>
          <w:color w:val="auto"/>
          <w:kern w:val="0"/>
          <w:highlight w:val="none"/>
          <w:lang w:val="zh-CN"/>
        </w:rPr>
        <w:t>法定代表人或委托代理人：         （签字）</w:t>
      </w:r>
      <w:bookmarkEnd w:id="570"/>
    </w:p>
    <w:p>
      <w:pPr>
        <w:autoSpaceDE w:val="0"/>
        <w:autoSpaceDN w:val="0"/>
        <w:spacing w:line="360" w:lineRule="auto"/>
        <w:jc w:val="center"/>
        <w:rPr>
          <w:rFonts w:hint="eastAsia" w:ascii="宋体" w:hAnsi="宋体" w:eastAsia="宋体" w:cs="宋体"/>
          <w:color w:val="auto"/>
          <w:kern w:val="0"/>
          <w:highlight w:val="none"/>
          <w:lang w:val="zh-CN"/>
        </w:rPr>
      </w:pPr>
      <w:bookmarkStart w:id="571" w:name="_Toc14438_WPSOffice_Level2"/>
      <w:r>
        <w:rPr>
          <w:rFonts w:hint="eastAsia" w:ascii="宋体" w:hAnsi="宋体" w:eastAsia="宋体" w:cs="宋体"/>
          <w:b/>
          <w:bCs/>
          <w:color w:val="auto"/>
          <w:kern w:val="0"/>
          <w:highlight w:val="none"/>
          <w:lang w:val="zh-CN"/>
        </w:rPr>
        <w:t xml:space="preserve">年 </w:t>
      </w:r>
      <w:r>
        <w:rPr>
          <w:rFonts w:hint="eastAsia" w:ascii="宋体" w:hAnsi="宋体" w:eastAsia="宋体" w:cs="宋体"/>
          <w:b/>
          <w:bCs/>
          <w:color w:val="auto"/>
          <w:kern w:val="0"/>
          <w:highlight w:val="none"/>
        </w:rPr>
        <w:t xml:space="preserve"> </w:t>
      </w:r>
      <w:r>
        <w:rPr>
          <w:rFonts w:hint="eastAsia" w:ascii="宋体" w:hAnsi="宋体" w:eastAsia="宋体" w:cs="宋体"/>
          <w:b/>
          <w:bCs/>
          <w:color w:val="auto"/>
          <w:kern w:val="0"/>
          <w:highlight w:val="none"/>
          <w:lang w:val="zh-CN"/>
        </w:rPr>
        <w:t xml:space="preserve">  月  </w:t>
      </w:r>
      <w:r>
        <w:rPr>
          <w:rFonts w:hint="eastAsia" w:ascii="宋体" w:hAnsi="宋体" w:eastAsia="宋体" w:cs="宋体"/>
          <w:b/>
          <w:bCs/>
          <w:color w:val="auto"/>
          <w:kern w:val="0"/>
          <w:highlight w:val="none"/>
        </w:rPr>
        <w:t xml:space="preserve"> </w:t>
      </w:r>
      <w:r>
        <w:rPr>
          <w:rFonts w:hint="eastAsia" w:ascii="宋体" w:hAnsi="宋体" w:eastAsia="宋体" w:cs="宋体"/>
          <w:b/>
          <w:bCs/>
          <w:color w:val="auto"/>
          <w:kern w:val="0"/>
          <w:highlight w:val="none"/>
          <w:lang w:val="zh-CN"/>
        </w:rPr>
        <w:t xml:space="preserve"> 日</w:t>
      </w:r>
      <w:bookmarkEnd w:id="571"/>
    </w:p>
    <w:p>
      <w:pPr>
        <w:autoSpaceDE w:val="0"/>
        <w:autoSpaceDN w:val="0"/>
        <w:spacing w:line="360" w:lineRule="auto"/>
        <w:rPr>
          <w:rFonts w:hint="eastAsia" w:ascii="宋体" w:hAnsi="宋体" w:eastAsia="宋体" w:cs="宋体"/>
          <w:b/>
          <w:bCs/>
          <w:color w:val="auto"/>
          <w:kern w:val="0"/>
          <w:highlight w:val="none"/>
          <w:lang w:val="zh-CN"/>
        </w:rPr>
      </w:pPr>
    </w:p>
    <w:p>
      <w:pPr>
        <w:pStyle w:val="21"/>
        <w:rPr>
          <w:color w:val="auto"/>
          <w:highlight w:val="none"/>
          <w:lang w:val="zh-CN"/>
        </w:rPr>
      </w:pPr>
    </w:p>
    <w:p>
      <w:pPr>
        <w:pStyle w:val="21"/>
        <w:rPr>
          <w:color w:val="auto"/>
          <w:highlight w:val="none"/>
          <w:lang w:val="zh-CN"/>
        </w:rPr>
      </w:pPr>
    </w:p>
    <w:p>
      <w:pPr>
        <w:pStyle w:val="21"/>
        <w:rPr>
          <w:color w:val="auto"/>
          <w:highlight w:val="none"/>
          <w:lang w:val="zh-CN"/>
        </w:rPr>
      </w:pPr>
    </w:p>
    <w:p>
      <w:pPr>
        <w:pStyle w:val="21"/>
        <w:rPr>
          <w:color w:val="auto"/>
          <w:highlight w:val="none"/>
          <w:lang w:val="zh-CN"/>
        </w:rPr>
      </w:pPr>
    </w:p>
    <w:p>
      <w:pPr>
        <w:pStyle w:val="21"/>
        <w:rPr>
          <w:color w:val="auto"/>
          <w:highlight w:val="none"/>
          <w:lang w:val="zh-CN"/>
        </w:rPr>
      </w:pPr>
    </w:p>
    <w:p>
      <w:pPr>
        <w:pStyle w:val="21"/>
        <w:rPr>
          <w:color w:val="auto"/>
          <w:highlight w:val="none"/>
          <w:lang w:val="zh-CN"/>
        </w:rPr>
      </w:pPr>
    </w:p>
    <w:p>
      <w:pPr>
        <w:pStyle w:val="21"/>
        <w:rPr>
          <w:color w:val="auto"/>
          <w:highlight w:val="none"/>
          <w:lang w:val="zh-CN"/>
        </w:rPr>
      </w:pPr>
    </w:p>
    <w:p>
      <w:pPr>
        <w:pStyle w:val="21"/>
        <w:rPr>
          <w:color w:val="auto"/>
          <w:highlight w:val="none"/>
          <w:lang w:val="zh-CN"/>
        </w:rPr>
      </w:pPr>
    </w:p>
    <w:p>
      <w:pPr>
        <w:pStyle w:val="21"/>
        <w:rPr>
          <w:color w:val="auto"/>
          <w:highlight w:val="none"/>
          <w:lang w:val="zh-CN"/>
        </w:rPr>
      </w:pPr>
    </w:p>
    <w:p>
      <w:pPr>
        <w:pStyle w:val="21"/>
        <w:rPr>
          <w:color w:val="auto"/>
          <w:highlight w:val="none"/>
          <w:lang w:val="zh-CN"/>
        </w:rPr>
      </w:pPr>
    </w:p>
    <w:p>
      <w:pPr>
        <w:autoSpaceDE w:val="0"/>
        <w:autoSpaceDN w:val="0"/>
        <w:adjustRightInd w:val="0"/>
        <w:spacing w:line="400" w:lineRule="exact"/>
        <w:jc w:val="left"/>
        <w:rPr>
          <w:rFonts w:ascii="宋体" w:hAnsi="宋体"/>
          <w:b/>
          <w:bCs/>
          <w:color w:val="auto"/>
          <w:sz w:val="32"/>
          <w:szCs w:val="32"/>
          <w:highlight w:val="none"/>
          <w:lang w:val="zh-CN"/>
        </w:rPr>
      </w:pPr>
    </w:p>
    <w:p>
      <w:pPr>
        <w:autoSpaceDE w:val="0"/>
        <w:autoSpaceDN w:val="0"/>
        <w:adjustRightInd w:val="0"/>
        <w:spacing w:line="400" w:lineRule="exact"/>
        <w:jc w:val="left"/>
        <w:rPr>
          <w:rFonts w:ascii="宋体" w:hAnsi="宋体"/>
          <w:b/>
          <w:bCs/>
          <w:color w:val="auto"/>
          <w:sz w:val="32"/>
          <w:szCs w:val="32"/>
          <w:highlight w:val="none"/>
          <w:lang w:val="zh-CN"/>
        </w:rPr>
      </w:pPr>
    </w:p>
    <w:p>
      <w:pPr>
        <w:autoSpaceDE w:val="0"/>
        <w:autoSpaceDN w:val="0"/>
        <w:adjustRightInd w:val="0"/>
        <w:spacing w:line="400" w:lineRule="exact"/>
        <w:jc w:val="left"/>
        <w:rPr>
          <w:rFonts w:ascii="宋体" w:hAnsi="宋体"/>
          <w:b/>
          <w:bCs/>
          <w:color w:val="auto"/>
          <w:sz w:val="32"/>
          <w:szCs w:val="32"/>
          <w:highlight w:val="none"/>
          <w:lang w:val="zh-CN"/>
        </w:rPr>
      </w:pPr>
    </w:p>
    <w:p>
      <w:pPr>
        <w:autoSpaceDE w:val="0"/>
        <w:autoSpaceDN w:val="0"/>
        <w:adjustRightInd w:val="0"/>
        <w:spacing w:line="400" w:lineRule="exact"/>
        <w:jc w:val="left"/>
        <w:rPr>
          <w:rFonts w:ascii="宋体" w:hAnsi="宋体"/>
          <w:b/>
          <w:bCs/>
          <w:color w:val="auto"/>
          <w:sz w:val="32"/>
          <w:szCs w:val="32"/>
          <w:highlight w:val="none"/>
          <w:lang w:val="zh-CN"/>
        </w:rPr>
      </w:pPr>
    </w:p>
    <w:p>
      <w:pPr>
        <w:autoSpaceDE w:val="0"/>
        <w:autoSpaceDN w:val="0"/>
        <w:adjustRightInd w:val="0"/>
        <w:spacing w:line="400" w:lineRule="exact"/>
        <w:jc w:val="left"/>
        <w:rPr>
          <w:rFonts w:ascii="宋体" w:hAnsi="宋体"/>
          <w:b/>
          <w:bCs/>
          <w:color w:val="auto"/>
          <w:sz w:val="32"/>
          <w:szCs w:val="32"/>
          <w:highlight w:val="none"/>
          <w:lang w:val="zh-CN"/>
        </w:rPr>
      </w:pPr>
    </w:p>
    <w:p>
      <w:pPr>
        <w:pStyle w:val="35"/>
        <w:jc w:val="left"/>
        <w:rPr>
          <w:rFonts w:hint="eastAsia" w:ascii="宋体" w:hAnsi="宋体"/>
          <w:color w:val="auto"/>
          <w:sz w:val="32"/>
          <w:highlight w:val="none"/>
          <w:lang w:val="zh-CN"/>
        </w:rPr>
      </w:pPr>
      <w:bookmarkStart w:id="572" w:name="_Toc17372"/>
      <w:bookmarkStart w:id="573" w:name="_Toc23460"/>
      <w:bookmarkStart w:id="574" w:name="_Toc13104"/>
      <w:bookmarkStart w:id="575" w:name="_Toc13413"/>
      <w:r>
        <w:rPr>
          <w:rFonts w:hint="eastAsia" w:ascii="宋体" w:hAnsi="宋体"/>
          <w:color w:val="auto"/>
          <w:sz w:val="32"/>
          <w:highlight w:val="none"/>
          <w:lang w:val="zh-CN"/>
        </w:rPr>
        <w:t>格式11：业绩证明材料</w:t>
      </w:r>
      <w:bookmarkEnd w:id="572"/>
      <w:bookmarkEnd w:id="573"/>
      <w:bookmarkEnd w:id="574"/>
      <w:bookmarkEnd w:id="575"/>
    </w:p>
    <w:p>
      <w:pPr>
        <w:pStyle w:val="2"/>
        <w:rPr>
          <w:rFonts w:hint="eastAsia" w:ascii="宋体" w:hAnsi="宋体" w:eastAsia="宋体" w:cs="宋体"/>
          <w:color w:val="auto"/>
          <w:sz w:val="24"/>
          <w:szCs w:val="24"/>
          <w:highlight w:val="none"/>
          <w:lang w:val="en-US" w:eastAsia="zh-CN"/>
        </w:rPr>
      </w:pPr>
      <w:r>
        <w:rPr>
          <w:rFonts w:hint="eastAsia" w:ascii="宋体" w:hAnsi="宋体" w:eastAsia="宋体" w:cs="宋体"/>
          <w:color w:val="auto"/>
          <w:kern w:val="0"/>
          <w:sz w:val="24"/>
          <w:szCs w:val="24"/>
          <w:highlight w:val="none"/>
          <w:lang w:val="en-US" w:eastAsia="zh-CN"/>
        </w:rPr>
        <w:t xml:space="preserve">  </w:t>
      </w:r>
      <w:r>
        <w:rPr>
          <w:rFonts w:hint="eastAsia" w:ascii="宋体" w:hAnsi="宋体" w:eastAsia="宋体" w:cs="宋体"/>
          <w:color w:val="auto"/>
          <w:kern w:val="0"/>
          <w:sz w:val="24"/>
          <w:szCs w:val="24"/>
          <w:highlight w:val="none"/>
          <w:lang w:val="zh-CN"/>
        </w:rPr>
        <w:t>提供自</w:t>
      </w:r>
      <w:r>
        <w:rPr>
          <w:rFonts w:hint="eastAsia" w:ascii="宋体" w:hAnsi="宋体" w:eastAsia="宋体" w:cs="宋体"/>
          <w:color w:val="auto"/>
          <w:kern w:val="0"/>
          <w:sz w:val="24"/>
          <w:szCs w:val="24"/>
          <w:highlight w:val="none"/>
          <w:u w:val="single"/>
          <w:lang w:val="zh-CN"/>
        </w:rPr>
        <w:t>201</w:t>
      </w:r>
      <w:r>
        <w:rPr>
          <w:rFonts w:hint="eastAsia" w:ascii="宋体" w:hAnsi="宋体" w:cs="宋体"/>
          <w:color w:val="auto"/>
          <w:kern w:val="0"/>
          <w:sz w:val="24"/>
          <w:szCs w:val="24"/>
          <w:highlight w:val="none"/>
          <w:u w:val="single"/>
          <w:lang w:val="en-US" w:eastAsia="zh-CN"/>
        </w:rPr>
        <w:t>8</w:t>
      </w:r>
      <w:r>
        <w:rPr>
          <w:rFonts w:hint="eastAsia" w:ascii="宋体" w:hAnsi="宋体" w:eastAsia="宋体" w:cs="宋体"/>
          <w:color w:val="auto"/>
          <w:kern w:val="0"/>
          <w:sz w:val="24"/>
          <w:szCs w:val="24"/>
          <w:highlight w:val="none"/>
          <w:lang w:val="zh-CN"/>
        </w:rPr>
        <w:t>年以来的类似业绩证明材料。</w:t>
      </w:r>
      <w:r>
        <w:rPr>
          <w:rFonts w:hint="eastAsia" w:ascii="宋体" w:hAnsi="宋体" w:eastAsia="宋体" w:cs="宋体"/>
          <w:color w:val="auto"/>
          <w:sz w:val="24"/>
          <w:szCs w:val="24"/>
          <w:highlight w:val="none"/>
        </w:rPr>
        <w:t>每提供一个得</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分，最高得</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分；未提供不得分。（需提供包含合同首页、标的及金额所在页、供货合同签字盖章页</w:t>
      </w:r>
      <w:r>
        <w:rPr>
          <w:rFonts w:hint="eastAsia" w:ascii="宋体" w:hAnsi="宋体" w:eastAsia="宋体" w:cs="宋体"/>
          <w:color w:val="auto"/>
          <w:sz w:val="24"/>
          <w:szCs w:val="24"/>
          <w:highlight w:val="none"/>
          <w:lang w:val="en-US" w:eastAsia="zh-CN"/>
        </w:rPr>
        <w:t>或</w:t>
      </w:r>
    </w:p>
    <w:p>
      <w:pPr>
        <w:pStyle w:val="2"/>
        <w:jc w:val="both"/>
        <w:rPr>
          <w:color w:val="auto"/>
          <w:highlight w:val="none"/>
          <w:lang w:val="zh-CN"/>
        </w:rPr>
      </w:pPr>
      <w:r>
        <w:rPr>
          <w:rFonts w:hint="eastAsia" w:ascii="宋体" w:hAnsi="宋体" w:eastAsia="宋体" w:cs="宋体"/>
          <w:color w:val="auto"/>
          <w:sz w:val="24"/>
          <w:szCs w:val="24"/>
          <w:highlight w:val="none"/>
        </w:rPr>
        <w:t>中标通知书的扫描或复印件）</w:t>
      </w:r>
    </w:p>
    <w:p>
      <w:pPr>
        <w:pStyle w:val="21"/>
        <w:rPr>
          <w:color w:val="auto"/>
          <w:highlight w:val="none"/>
          <w:lang w:val="zh-CN"/>
        </w:rPr>
      </w:pPr>
    </w:p>
    <w:p>
      <w:pPr>
        <w:autoSpaceDE w:val="0"/>
        <w:autoSpaceDN w:val="0"/>
        <w:adjustRightInd w:val="0"/>
        <w:spacing w:line="400" w:lineRule="exact"/>
        <w:jc w:val="center"/>
        <w:rPr>
          <w:rFonts w:ascii="宋体" w:hAnsi="Cambria" w:cs="宋体"/>
          <w:b/>
          <w:bCs/>
          <w:color w:val="auto"/>
          <w:kern w:val="0"/>
          <w:sz w:val="28"/>
          <w:szCs w:val="28"/>
          <w:highlight w:val="none"/>
          <w:lang w:val="zh-CN"/>
        </w:rPr>
      </w:pPr>
      <w:r>
        <w:rPr>
          <w:rFonts w:hint="eastAsia" w:ascii="宋体" w:hAnsi="Cambria" w:cs="宋体"/>
          <w:b/>
          <w:bCs/>
          <w:color w:val="auto"/>
          <w:kern w:val="0"/>
          <w:sz w:val="28"/>
          <w:szCs w:val="28"/>
          <w:highlight w:val="none"/>
          <w:lang w:val="zh-CN"/>
        </w:rPr>
        <w:t>业绩证明材料一览表</w:t>
      </w:r>
    </w:p>
    <w:tbl>
      <w:tblPr>
        <w:tblStyle w:val="36"/>
        <w:tblW w:w="8531" w:type="dxa"/>
        <w:tblInd w:w="45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2268"/>
        <w:gridCol w:w="626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660" w:hRule="atLeast"/>
        </w:trPr>
        <w:tc>
          <w:tcPr>
            <w:tcW w:w="2268" w:type="dxa"/>
            <w:tcBorders>
              <w:left w:val="single" w:color="000000" w:sz="8" w:space="0"/>
            </w:tcBorders>
            <w:vAlign w:val="center"/>
          </w:tcPr>
          <w:p>
            <w:pPr>
              <w:jc w:val="center"/>
              <w:rPr>
                <w:rFonts w:ascii="Tahoma" w:hAnsi="Tahoma"/>
                <w:color w:val="auto"/>
                <w:sz w:val="24"/>
                <w:szCs w:val="20"/>
                <w:highlight w:val="none"/>
              </w:rPr>
            </w:pPr>
            <w:r>
              <w:rPr>
                <w:rFonts w:hint="eastAsia" w:ascii="Tahoma" w:hAnsi="Tahoma"/>
                <w:color w:val="auto"/>
                <w:sz w:val="24"/>
                <w:szCs w:val="20"/>
                <w:highlight w:val="none"/>
              </w:rPr>
              <w:t>项目名称</w:t>
            </w:r>
          </w:p>
        </w:tc>
        <w:tc>
          <w:tcPr>
            <w:tcW w:w="6263" w:type="dxa"/>
          </w:tcPr>
          <w:p>
            <w:pPr>
              <w:jc w:val="center"/>
              <w:rPr>
                <w:rFonts w:ascii="Tahoma" w:hAnsi="Tahoma"/>
                <w:color w:val="auto"/>
                <w:sz w:val="24"/>
                <w:szCs w:val="20"/>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60" w:hRule="atLeast"/>
        </w:trPr>
        <w:tc>
          <w:tcPr>
            <w:tcW w:w="2268" w:type="dxa"/>
            <w:tcBorders>
              <w:left w:val="single" w:color="000000" w:sz="8" w:space="0"/>
            </w:tcBorders>
            <w:vAlign w:val="center"/>
          </w:tcPr>
          <w:p>
            <w:pPr>
              <w:jc w:val="center"/>
              <w:rPr>
                <w:rFonts w:ascii="Tahoma" w:hAnsi="Tahoma"/>
                <w:color w:val="auto"/>
                <w:sz w:val="24"/>
                <w:szCs w:val="20"/>
                <w:highlight w:val="none"/>
              </w:rPr>
            </w:pPr>
          </w:p>
          <w:p>
            <w:pPr>
              <w:jc w:val="center"/>
              <w:rPr>
                <w:rFonts w:ascii="Tahoma" w:hAnsi="Tahoma"/>
                <w:color w:val="auto"/>
                <w:sz w:val="24"/>
                <w:szCs w:val="20"/>
                <w:highlight w:val="none"/>
              </w:rPr>
            </w:pPr>
            <w:r>
              <w:rPr>
                <w:rFonts w:ascii="Tahoma" w:hAnsi="Tahoma"/>
                <w:color w:val="auto"/>
                <w:sz w:val="24"/>
                <w:szCs w:val="20"/>
                <w:highlight w:val="none"/>
              </w:rPr>
              <w:t>设备名称</w:t>
            </w:r>
          </w:p>
        </w:tc>
        <w:tc>
          <w:tcPr>
            <w:tcW w:w="6263" w:type="dxa"/>
          </w:tcPr>
          <w:p>
            <w:pPr>
              <w:jc w:val="center"/>
              <w:rPr>
                <w:rFonts w:ascii="Tahoma" w:hAnsi="Tahoma"/>
                <w:color w:val="auto"/>
                <w:sz w:val="24"/>
                <w:szCs w:val="20"/>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0" w:hRule="atLeast"/>
        </w:trPr>
        <w:tc>
          <w:tcPr>
            <w:tcW w:w="2268" w:type="dxa"/>
            <w:tcBorders>
              <w:left w:val="single" w:color="000000" w:sz="8" w:space="0"/>
            </w:tcBorders>
            <w:vAlign w:val="center"/>
          </w:tcPr>
          <w:p>
            <w:pPr>
              <w:jc w:val="center"/>
              <w:rPr>
                <w:rFonts w:ascii="Tahoma" w:hAnsi="Tahoma"/>
                <w:color w:val="auto"/>
                <w:sz w:val="24"/>
                <w:szCs w:val="20"/>
                <w:highlight w:val="none"/>
              </w:rPr>
            </w:pPr>
          </w:p>
          <w:p>
            <w:pPr>
              <w:jc w:val="center"/>
              <w:rPr>
                <w:rFonts w:ascii="Tahoma" w:hAnsi="Tahoma"/>
                <w:color w:val="auto"/>
                <w:sz w:val="24"/>
                <w:szCs w:val="20"/>
                <w:highlight w:val="none"/>
              </w:rPr>
            </w:pPr>
            <w:r>
              <w:rPr>
                <w:rFonts w:ascii="Tahoma" w:hAnsi="Tahoma"/>
                <w:color w:val="auto"/>
                <w:sz w:val="24"/>
                <w:szCs w:val="20"/>
                <w:highlight w:val="none"/>
              </w:rPr>
              <w:t>规格和型号</w:t>
            </w:r>
          </w:p>
        </w:tc>
        <w:tc>
          <w:tcPr>
            <w:tcW w:w="6263" w:type="dxa"/>
          </w:tcPr>
          <w:p>
            <w:pPr>
              <w:jc w:val="center"/>
              <w:rPr>
                <w:rFonts w:ascii="Tahoma" w:hAnsi="Tahoma"/>
                <w:color w:val="auto"/>
                <w:sz w:val="24"/>
                <w:szCs w:val="20"/>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2268" w:type="dxa"/>
            <w:tcBorders>
              <w:left w:val="single" w:color="000000" w:sz="8" w:space="0"/>
            </w:tcBorders>
          </w:tcPr>
          <w:p>
            <w:pPr>
              <w:jc w:val="center"/>
              <w:rPr>
                <w:rFonts w:ascii="Tahoma" w:hAnsi="Tahoma"/>
                <w:color w:val="auto"/>
                <w:sz w:val="24"/>
                <w:szCs w:val="20"/>
                <w:highlight w:val="none"/>
              </w:rPr>
            </w:pPr>
          </w:p>
          <w:p>
            <w:pPr>
              <w:jc w:val="center"/>
              <w:rPr>
                <w:rFonts w:ascii="Tahoma" w:hAnsi="Tahoma"/>
                <w:color w:val="auto"/>
                <w:sz w:val="24"/>
                <w:szCs w:val="20"/>
                <w:highlight w:val="none"/>
              </w:rPr>
            </w:pPr>
            <w:r>
              <w:rPr>
                <w:rFonts w:ascii="Tahoma" w:hAnsi="Tahoma"/>
                <w:color w:val="auto"/>
                <w:sz w:val="24"/>
                <w:szCs w:val="20"/>
                <w:highlight w:val="none"/>
              </w:rPr>
              <w:t>项目名称</w:t>
            </w:r>
          </w:p>
        </w:tc>
        <w:tc>
          <w:tcPr>
            <w:tcW w:w="6263" w:type="dxa"/>
          </w:tcPr>
          <w:p>
            <w:pPr>
              <w:jc w:val="center"/>
              <w:rPr>
                <w:rFonts w:ascii="Tahoma" w:hAnsi="Tahoma"/>
                <w:color w:val="auto"/>
                <w:sz w:val="24"/>
                <w:szCs w:val="20"/>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600" w:hRule="atLeast"/>
        </w:trPr>
        <w:tc>
          <w:tcPr>
            <w:tcW w:w="2268" w:type="dxa"/>
            <w:tcBorders>
              <w:left w:val="single" w:color="000000" w:sz="8" w:space="0"/>
            </w:tcBorders>
          </w:tcPr>
          <w:p>
            <w:pPr>
              <w:jc w:val="center"/>
              <w:rPr>
                <w:rFonts w:ascii="Tahoma" w:hAnsi="Tahoma"/>
                <w:color w:val="auto"/>
                <w:sz w:val="24"/>
                <w:szCs w:val="20"/>
                <w:highlight w:val="none"/>
              </w:rPr>
            </w:pPr>
          </w:p>
          <w:p>
            <w:pPr>
              <w:jc w:val="center"/>
              <w:rPr>
                <w:rFonts w:ascii="Tahoma" w:hAnsi="Tahoma"/>
                <w:color w:val="auto"/>
                <w:sz w:val="24"/>
                <w:szCs w:val="20"/>
                <w:highlight w:val="none"/>
              </w:rPr>
            </w:pPr>
            <w:r>
              <w:rPr>
                <w:rFonts w:ascii="Tahoma" w:hAnsi="Tahoma"/>
                <w:color w:val="auto"/>
                <w:sz w:val="24"/>
                <w:szCs w:val="20"/>
                <w:highlight w:val="none"/>
              </w:rPr>
              <w:t>买方名称</w:t>
            </w:r>
          </w:p>
        </w:tc>
        <w:tc>
          <w:tcPr>
            <w:tcW w:w="6263" w:type="dxa"/>
          </w:tcPr>
          <w:p>
            <w:pPr>
              <w:jc w:val="center"/>
              <w:rPr>
                <w:rFonts w:ascii="Tahoma" w:hAnsi="Tahoma"/>
                <w:color w:val="auto"/>
                <w:sz w:val="24"/>
                <w:szCs w:val="20"/>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615" w:hRule="atLeast"/>
        </w:trPr>
        <w:tc>
          <w:tcPr>
            <w:tcW w:w="2268" w:type="dxa"/>
            <w:tcBorders>
              <w:left w:val="single" w:color="000000" w:sz="8" w:space="0"/>
            </w:tcBorders>
          </w:tcPr>
          <w:p>
            <w:pPr>
              <w:jc w:val="center"/>
              <w:rPr>
                <w:rFonts w:ascii="Tahoma" w:hAnsi="Tahoma"/>
                <w:color w:val="auto"/>
                <w:sz w:val="24"/>
                <w:szCs w:val="20"/>
                <w:highlight w:val="none"/>
              </w:rPr>
            </w:pPr>
          </w:p>
          <w:p>
            <w:pPr>
              <w:jc w:val="center"/>
              <w:rPr>
                <w:rFonts w:ascii="Tahoma" w:hAnsi="Tahoma"/>
                <w:color w:val="auto"/>
                <w:sz w:val="24"/>
                <w:szCs w:val="20"/>
                <w:highlight w:val="none"/>
              </w:rPr>
            </w:pPr>
            <w:r>
              <w:rPr>
                <w:rFonts w:ascii="Tahoma" w:hAnsi="Tahoma"/>
                <w:color w:val="auto"/>
                <w:sz w:val="24"/>
                <w:szCs w:val="20"/>
                <w:highlight w:val="none"/>
              </w:rPr>
              <w:t>买方联系人及电话</w:t>
            </w:r>
          </w:p>
        </w:tc>
        <w:tc>
          <w:tcPr>
            <w:tcW w:w="6263" w:type="dxa"/>
          </w:tcPr>
          <w:p>
            <w:pPr>
              <w:jc w:val="center"/>
              <w:rPr>
                <w:rFonts w:ascii="Tahoma" w:hAnsi="Tahoma"/>
                <w:color w:val="auto"/>
                <w:sz w:val="24"/>
                <w:szCs w:val="20"/>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600" w:hRule="atLeast"/>
        </w:trPr>
        <w:tc>
          <w:tcPr>
            <w:tcW w:w="2268" w:type="dxa"/>
            <w:tcBorders>
              <w:left w:val="single" w:color="000000" w:sz="8" w:space="0"/>
            </w:tcBorders>
          </w:tcPr>
          <w:p>
            <w:pPr>
              <w:jc w:val="center"/>
              <w:rPr>
                <w:rFonts w:ascii="Tahoma" w:hAnsi="Tahoma"/>
                <w:color w:val="auto"/>
                <w:sz w:val="24"/>
                <w:szCs w:val="20"/>
                <w:highlight w:val="none"/>
              </w:rPr>
            </w:pPr>
          </w:p>
          <w:p>
            <w:pPr>
              <w:jc w:val="center"/>
              <w:rPr>
                <w:rFonts w:ascii="Tahoma" w:hAnsi="Tahoma"/>
                <w:color w:val="auto"/>
                <w:sz w:val="24"/>
                <w:szCs w:val="20"/>
                <w:highlight w:val="none"/>
              </w:rPr>
            </w:pPr>
            <w:r>
              <w:rPr>
                <w:rFonts w:ascii="Tahoma" w:hAnsi="Tahoma"/>
                <w:color w:val="auto"/>
                <w:sz w:val="24"/>
                <w:szCs w:val="20"/>
                <w:highlight w:val="none"/>
              </w:rPr>
              <w:t>合同价格</w:t>
            </w:r>
          </w:p>
        </w:tc>
        <w:tc>
          <w:tcPr>
            <w:tcW w:w="6263" w:type="dxa"/>
          </w:tcPr>
          <w:p>
            <w:pPr>
              <w:jc w:val="center"/>
              <w:rPr>
                <w:rFonts w:ascii="Tahoma" w:hAnsi="Tahoma"/>
                <w:color w:val="auto"/>
                <w:sz w:val="24"/>
                <w:szCs w:val="20"/>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078" w:hRule="atLeast"/>
        </w:trPr>
        <w:tc>
          <w:tcPr>
            <w:tcW w:w="2268" w:type="dxa"/>
            <w:tcBorders>
              <w:left w:val="single" w:color="000000" w:sz="8" w:space="0"/>
            </w:tcBorders>
          </w:tcPr>
          <w:p>
            <w:pPr>
              <w:jc w:val="center"/>
              <w:rPr>
                <w:rFonts w:ascii="Tahoma" w:hAnsi="Tahoma"/>
                <w:color w:val="auto"/>
                <w:sz w:val="24"/>
                <w:szCs w:val="20"/>
                <w:highlight w:val="none"/>
              </w:rPr>
            </w:pPr>
          </w:p>
          <w:p>
            <w:pPr>
              <w:jc w:val="center"/>
              <w:rPr>
                <w:rFonts w:ascii="Tahoma" w:hAnsi="Tahoma"/>
                <w:color w:val="auto"/>
                <w:sz w:val="24"/>
                <w:szCs w:val="20"/>
                <w:highlight w:val="none"/>
              </w:rPr>
            </w:pPr>
          </w:p>
          <w:p>
            <w:pPr>
              <w:jc w:val="center"/>
              <w:rPr>
                <w:rFonts w:ascii="Tahoma" w:hAnsi="Tahoma"/>
                <w:color w:val="auto"/>
                <w:sz w:val="24"/>
                <w:szCs w:val="20"/>
                <w:highlight w:val="none"/>
              </w:rPr>
            </w:pPr>
          </w:p>
          <w:p>
            <w:pPr>
              <w:jc w:val="center"/>
              <w:rPr>
                <w:rFonts w:ascii="Tahoma" w:hAnsi="Tahoma"/>
                <w:color w:val="auto"/>
                <w:sz w:val="24"/>
                <w:szCs w:val="20"/>
                <w:highlight w:val="none"/>
              </w:rPr>
            </w:pPr>
          </w:p>
          <w:p>
            <w:pPr>
              <w:jc w:val="center"/>
              <w:rPr>
                <w:rFonts w:ascii="Tahoma" w:hAnsi="Tahoma"/>
                <w:color w:val="auto"/>
                <w:sz w:val="24"/>
                <w:szCs w:val="20"/>
                <w:highlight w:val="none"/>
              </w:rPr>
            </w:pPr>
          </w:p>
          <w:p>
            <w:pPr>
              <w:jc w:val="center"/>
              <w:rPr>
                <w:rFonts w:ascii="Tahoma" w:hAnsi="Tahoma"/>
                <w:color w:val="auto"/>
                <w:sz w:val="24"/>
                <w:szCs w:val="20"/>
                <w:highlight w:val="none"/>
              </w:rPr>
            </w:pPr>
            <w:r>
              <w:rPr>
                <w:rFonts w:ascii="Tahoma" w:hAnsi="Tahoma"/>
                <w:color w:val="auto"/>
                <w:sz w:val="24"/>
                <w:szCs w:val="20"/>
                <w:highlight w:val="none"/>
              </w:rPr>
              <w:t>项目概况及</w:t>
            </w:r>
            <w:r>
              <w:rPr>
                <w:rFonts w:hint="eastAsia" w:ascii="Tahoma" w:hAnsi="Tahoma"/>
                <w:color w:val="auto"/>
                <w:sz w:val="24"/>
                <w:szCs w:val="20"/>
                <w:highlight w:val="none"/>
              </w:rPr>
              <w:t>供应商</w:t>
            </w:r>
            <w:r>
              <w:rPr>
                <w:rFonts w:ascii="Tahoma" w:hAnsi="Tahoma"/>
                <w:color w:val="auto"/>
                <w:sz w:val="24"/>
                <w:szCs w:val="20"/>
                <w:highlight w:val="none"/>
              </w:rPr>
              <w:t>履约情况</w:t>
            </w:r>
          </w:p>
        </w:tc>
        <w:tc>
          <w:tcPr>
            <w:tcW w:w="6263" w:type="dxa"/>
          </w:tcPr>
          <w:p>
            <w:pPr>
              <w:jc w:val="center"/>
              <w:rPr>
                <w:rFonts w:ascii="Tahoma" w:hAnsi="Tahoma"/>
                <w:color w:val="auto"/>
                <w:sz w:val="24"/>
                <w:szCs w:val="20"/>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615" w:hRule="atLeast"/>
        </w:trPr>
        <w:tc>
          <w:tcPr>
            <w:tcW w:w="2268" w:type="dxa"/>
            <w:tcBorders>
              <w:left w:val="single" w:color="000000" w:sz="8" w:space="0"/>
            </w:tcBorders>
          </w:tcPr>
          <w:p>
            <w:pPr>
              <w:jc w:val="center"/>
              <w:rPr>
                <w:rFonts w:ascii="Tahoma" w:hAnsi="Tahoma"/>
                <w:color w:val="auto"/>
                <w:sz w:val="24"/>
                <w:szCs w:val="20"/>
                <w:highlight w:val="none"/>
              </w:rPr>
            </w:pPr>
          </w:p>
          <w:p>
            <w:pPr>
              <w:jc w:val="center"/>
              <w:rPr>
                <w:rFonts w:ascii="Tahoma" w:hAnsi="Tahoma"/>
                <w:color w:val="auto"/>
                <w:sz w:val="24"/>
                <w:szCs w:val="20"/>
                <w:highlight w:val="none"/>
              </w:rPr>
            </w:pPr>
            <w:r>
              <w:rPr>
                <w:rFonts w:ascii="Tahoma" w:hAnsi="Tahoma"/>
                <w:color w:val="auto"/>
                <w:sz w:val="24"/>
                <w:szCs w:val="20"/>
                <w:highlight w:val="none"/>
              </w:rPr>
              <w:t>备注</w:t>
            </w:r>
          </w:p>
        </w:tc>
        <w:tc>
          <w:tcPr>
            <w:tcW w:w="6263" w:type="dxa"/>
          </w:tcPr>
          <w:p>
            <w:pPr>
              <w:jc w:val="center"/>
              <w:rPr>
                <w:rFonts w:ascii="Tahoma" w:hAnsi="Tahoma"/>
                <w:color w:val="auto"/>
                <w:sz w:val="24"/>
                <w:szCs w:val="20"/>
                <w:highlight w:val="none"/>
              </w:rPr>
            </w:pPr>
          </w:p>
        </w:tc>
      </w:tr>
    </w:tbl>
    <w:p>
      <w:pPr>
        <w:jc w:val="center"/>
        <w:rPr>
          <w:rFonts w:ascii="Tahoma" w:hAnsi="Tahoma"/>
          <w:color w:val="auto"/>
          <w:sz w:val="24"/>
          <w:szCs w:val="20"/>
          <w:highlight w:val="none"/>
        </w:rPr>
      </w:pPr>
      <w:r>
        <w:rPr>
          <w:rFonts w:ascii="Tahoma" w:hAnsi="Tahoma"/>
          <w:color w:val="auto"/>
          <w:sz w:val="24"/>
          <w:szCs w:val="20"/>
          <w:highlight w:val="none"/>
        </w:rPr>
        <w:t xml:space="preserve">注：1. </w:t>
      </w:r>
      <w:r>
        <w:rPr>
          <w:rFonts w:hint="eastAsia" w:ascii="Tahoma" w:hAnsi="Tahoma"/>
          <w:color w:val="auto"/>
          <w:sz w:val="24"/>
          <w:szCs w:val="20"/>
          <w:highlight w:val="none"/>
        </w:rPr>
        <w:t>供应商</w:t>
      </w:r>
      <w:r>
        <w:rPr>
          <w:rFonts w:ascii="Tahoma" w:hAnsi="Tahoma"/>
          <w:color w:val="auto"/>
          <w:sz w:val="24"/>
          <w:szCs w:val="20"/>
          <w:highlight w:val="none"/>
        </w:rPr>
        <w:t>应根据</w:t>
      </w:r>
      <w:r>
        <w:rPr>
          <w:rFonts w:hint="eastAsia" w:ascii="Tahoma" w:hAnsi="Tahoma"/>
          <w:color w:val="auto"/>
          <w:sz w:val="24"/>
          <w:szCs w:val="20"/>
          <w:highlight w:val="none"/>
        </w:rPr>
        <w:t>供应商</w:t>
      </w:r>
      <w:r>
        <w:rPr>
          <w:rFonts w:ascii="Tahoma" w:hAnsi="Tahoma"/>
          <w:color w:val="auto"/>
          <w:sz w:val="24"/>
          <w:szCs w:val="20"/>
          <w:highlight w:val="none"/>
        </w:rPr>
        <w:t>须知的要求在本表后附相关证明材料。</w:t>
      </w:r>
    </w:p>
    <w:p>
      <w:pPr>
        <w:pStyle w:val="21"/>
        <w:rPr>
          <w:color w:val="auto"/>
          <w:sz w:val="22"/>
          <w:highlight w:val="none"/>
        </w:rPr>
      </w:pPr>
    </w:p>
    <w:p>
      <w:pPr>
        <w:pStyle w:val="21"/>
        <w:rPr>
          <w:color w:val="auto"/>
          <w:highlight w:val="none"/>
          <w:lang w:val="zh-CN"/>
        </w:rPr>
      </w:pPr>
    </w:p>
    <w:p>
      <w:pPr>
        <w:pStyle w:val="21"/>
        <w:rPr>
          <w:color w:val="auto"/>
          <w:highlight w:val="none"/>
          <w:lang w:val="zh-CN"/>
        </w:rPr>
      </w:pPr>
    </w:p>
    <w:p>
      <w:pPr>
        <w:pStyle w:val="21"/>
        <w:rPr>
          <w:color w:val="auto"/>
          <w:highlight w:val="none"/>
          <w:lang w:val="zh-CN"/>
        </w:rPr>
      </w:pPr>
    </w:p>
    <w:p>
      <w:pPr>
        <w:autoSpaceDE w:val="0"/>
        <w:autoSpaceDN w:val="0"/>
        <w:adjustRightInd w:val="0"/>
        <w:spacing w:line="400" w:lineRule="exact"/>
        <w:jc w:val="left"/>
        <w:rPr>
          <w:rFonts w:ascii="宋体" w:hAnsi="宋体"/>
          <w:b/>
          <w:bCs/>
          <w:color w:val="auto"/>
          <w:sz w:val="32"/>
          <w:szCs w:val="32"/>
          <w:highlight w:val="none"/>
          <w:lang w:val="zh-CN"/>
        </w:rPr>
      </w:pPr>
    </w:p>
    <w:p>
      <w:pPr>
        <w:autoSpaceDE w:val="0"/>
        <w:autoSpaceDN w:val="0"/>
        <w:adjustRightInd w:val="0"/>
        <w:spacing w:line="400" w:lineRule="exact"/>
        <w:jc w:val="left"/>
        <w:rPr>
          <w:rFonts w:ascii="宋体" w:hAnsi="宋体"/>
          <w:b/>
          <w:bCs/>
          <w:color w:val="auto"/>
          <w:sz w:val="32"/>
          <w:szCs w:val="32"/>
          <w:highlight w:val="none"/>
          <w:lang w:val="zh-CN"/>
        </w:rPr>
      </w:pPr>
    </w:p>
    <w:p>
      <w:pPr>
        <w:pStyle w:val="35"/>
        <w:jc w:val="left"/>
        <w:rPr>
          <w:rFonts w:hint="eastAsia" w:ascii="宋体" w:hAnsi="宋体"/>
          <w:color w:val="auto"/>
          <w:sz w:val="32"/>
          <w:highlight w:val="none"/>
          <w:lang w:val="zh-CN"/>
        </w:rPr>
      </w:pPr>
      <w:bookmarkStart w:id="576" w:name="_Toc15665"/>
      <w:bookmarkStart w:id="577" w:name="_Toc15769"/>
      <w:bookmarkStart w:id="578" w:name="_Toc12393"/>
      <w:bookmarkStart w:id="579" w:name="_Toc6692"/>
      <w:r>
        <w:rPr>
          <w:rFonts w:hint="eastAsia" w:ascii="宋体" w:hAnsi="宋体"/>
          <w:color w:val="auto"/>
          <w:sz w:val="32"/>
          <w:highlight w:val="none"/>
          <w:lang w:val="zh-CN"/>
        </w:rPr>
        <w:t>格式12：采购文件中要求提供的其他材料</w:t>
      </w:r>
      <w:bookmarkEnd w:id="576"/>
      <w:bookmarkEnd w:id="577"/>
      <w:bookmarkEnd w:id="578"/>
      <w:bookmarkEnd w:id="579"/>
    </w:p>
    <w:p>
      <w:pPr>
        <w:pStyle w:val="21"/>
        <w:rPr>
          <w:color w:val="auto"/>
          <w:highlight w:val="none"/>
          <w:lang w:val="zh-CN"/>
        </w:rPr>
      </w:pPr>
    </w:p>
    <w:p>
      <w:pPr>
        <w:autoSpaceDE w:val="0"/>
        <w:autoSpaceDN w:val="0"/>
        <w:adjustRightInd w:val="0"/>
        <w:spacing w:line="400" w:lineRule="exact"/>
        <w:jc w:val="both"/>
        <w:rPr>
          <w:rFonts w:ascii="宋体" w:hAnsi="Cambria" w:cs="宋体"/>
          <w:b/>
          <w:bCs/>
          <w:color w:val="auto"/>
          <w:kern w:val="0"/>
          <w:sz w:val="36"/>
          <w:szCs w:val="36"/>
          <w:highlight w:val="none"/>
          <w:lang w:val="zh-CN"/>
        </w:rPr>
      </w:pPr>
      <w:r>
        <w:rPr>
          <w:rFonts w:hint="eastAsia" w:ascii="宋体" w:hAnsi="Cambria" w:cs="宋体"/>
          <w:b/>
          <w:bCs/>
          <w:color w:val="auto"/>
          <w:kern w:val="0"/>
          <w:sz w:val="28"/>
          <w:szCs w:val="28"/>
          <w:highlight w:val="none"/>
          <w:lang w:val="zh-CN"/>
        </w:rPr>
        <w:t>采购文件中要求提供的其他材料表</w:t>
      </w:r>
    </w:p>
    <w:p>
      <w:pPr>
        <w:pStyle w:val="21"/>
        <w:rPr>
          <w:color w:val="auto"/>
          <w:highlight w:val="none"/>
          <w:lang w:val="zh-CN"/>
        </w:rPr>
      </w:pPr>
    </w:p>
    <w:p>
      <w:pPr>
        <w:pStyle w:val="21"/>
        <w:rPr>
          <w:color w:val="auto"/>
          <w:highlight w:val="none"/>
          <w:lang w:val="zh-CN"/>
        </w:rPr>
      </w:pPr>
    </w:p>
    <w:p>
      <w:pPr>
        <w:pStyle w:val="21"/>
        <w:rPr>
          <w:color w:val="auto"/>
          <w:highlight w:val="none"/>
          <w:lang w:val="zh-CN"/>
        </w:rPr>
      </w:pPr>
    </w:p>
    <w:p>
      <w:pPr>
        <w:pStyle w:val="21"/>
        <w:rPr>
          <w:color w:val="auto"/>
          <w:highlight w:val="none"/>
          <w:lang w:val="zh-CN"/>
        </w:rPr>
      </w:pPr>
    </w:p>
    <w:p>
      <w:pPr>
        <w:pStyle w:val="21"/>
        <w:rPr>
          <w:color w:val="auto"/>
          <w:highlight w:val="none"/>
          <w:lang w:val="zh-CN"/>
        </w:rPr>
      </w:pPr>
    </w:p>
    <w:p>
      <w:pPr>
        <w:pStyle w:val="21"/>
        <w:rPr>
          <w:color w:val="auto"/>
          <w:highlight w:val="none"/>
          <w:lang w:val="zh-CN"/>
        </w:rPr>
      </w:pPr>
    </w:p>
    <w:p>
      <w:pPr>
        <w:pStyle w:val="35"/>
        <w:rPr>
          <w:color w:val="auto"/>
          <w:sz w:val="24"/>
          <w:highlight w:val="none"/>
          <w:lang w:val="zh-CN"/>
        </w:rPr>
      </w:pPr>
    </w:p>
    <w:p>
      <w:pPr>
        <w:rPr>
          <w:color w:val="auto"/>
          <w:highlight w:val="none"/>
          <w:lang w:val="zh-CN"/>
        </w:rPr>
      </w:pPr>
    </w:p>
    <w:p>
      <w:pPr>
        <w:pStyle w:val="21"/>
        <w:rPr>
          <w:color w:val="auto"/>
          <w:highlight w:val="none"/>
          <w:lang w:val="zh-CN"/>
        </w:rPr>
      </w:pPr>
    </w:p>
    <w:p>
      <w:pPr>
        <w:pStyle w:val="21"/>
        <w:rPr>
          <w:color w:val="auto"/>
          <w:highlight w:val="none"/>
          <w:lang w:val="zh-CN"/>
        </w:rPr>
      </w:pPr>
    </w:p>
    <w:p>
      <w:pPr>
        <w:pStyle w:val="21"/>
        <w:rPr>
          <w:color w:val="auto"/>
          <w:highlight w:val="none"/>
          <w:lang w:val="zh-CN"/>
        </w:rPr>
      </w:pPr>
    </w:p>
    <w:p>
      <w:pPr>
        <w:pStyle w:val="21"/>
        <w:rPr>
          <w:color w:val="auto"/>
          <w:highlight w:val="none"/>
          <w:lang w:val="zh-CN"/>
        </w:rPr>
      </w:pPr>
    </w:p>
    <w:p>
      <w:pPr>
        <w:pStyle w:val="21"/>
        <w:rPr>
          <w:color w:val="auto"/>
          <w:highlight w:val="none"/>
          <w:lang w:val="zh-CN"/>
        </w:rPr>
      </w:pPr>
    </w:p>
    <w:p>
      <w:pPr>
        <w:pStyle w:val="21"/>
        <w:rPr>
          <w:color w:val="auto"/>
          <w:highlight w:val="none"/>
          <w:lang w:val="zh-CN"/>
        </w:rPr>
      </w:pPr>
    </w:p>
    <w:p>
      <w:pPr>
        <w:pStyle w:val="21"/>
        <w:rPr>
          <w:color w:val="auto"/>
          <w:highlight w:val="none"/>
          <w:lang w:val="zh-CN"/>
        </w:rPr>
      </w:pPr>
    </w:p>
    <w:p>
      <w:pPr>
        <w:pStyle w:val="21"/>
        <w:rPr>
          <w:color w:val="auto"/>
          <w:highlight w:val="none"/>
          <w:lang w:val="zh-CN"/>
        </w:rPr>
      </w:pPr>
    </w:p>
    <w:p>
      <w:pPr>
        <w:pStyle w:val="21"/>
        <w:rPr>
          <w:color w:val="auto"/>
          <w:highlight w:val="none"/>
          <w:lang w:val="zh-CN"/>
        </w:rPr>
      </w:pPr>
    </w:p>
    <w:p>
      <w:pPr>
        <w:pStyle w:val="21"/>
        <w:rPr>
          <w:color w:val="auto"/>
          <w:highlight w:val="none"/>
          <w:lang w:val="zh-CN"/>
        </w:rPr>
      </w:pPr>
    </w:p>
    <w:p>
      <w:pPr>
        <w:pStyle w:val="21"/>
        <w:rPr>
          <w:color w:val="auto"/>
          <w:highlight w:val="none"/>
          <w:lang w:val="zh-CN"/>
        </w:rPr>
      </w:pPr>
    </w:p>
    <w:p>
      <w:pPr>
        <w:pStyle w:val="21"/>
        <w:rPr>
          <w:color w:val="auto"/>
          <w:highlight w:val="none"/>
          <w:lang w:val="zh-CN"/>
        </w:rPr>
      </w:pPr>
    </w:p>
    <w:p>
      <w:pPr>
        <w:pStyle w:val="21"/>
        <w:rPr>
          <w:color w:val="auto"/>
          <w:highlight w:val="none"/>
          <w:lang w:val="zh-CN"/>
        </w:rPr>
      </w:pPr>
    </w:p>
    <w:p>
      <w:pPr>
        <w:pStyle w:val="21"/>
        <w:rPr>
          <w:color w:val="auto"/>
          <w:highlight w:val="none"/>
          <w:lang w:val="zh-CN"/>
        </w:rPr>
      </w:pPr>
    </w:p>
    <w:p>
      <w:pPr>
        <w:pStyle w:val="21"/>
        <w:rPr>
          <w:color w:val="auto"/>
          <w:highlight w:val="none"/>
          <w:lang w:val="zh-CN"/>
        </w:rPr>
      </w:pPr>
    </w:p>
    <w:p>
      <w:pPr>
        <w:pStyle w:val="21"/>
        <w:rPr>
          <w:color w:val="auto"/>
          <w:highlight w:val="none"/>
          <w:lang w:val="zh-CN"/>
        </w:rPr>
      </w:pPr>
    </w:p>
    <w:p>
      <w:pPr>
        <w:pStyle w:val="21"/>
        <w:rPr>
          <w:color w:val="auto"/>
          <w:highlight w:val="none"/>
          <w:lang w:val="zh-CN"/>
        </w:rPr>
      </w:pPr>
    </w:p>
    <w:p>
      <w:pPr>
        <w:pStyle w:val="21"/>
        <w:rPr>
          <w:color w:val="auto"/>
          <w:highlight w:val="none"/>
          <w:lang w:val="zh-CN"/>
        </w:rPr>
      </w:pPr>
    </w:p>
    <w:p>
      <w:pPr>
        <w:pStyle w:val="21"/>
        <w:rPr>
          <w:color w:val="auto"/>
          <w:highlight w:val="none"/>
          <w:lang w:val="zh-CN"/>
        </w:rPr>
      </w:pPr>
    </w:p>
    <w:p>
      <w:pPr>
        <w:pStyle w:val="21"/>
        <w:rPr>
          <w:color w:val="auto"/>
          <w:highlight w:val="none"/>
          <w:lang w:val="zh-CN"/>
        </w:rPr>
      </w:pPr>
    </w:p>
    <w:p>
      <w:pPr>
        <w:pStyle w:val="21"/>
        <w:rPr>
          <w:color w:val="auto"/>
          <w:highlight w:val="none"/>
          <w:lang w:val="zh-CN"/>
        </w:rPr>
      </w:pPr>
    </w:p>
    <w:p>
      <w:pPr>
        <w:pStyle w:val="21"/>
        <w:rPr>
          <w:color w:val="auto"/>
          <w:highlight w:val="none"/>
          <w:lang w:val="zh-CN"/>
        </w:rPr>
      </w:pPr>
    </w:p>
    <w:p>
      <w:pPr>
        <w:pStyle w:val="21"/>
        <w:rPr>
          <w:color w:val="auto"/>
          <w:highlight w:val="none"/>
          <w:lang w:val="zh-CN"/>
        </w:rPr>
      </w:pPr>
    </w:p>
    <w:p>
      <w:pPr>
        <w:pStyle w:val="21"/>
        <w:rPr>
          <w:color w:val="auto"/>
          <w:highlight w:val="none"/>
          <w:lang w:val="zh-CN"/>
        </w:rPr>
      </w:pPr>
    </w:p>
    <w:p>
      <w:pPr>
        <w:pStyle w:val="21"/>
        <w:rPr>
          <w:color w:val="auto"/>
          <w:highlight w:val="none"/>
          <w:lang w:val="zh-CN"/>
        </w:rPr>
      </w:pPr>
    </w:p>
    <w:p>
      <w:pPr>
        <w:pStyle w:val="21"/>
        <w:rPr>
          <w:color w:val="auto"/>
          <w:highlight w:val="none"/>
          <w:lang w:val="zh-CN"/>
        </w:rPr>
      </w:pPr>
    </w:p>
    <w:p>
      <w:pPr>
        <w:pStyle w:val="21"/>
        <w:rPr>
          <w:color w:val="auto"/>
          <w:highlight w:val="none"/>
          <w:lang w:val="zh-CN"/>
        </w:rPr>
      </w:pPr>
    </w:p>
    <w:p>
      <w:pPr>
        <w:pStyle w:val="21"/>
        <w:rPr>
          <w:color w:val="auto"/>
          <w:highlight w:val="none"/>
          <w:lang w:val="zh-CN"/>
        </w:rPr>
      </w:pPr>
    </w:p>
    <w:p>
      <w:pPr>
        <w:pStyle w:val="21"/>
        <w:rPr>
          <w:color w:val="auto"/>
          <w:highlight w:val="none"/>
          <w:lang w:val="zh-CN"/>
        </w:rPr>
      </w:pPr>
    </w:p>
    <w:p>
      <w:pPr>
        <w:pStyle w:val="21"/>
        <w:rPr>
          <w:color w:val="auto"/>
          <w:highlight w:val="none"/>
          <w:lang w:val="zh-CN"/>
        </w:rPr>
      </w:pPr>
    </w:p>
    <w:p>
      <w:pPr>
        <w:pStyle w:val="21"/>
        <w:rPr>
          <w:color w:val="auto"/>
          <w:highlight w:val="none"/>
          <w:lang w:val="zh-CN"/>
        </w:rPr>
      </w:pPr>
    </w:p>
    <w:p>
      <w:pPr>
        <w:pStyle w:val="21"/>
        <w:rPr>
          <w:color w:val="auto"/>
          <w:highlight w:val="none"/>
          <w:lang w:val="zh-CN"/>
        </w:rPr>
      </w:pPr>
    </w:p>
    <w:p>
      <w:pPr>
        <w:autoSpaceDE w:val="0"/>
        <w:autoSpaceDN w:val="0"/>
        <w:adjustRightInd w:val="0"/>
        <w:spacing w:line="400" w:lineRule="exact"/>
        <w:jc w:val="left"/>
        <w:rPr>
          <w:rFonts w:ascii="宋体" w:hAnsi="宋体"/>
          <w:b/>
          <w:bCs/>
          <w:color w:val="auto"/>
          <w:sz w:val="32"/>
          <w:szCs w:val="32"/>
          <w:highlight w:val="none"/>
          <w:lang w:val="zh-CN"/>
        </w:rPr>
      </w:pPr>
    </w:p>
    <w:p>
      <w:pPr>
        <w:pStyle w:val="35"/>
        <w:jc w:val="left"/>
        <w:rPr>
          <w:rFonts w:hint="eastAsia" w:ascii="宋体" w:hAnsi="宋体"/>
          <w:color w:val="auto"/>
          <w:sz w:val="32"/>
          <w:highlight w:val="none"/>
          <w:lang w:val="zh-CN"/>
        </w:rPr>
      </w:pPr>
      <w:bookmarkStart w:id="580" w:name="_Toc12454"/>
      <w:bookmarkStart w:id="581" w:name="_Toc17616"/>
      <w:bookmarkStart w:id="582" w:name="_Toc26866"/>
      <w:bookmarkStart w:id="583" w:name="_Toc18592"/>
      <w:r>
        <w:rPr>
          <w:rFonts w:hint="eastAsia" w:ascii="宋体" w:hAnsi="宋体"/>
          <w:color w:val="auto"/>
          <w:sz w:val="32"/>
          <w:highlight w:val="none"/>
          <w:lang w:val="zh-CN"/>
        </w:rPr>
        <w:t>格式13：供应商认为在其他方面有必要说明的事项</w:t>
      </w:r>
      <w:bookmarkEnd w:id="580"/>
      <w:bookmarkEnd w:id="581"/>
      <w:bookmarkEnd w:id="582"/>
      <w:bookmarkEnd w:id="583"/>
    </w:p>
    <w:p>
      <w:pPr>
        <w:pStyle w:val="21"/>
        <w:rPr>
          <w:color w:val="auto"/>
          <w:highlight w:val="none"/>
          <w:lang w:val="zh-CN"/>
        </w:rPr>
      </w:pPr>
    </w:p>
    <w:p>
      <w:pPr>
        <w:autoSpaceDE w:val="0"/>
        <w:autoSpaceDN w:val="0"/>
        <w:adjustRightInd w:val="0"/>
        <w:spacing w:line="400" w:lineRule="exact"/>
        <w:jc w:val="center"/>
        <w:rPr>
          <w:rFonts w:ascii="宋体" w:hAnsi="Cambria" w:cs="宋体"/>
          <w:b/>
          <w:bCs/>
          <w:color w:val="auto"/>
          <w:kern w:val="0"/>
          <w:sz w:val="28"/>
          <w:szCs w:val="28"/>
          <w:highlight w:val="none"/>
          <w:lang w:val="zh-CN"/>
        </w:rPr>
      </w:pPr>
      <w:r>
        <w:rPr>
          <w:rFonts w:hint="eastAsia" w:ascii="宋体" w:hAnsi="Cambria" w:cs="宋体"/>
          <w:b/>
          <w:bCs/>
          <w:color w:val="auto"/>
          <w:kern w:val="0"/>
          <w:sz w:val="28"/>
          <w:szCs w:val="28"/>
          <w:highlight w:val="none"/>
          <w:lang w:val="zh-CN"/>
        </w:rPr>
        <w:t>供应商认为在其他方面有必要说明的事项</w:t>
      </w:r>
    </w:p>
    <w:p>
      <w:pPr>
        <w:rPr>
          <w:color w:val="auto"/>
          <w:highlight w:val="none"/>
          <w:lang w:val="zh-CN"/>
        </w:rPr>
      </w:pPr>
    </w:p>
    <w:p>
      <w:pPr>
        <w:pStyle w:val="35"/>
        <w:rPr>
          <w:color w:val="auto"/>
          <w:highlight w:val="none"/>
          <w:lang w:val="zh-CN"/>
        </w:rPr>
      </w:pPr>
    </w:p>
    <w:p>
      <w:pPr>
        <w:rPr>
          <w:color w:val="auto"/>
          <w:highlight w:val="none"/>
          <w:lang w:val="zh-CN"/>
        </w:rPr>
      </w:pPr>
    </w:p>
    <w:p>
      <w:pPr>
        <w:pStyle w:val="35"/>
        <w:rPr>
          <w:color w:val="auto"/>
          <w:highlight w:val="none"/>
          <w:lang w:val="zh-CN"/>
        </w:rPr>
      </w:pPr>
    </w:p>
    <w:p>
      <w:pPr>
        <w:rPr>
          <w:color w:val="auto"/>
          <w:highlight w:val="none"/>
          <w:lang w:val="zh-CN"/>
        </w:rPr>
      </w:pPr>
    </w:p>
    <w:p>
      <w:pPr>
        <w:pStyle w:val="35"/>
        <w:rPr>
          <w:color w:val="auto"/>
          <w:highlight w:val="none"/>
          <w:lang w:val="zh-CN"/>
        </w:rPr>
      </w:pPr>
    </w:p>
    <w:p>
      <w:pPr>
        <w:rPr>
          <w:color w:val="auto"/>
          <w:highlight w:val="none"/>
          <w:lang w:val="zh-CN"/>
        </w:rPr>
      </w:pPr>
    </w:p>
    <w:p>
      <w:pPr>
        <w:pStyle w:val="35"/>
        <w:rPr>
          <w:color w:val="auto"/>
          <w:highlight w:val="none"/>
          <w:lang w:val="zh-CN"/>
        </w:rPr>
      </w:pPr>
    </w:p>
    <w:p>
      <w:pPr>
        <w:rPr>
          <w:color w:val="auto"/>
          <w:highlight w:val="none"/>
          <w:lang w:val="zh-CN"/>
        </w:rPr>
      </w:pPr>
    </w:p>
    <w:p>
      <w:pPr>
        <w:pStyle w:val="35"/>
        <w:rPr>
          <w:color w:val="auto"/>
          <w:highlight w:val="none"/>
          <w:lang w:val="zh-CN"/>
        </w:rPr>
      </w:pPr>
    </w:p>
    <w:p>
      <w:pPr>
        <w:rPr>
          <w:color w:val="auto"/>
          <w:highlight w:val="none"/>
          <w:lang w:val="zh-CN"/>
        </w:rPr>
      </w:pPr>
    </w:p>
    <w:p>
      <w:pPr>
        <w:pStyle w:val="35"/>
        <w:rPr>
          <w:color w:val="auto"/>
          <w:highlight w:val="none"/>
          <w:lang w:val="zh-CN"/>
        </w:rPr>
      </w:pPr>
    </w:p>
    <w:p>
      <w:pPr>
        <w:rPr>
          <w:color w:val="auto"/>
          <w:highlight w:val="none"/>
          <w:lang w:val="zh-CN"/>
        </w:rPr>
      </w:pPr>
    </w:p>
    <w:p>
      <w:pPr>
        <w:pStyle w:val="35"/>
        <w:rPr>
          <w:color w:val="auto"/>
          <w:highlight w:val="none"/>
          <w:lang w:val="zh-CN"/>
        </w:rPr>
      </w:pPr>
    </w:p>
    <w:p>
      <w:pPr>
        <w:rPr>
          <w:color w:val="auto"/>
          <w:highlight w:val="none"/>
          <w:lang w:val="zh-CN"/>
        </w:rPr>
      </w:pPr>
    </w:p>
    <w:p>
      <w:pPr>
        <w:pStyle w:val="35"/>
        <w:rPr>
          <w:color w:val="auto"/>
          <w:highlight w:val="none"/>
          <w:lang w:val="zh-CN"/>
        </w:rPr>
      </w:pPr>
    </w:p>
    <w:p>
      <w:pPr>
        <w:rPr>
          <w:color w:val="auto"/>
          <w:highlight w:val="none"/>
          <w:lang w:val="zh-CN"/>
        </w:rPr>
      </w:pPr>
    </w:p>
    <w:p>
      <w:pPr>
        <w:pStyle w:val="35"/>
        <w:rPr>
          <w:color w:val="auto"/>
          <w:highlight w:val="none"/>
          <w:lang w:val="zh-CN"/>
        </w:rPr>
      </w:pPr>
    </w:p>
    <w:p>
      <w:pPr>
        <w:rPr>
          <w:color w:val="auto"/>
          <w:highlight w:val="none"/>
          <w:lang w:val="zh-CN"/>
        </w:rPr>
      </w:pPr>
    </w:p>
    <w:p>
      <w:pPr>
        <w:pStyle w:val="35"/>
        <w:rPr>
          <w:color w:val="auto"/>
          <w:highlight w:val="none"/>
          <w:lang w:val="zh-CN"/>
        </w:rPr>
      </w:pPr>
    </w:p>
    <w:p>
      <w:pPr>
        <w:rPr>
          <w:color w:val="auto"/>
          <w:highlight w:val="none"/>
          <w:lang w:val="zh-CN"/>
        </w:rPr>
      </w:pPr>
    </w:p>
    <w:p>
      <w:pPr>
        <w:pStyle w:val="35"/>
        <w:rPr>
          <w:color w:val="auto"/>
          <w:highlight w:val="none"/>
          <w:lang w:val="zh-CN"/>
        </w:rPr>
      </w:pPr>
    </w:p>
    <w:p>
      <w:pPr>
        <w:rPr>
          <w:color w:val="auto"/>
          <w:highlight w:val="none"/>
          <w:lang w:val="zh-CN"/>
        </w:rPr>
      </w:pPr>
    </w:p>
    <w:p>
      <w:pPr>
        <w:jc w:val="both"/>
        <w:rPr>
          <w:color w:val="auto"/>
          <w:sz w:val="20"/>
          <w:szCs w:val="22"/>
          <w:highlight w:val="none"/>
        </w:rPr>
      </w:pPr>
    </w:p>
    <w:sectPr>
      <w:pgSz w:w="12240" w:h="15840"/>
      <w:pgMar w:top="1440" w:right="1797" w:bottom="1440" w:left="1797" w:header="720" w:footer="720" w:gutter="0"/>
      <w:cols w:space="720" w:num="1"/>
      <w:docGrid w:linePitch="28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Cambria">
    <w:panose1 w:val="02040503050406030204"/>
    <w:charset w:val="00"/>
    <w:family w:val="roman"/>
    <w:pitch w:val="default"/>
    <w:sig w:usb0="E00002FF" w:usb1="400004FF" w:usb2="00000000" w:usb3="00000000" w:csb0="2000019F" w:csb1="00000000"/>
  </w:font>
  <w:font w:name="Tahoma">
    <w:panose1 w:val="020B0604030504040204"/>
    <w:charset w:val="00"/>
    <w:family w:val="swiss"/>
    <w:pitch w:val="default"/>
    <w:sig w:usb0="E1002EFF" w:usb1="C000605B" w:usb2="00000029" w:usb3="00000000" w:csb0="200101FF" w:csb1="20280000"/>
  </w:font>
  <w:font w:name="NPKCCE+Arial,Bold">
    <w:altName w:val="宋体"/>
    <w:panose1 w:val="00000000000000000000"/>
    <w:charset w:val="86"/>
    <w:family w:val="auto"/>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FrutigerNext LT Regular">
    <w:altName w:val="Segoe UI Semibold"/>
    <w:panose1 w:val="00000000000000000000"/>
    <w:charset w:val="00"/>
    <w:family w:val="swiss"/>
    <w:pitch w:val="default"/>
    <w:sig w:usb0="00000000" w:usb1="00000000" w:usb2="00000010" w:usb3="00000000" w:csb0="00040111" w:csb1="00000000"/>
  </w:font>
  <w:font w:name="微软雅黑">
    <w:panose1 w:val="020B0503020204020204"/>
    <w:charset w:val="86"/>
    <w:family w:val="swiss"/>
    <w:pitch w:val="default"/>
    <w:sig w:usb0="80000287" w:usb1="280F3C52" w:usb2="00000016" w:usb3="00000000" w:csb0="0004001F"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tabs>
        <w:tab w:val="center" w:pos="4167"/>
        <w:tab w:val="clear" w:pos="4153"/>
      </w:tabs>
    </w:pPr>
    <w:r>
      <w:rPr>
        <w:rFonts w:hint="eastAsia"/>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tabs>
        <w:tab w:val="center" w:pos="4167"/>
        <w:tab w:val="clear" w:pos="4153"/>
      </w:tabs>
    </w:pPr>
    <w:r>
      <w:pict>
        <v:shape id="文本框 7"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">
          <v:path/>
          <v:fill on="f" focussize="0,0"/>
          <v:stroke on="f" joinstyle="miter"/>
          <v:imagedata o:title=""/>
          <o:lock v:ext="edit"/>
          <v:textbox inset="0mm,0mm,0mm,0mm" style="mso-fit-shape-to-text:t;">
            <w:txbxContent>
              <w:p>
                <w:pPr>
                  <w:pStyle w:val="26"/>
                </w:pPr>
                <w:r>
                  <w:rPr>
                    <w:rFonts w:hint="eastAsia"/>
                  </w:rPr>
                  <w:fldChar w:fldCharType="begin"/>
                </w:r>
                <w:r>
                  <w:rPr>
                    <w:rFonts w:hint="eastAsia"/>
                  </w:rPr>
                  <w:instrText xml:space="preserve"> PAGE  \* MERGEFORMAT </w:instrText>
                </w:r>
                <w:r>
                  <w:rPr>
                    <w:rFonts w:hint="eastAsia"/>
                  </w:rPr>
                  <w:fldChar w:fldCharType="separate"/>
                </w:r>
                <w:r>
                  <w:t>3</w:t>
                </w:r>
                <w:r>
                  <w:rPr>
                    <w:rFonts w:hint="eastAsia"/>
                  </w:rPr>
                  <w:fldChar w:fldCharType="end"/>
                </w:r>
              </w:p>
            </w:txbxContent>
          </v:textbox>
        </v:shape>
      </w:pict>
    </w:r>
    <w:r>
      <w:rPr>
        <w:rFonts w:hint="eastAsia"/>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pPr>
    <w:r>
      <w:pict>
        <v:shape id="_x0000_s1027" o:spid="_x0000_s1027"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">
          <v:path/>
          <v:fill on="f" focussize="0,0"/>
          <v:stroke on="f" joinstyle="miter"/>
          <v:imagedata o:title=""/>
          <o:lock v:ext="edit"/>
          <v:textbox inset="0mm,0mm,0mm,0mm" style="mso-fit-shape-to-text:t;">
            <w:txbxContent>
              <w:p>
                <w:pPr>
                  <w:pStyle w:val="26"/>
                </w:pPr>
                <w:r>
                  <w:rPr>
                    <w:rFonts w:hint="eastAsia"/>
                  </w:rPr>
                  <w:fldChar w:fldCharType="begin"/>
                </w:r>
                <w:r>
                  <w:rPr>
                    <w:rFonts w:hint="eastAsia"/>
                  </w:rPr>
                  <w:instrText xml:space="preserve"> PAGE  \* MERGEFORMAT </w:instrText>
                </w:r>
                <w:r>
                  <w:rPr>
                    <w:rFonts w:hint="eastAsia"/>
                  </w:rPr>
                  <w:fldChar w:fldCharType="separate"/>
                </w:r>
                <w:r>
                  <w:t>97</w:t>
                </w:r>
                <w:r>
                  <w:rPr>
                    <w:rFonts w:hint="eastAsia"/>
                  </w:rPr>
                  <w:fldChar w:fldCharType="end"/>
                </w:r>
              </w:p>
            </w:txbxContent>
          </v:textbox>
        </v:shape>
      </w:pict>
    </w:r>
  </w:p>
  <w:p>
    <w:pPr>
      <w:pStyle w:val="26"/>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A00C687"/>
    <w:multiLevelType w:val="singleLevel"/>
    <w:tmpl w:val="9A00C687"/>
    <w:lvl w:ilvl="0" w:tentative="0">
      <w:start w:val="1"/>
      <w:numFmt w:val="decimal"/>
      <w:lvlText w:val="%1."/>
      <w:lvlJc w:val="left"/>
      <w:pPr>
        <w:tabs>
          <w:tab w:val="left" w:pos="312"/>
        </w:tabs>
      </w:pPr>
    </w:lvl>
  </w:abstractNum>
  <w:abstractNum w:abstractNumId="1">
    <w:nsid w:val="00000004"/>
    <w:multiLevelType w:val="multilevel"/>
    <w:tmpl w:val="00000004"/>
    <w:lvl w:ilvl="0" w:tentative="0">
      <w:start w:val="2"/>
      <w:numFmt w:val="decimal"/>
      <w:lvlText w:val="%1"/>
      <w:lvlJc w:val="left"/>
      <w:pPr>
        <w:tabs>
          <w:tab w:val="left" w:pos="360"/>
        </w:tabs>
        <w:ind w:left="360" w:hanging="360"/>
      </w:pPr>
      <w:rPr>
        <w:rFonts w:hint="eastAsia"/>
      </w:rPr>
    </w:lvl>
    <w:lvl w:ilvl="1" w:tentative="0">
      <w:start w:val="1"/>
      <w:numFmt w:val="decimal"/>
      <w:pStyle w:val="54"/>
      <w:lvlText w:val="%1.%2"/>
      <w:lvlJc w:val="left"/>
      <w:pPr>
        <w:tabs>
          <w:tab w:val="left" w:pos="720"/>
        </w:tabs>
        <w:ind w:left="720" w:hanging="360"/>
      </w:pPr>
      <w:rPr>
        <w:rFonts w:hint="eastAsia"/>
      </w:rPr>
    </w:lvl>
    <w:lvl w:ilvl="2" w:tentative="0">
      <w:start w:val="1"/>
      <w:numFmt w:val="decimal"/>
      <w:lvlText w:val="%1.%2.%3"/>
      <w:lvlJc w:val="left"/>
      <w:pPr>
        <w:tabs>
          <w:tab w:val="left" w:pos="720"/>
        </w:tabs>
        <w:ind w:left="720" w:hanging="720"/>
      </w:pPr>
      <w:rPr>
        <w:rFonts w:hint="eastAsia"/>
      </w:rPr>
    </w:lvl>
    <w:lvl w:ilvl="3" w:tentative="0">
      <w:start w:val="1"/>
      <w:numFmt w:val="decimal"/>
      <w:lvlText w:val="%1.%2.%3.%4"/>
      <w:lvlJc w:val="left"/>
      <w:pPr>
        <w:tabs>
          <w:tab w:val="left" w:pos="720"/>
        </w:tabs>
        <w:ind w:left="720" w:hanging="720"/>
      </w:pPr>
      <w:rPr>
        <w:rFonts w:hint="eastAsia"/>
      </w:rPr>
    </w:lvl>
    <w:lvl w:ilvl="4" w:tentative="0">
      <w:start w:val="1"/>
      <w:numFmt w:val="decimal"/>
      <w:lvlText w:val="%1.%2.%3.%4.%5"/>
      <w:lvlJc w:val="left"/>
      <w:pPr>
        <w:tabs>
          <w:tab w:val="left" w:pos="1080"/>
        </w:tabs>
        <w:ind w:left="1080" w:hanging="1080"/>
      </w:pPr>
      <w:rPr>
        <w:rFonts w:hint="eastAsia"/>
      </w:rPr>
    </w:lvl>
    <w:lvl w:ilvl="5" w:tentative="0">
      <w:start w:val="1"/>
      <w:numFmt w:val="decimal"/>
      <w:lvlText w:val="%1.%2.%3.%4.%5.%6"/>
      <w:lvlJc w:val="left"/>
      <w:pPr>
        <w:tabs>
          <w:tab w:val="left" w:pos="1080"/>
        </w:tabs>
        <w:ind w:left="1080" w:hanging="1080"/>
      </w:pPr>
      <w:rPr>
        <w:rFonts w:hint="eastAsia"/>
      </w:rPr>
    </w:lvl>
    <w:lvl w:ilvl="6" w:tentative="0">
      <w:start w:val="1"/>
      <w:numFmt w:val="decimal"/>
      <w:lvlText w:val="%1.%2.%3.%4.%5.%6.%7"/>
      <w:lvlJc w:val="left"/>
      <w:pPr>
        <w:tabs>
          <w:tab w:val="left" w:pos="1440"/>
        </w:tabs>
        <w:ind w:left="1440" w:hanging="1440"/>
      </w:pPr>
      <w:rPr>
        <w:rFonts w:hint="eastAsia"/>
      </w:rPr>
    </w:lvl>
    <w:lvl w:ilvl="7" w:tentative="0">
      <w:start w:val="1"/>
      <w:numFmt w:val="decimal"/>
      <w:lvlText w:val="%1.%2.%3.%4.%5.%6.%7.%8"/>
      <w:lvlJc w:val="left"/>
      <w:pPr>
        <w:tabs>
          <w:tab w:val="left" w:pos="1800"/>
        </w:tabs>
        <w:ind w:left="1800" w:hanging="1800"/>
      </w:pPr>
      <w:rPr>
        <w:rFonts w:hint="eastAsia"/>
      </w:rPr>
    </w:lvl>
    <w:lvl w:ilvl="8" w:tentative="0">
      <w:start w:val="1"/>
      <w:numFmt w:val="decimal"/>
      <w:lvlText w:val="%1.%2.%3.%4.%5.%6.%7.%8.%9"/>
      <w:lvlJc w:val="left"/>
      <w:pPr>
        <w:tabs>
          <w:tab w:val="left" w:pos="1800"/>
        </w:tabs>
        <w:ind w:left="1800" w:hanging="1800"/>
      </w:pPr>
      <w:rPr>
        <w:rFonts w:hint="eastAsia"/>
      </w:rPr>
    </w:lvl>
  </w:abstractNum>
  <w:abstractNum w:abstractNumId="2">
    <w:nsid w:val="2F000020"/>
    <w:multiLevelType w:val="multilevel"/>
    <w:tmpl w:val="2F000020"/>
    <w:lvl w:ilvl="0" w:tentative="0">
      <w:start w:val="1"/>
      <w:numFmt w:val="decimal"/>
      <w:pStyle w:val="78"/>
      <w:lvlText w:val="%1)"/>
      <w:lvlJc w:val="left"/>
      <w:pPr>
        <w:ind w:left="420" w:firstLine="0"/>
      </w:pPr>
      <w:rPr>
        <w:rFonts w:hint="eastAsia"/>
      </w:rPr>
    </w:lvl>
    <w:lvl w:ilvl="1" w:tentative="0">
      <w:start w:val="1"/>
      <w:numFmt w:val="decimal"/>
      <w:lvlText w:val="%2、"/>
      <w:lvlJc w:val="left"/>
      <w:pPr>
        <w:ind w:left="720" w:hanging="720"/>
      </w:pPr>
      <w:rPr>
        <w:rFonts w:hint="default"/>
      </w:rPr>
    </w:lvl>
    <w:lvl w:ilvl="2" w:tentative="0">
      <w:start w:val="1"/>
      <w:numFmt w:val="lowerRoman"/>
      <w:lvlText w:val="%3."/>
      <w:lvlJc w:val="right"/>
      <w:pPr>
        <w:ind w:left="840" w:hanging="420"/>
      </w:pPr>
    </w:lvl>
    <w:lvl w:ilvl="3" w:tentative="0">
      <w:start w:val="1"/>
      <w:numFmt w:val="decimal"/>
      <w:lvlText w:val="%4."/>
      <w:lvlJc w:val="left"/>
      <w:pPr>
        <w:ind w:left="1260" w:hanging="420"/>
      </w:pPr>
    </w:lvl>
    <w:lvl w:ilvl="4" w:tentative="0">
      <w:start w:val="1"/>
      <w:numFmt w:val="lowerLetter"/>
      <w:lvlText w:val="%5)"/>
      <w:lvlJc w:val="left"/>
      <w:pPr>
        <w:ind w:left="1680" w:hanging="420"/>
      </w:pPr>
    </w:lvl>
    <w:lvl w:ilvl="5" w:tentative="0">
      <w:start w:val="1"/>
      <w:numFmt w:val="lowerRoman"/>
      <w:lvlText w:val="%6."/>
      <w:lvlJc w:val="right"/>
      <w:pPr>
        <w:ind w:left="2100" w:hanging="420"/>
      </w:pPr>
    </w:lvl>
    <w:lvl w:ilvl="6" w:tentative="0">
      <w:start w:val="1"/>
      <w:numFmt w:val="decimal"/>
      <w:lvlText w:val="%7."/>
      <w:lvlJc w:val="left"/>
      <w:pPr>
        <w:ind w:left="2520" w:hanging="420"/>
      </w:pPr>
    </w:lvl>
    <w:lvl w:ilvl="7" w:tentative="0">
      <w:start w:val="1"/>
      <w:numFmt w:val="lowerLetter"/>
      <w:lvlText w:val="%8)"/>
      <w:lvlJc w:val="left"/>
      <w:pPr>
        <w:ind w:left="2940" w:hanging="420"/>
      </w:pPr>
    </w:lvl>
    <w:lvl w:ilvl="8" w:tentative="0">
      <w:start w:val="1"/>
      <w:numFmt w:val="lowerRoman"/>
      <w:lvlText w:val="%9."/>
      <w:lvlJc w:val="right"/>
      <w:pPr>
        <w:ind w:left="3360" w:hanging="420"/>
      </w:pPr>
    </w:lvl>
  </w:abstractNum>
  <w:abstractNum w:abstractNumId="3">
    <w:nsid w:val="2F000030"/>
    <w:multiLevelType w:val="multilevel"/>
    <w:tmpl w:val="2F000030"/>
    <w:lvl w:ilvl="0" w:tentative="0">
      <w:start w:val="1"/>
      <w:numFmt w:val="bullet"/>
      <w:pStyle w:val="79"/>
      <w:lvlText w:val="r"/>
      <w:lvlJc w:val="left"/>
      <w:pPr>
        <w:tabs>
          <w:tab w:val="left" w:pos="374"/>
        </w:tabs>
        <w:ind w:left="374" w:hanging="374"/>
      </w:pPr>
      <w:rPr>
        <w:rFonts w:hint="default" w:ascii="Wingdings" w:hAnsi="Wingdings"/>
        <w:b/>
        <w:i w:val="0"/>
        <w:sz w:val="21"/>
        <w:szCs w:val="21"/>
      </w:rPr>
    </w:lvl>
    <w:lvl w:ilvl="1" w:tentative="0">
      <w:start w:val="1"/>
      <w:numFmt w:val="bullet"/>
      <w:lvlText w:val="n"/>
      <w:lvlJc w:val="left"/>
      <w:pPr>
        <w:tabs>
          <w:tab w:val="left" w:pos="840"/>
        </w:tabs>
        <w:ind w:left="840" w:hanging="420"/>
      </w:pPr>
      <w:rPr>
        <w:rFonts w:hint="default" w:ascii="Wingdings" w:hAnsi="Wingdings"/>
      </w:rPr>
    </w:lvl>
    <w:lvl w:ilvl="2" w:tentative="0">
      <w:start w:val="1"/>
      <w:numFmt w:val="bullet"/>
      <w:lvlText w:val="u"/>
      <w:lvlJc w:val="left"/>
      <w:pPr>
        <w:tabs>
          <w:tab w:val="left" w:pos="1260"/>
        </w:tabs>
        <w:ind w:left="1260" w:hanging="420"/>
      </w:pPr>
      <w:rPr>
        <w:rFonts w:hint="default" w:ascii="Wingdings" w:hAnsi="Wingdings"/>
      </w:rPr>
    </w:lvl>
    <w:lvl w:ilvl="3" w:tentative="0">
      <w:start w:val="1"/>
      <w:numFmt w:val="bullet"/>
      <w:lvlText w:val="l"/>
      <w:lvlJc w:val="left"/>
      <w:pPr>
        <w:tabs>
          <w:tab w:val="left" w:pos="1680"/>
        </w:tabs>
        <w:ind w:left="1680" w:hanging="420"/>
      </w:pPr>
      <w:rPr>
        <w:rFonts w:hint="default" w:ascii="Wingdings" w:hAnsi="Wingdings"/>
      </w:rPr>
    </w:lvl>
    <w:lvl w:ilvl="4" w:tentative="0">
      <w:start w:val="1"/>
      <w:numFmt w:val="bullet"/>
      <w:lvlText w:val="n"/>
      <w:lvlJc w:val="left"/>
      <w:pPr>
        <w:tabs>
          <w:tab w:val="left" w:pos="2100"/>
        </w:tabs>
        <w:ind w:left="2100" w:hanging="420"/>
      </w:pPr>
      <w:rPr>
        <w:rFonts w:hint="default" w:ascii="Wingdings" w:hAnsi="Wingdings"/>
      </w:rPr>
    </w:lvl>
    <w:lvl w:ilvl="5" w:tentative="0">
      <w:start w:val="1"/>
      <w:numFmt w:val="bullet"/>
      <w:lvlText w:val="u"/>
      <w:lvlJc w:val="left"/>
      <w:pPr>
        <w:tabs>
          <w:tab w:val="left" w:pos="2520"/>
        </w:tabs>
        <w:ind w:left="2520" w:hanging="420"/>
      </w:pPr>
      <w:rPr>
        <w:rFonts w:hint="default" w:ascii="Wingdings" w:hAnsi="Wingdings"/>
      </w:rPr>
    </w:lvl>
    <w:lvl w:ilvl="6" w:tentative="0">
      <w:start w:val="1"/>
      <w:numFmt w:val="bullet"/>
      <w:lvlText w:val="l"/>
      <w:lvlJc w:val="left"/>
      <w:pPr>
        <w:tabs>
          <w:tab w:val="left" w:pos="2940"/>
        </w:tabs>
        <w:ind w:left="2940" w:hanging="420"/>
      </w:pPr>
      <w:rPr>
        <w:rFonts w:hint="default" w:ascii="Wingdings" w:hAnsi="Wingdings"/>
      </w:rPr>
    </w:lvl>
    <w:lvl w:ilvl="7" w:tentative="0">
      <w:start w:val="1"/>
      <w:numFmt w:val="bullet"/>
      <w:lvlText w:val="n"/>
      <w:lvlJc w:val="left"/>
      <w:pPr>
        <w:tabs>
          <w:tab w:val="left" w:pos="3360"/>
        </w:tabs>
        <w:ind w:left="3360" w:hanging="420"/>
      </w:pPr>
      <w:rPr>
        <w:rFonts w:hint="default" w:ascii="Wingdings" w:hAnsi="Wingdings"/>
      </w:rPr>
    </w:lvl>
    <w:lvl w:ilvl="8" w:tentative="0">
      <w:start w:val="1"/>
      <w:numFmt w:val="bullet"/>
      <w:lvlText w:val="u"/>
      <w:lvlJc w:val="left"/>
      <w:pPr>
        <w:tabs>
          <w:tab w:val="left" w:pos="3780"/>
        </w:tabs>
        <w:ind w:left="3780" w:hanging="420"/>
      </w:pPr>
      <w:rPr>
        <w:rFonts w:hint="default" w:ascii="Wingdings" w:hAnsi="Wingdings"/>
      </w:rPr>
    </w:lvl>
  </w:abstractNum>
  <w:num w:numId="1">
    <w:abstractNumId w:val="1"/>
  </w:num>
  <w:num w:numId="2">
    <w:abstractNumId w:val="2"/>
    <w:lvlOverride w:ilvl="0">
      <w:startOverride w:val="1"/>
    </w:lvlOverride>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hideSpellingErrors/>
  <w:documentProtection w:enforcement="0"/>
  <w:defaultTabStop w:val="420"/>
  <w:drawingGridHorizontalSpacing w:val="105"/>
  <w:drawingGridVerticalSpacing w:val="156"/>
  <w:displayHorizontalDrawingGridEvery w:val="2"/>
  <w:noPunctuationKerning w:val="1"/>
  <w:characterSpacingControl w:val="compressPunctuation"/>
  <w:hdrShapeDefaults>
    <o:shapelayout v:ext="edit">
      <o:idmap v:ext="edit" data="1"/>
    </o:shapelayout>
  </w:hdrShapeDefaults>
  <w:compat>
    <w:spaceForUL/>
    <w:balanceSingleByteDoubleByteWidth/>
    <w:doNotLeaveBackslashAlone/>
    <w:doNotExpandShiftReturn/>
    <w:adjustLineHeightInTable/>
    <w:useFELayout/>
    <w:compatSetting w:name="compatibilityMode" w:uri="http://schemas.microsoft.com/office/word" w:val="12"/>
  </w:compat>
  <w:rsids>
    <w:rsidRoot w:val="005204AA"/>
    <w:rsid w:val="00000B06"/>
    <w:rsid w:val="0000541B"/>
    <w:rsid w:val="000127A4"/>
    <w:rsid w:val="000163BB"/>
    <w:rsid w:val="000173E1"/>
    <w:rsid w:val="000207FC"/>
    <w:rsid w:val="00022C50"/>
    <w:rsid w:val="00023805"/>
    <w:rsid w:val="00024422"/>
    <w:rsid w:val="000329D0"/>
    <w:rsid w:val="00033ABA"/>
    <w:rsid w:val="000363D2"/>
    <w:rsid w:val="00037B07"/>
    <w:rsid w:val="0004198C"/>
    <w:rsid w:val="00041DB1"/>
    <w:rsid w:val="0004365D"/>
    <w:rsid w:val="0004388D"/>
    <w:rsid w:val="000444CF"/>
    <w:rsid w:val="00045CCE"/>
    <w:rsid w:val="00047217"/>
    <w:rsid w:val="00047862"/>
    <w:rsid w:val="00047C7B"/>
    <w:rsid w:val="0005109A"/>
    <w:rsid w:val="0005142B"/>
    <w:rsid w:val="00052D47"/>
    <w:rsid w:val="000616C7"/>
    <w:rsid w:val="0006173E"/>
    <w:rsid w:val="000625CD"/>
    <w:rsid w:val="000636DF"/>
    <w:rsid w:val="00066945"/>
    <w:rsid w:val="00067255"/>
    <w:rsid w:val="00067518"/>
    <w:rsid w:val="00070682"/>
    <w:rsid w:val="00071306"/>
    <w:rsid w:val="00072D37"/>
    <w:rsid w:val="0007393D"/>
    <w:rsid w:val="00074D0E"/>
    <w:rsid w:val="0008780F"/>
    <w:rsid w:val="00090EAC"/>
    <w:rsid w:val="00092635"/>
    <w:rsid w:val="000968C4"/>
    <w:rsid w:val="000A19CE"/>
    <w:rsid w:val="000A4B95"/>
    <w:rsid w:val="000A6A2C"/>
    <w:rsid w:val="000A75A3"/>
    <w:rsid w:val="000B20D2"/>
    <w:rsid w:val="000B3B44"/>
    <w:rsid w:val="000B4E80"/>
    <w:rsid w:val="000B5237"/>
    <w:rsid w:val="000B556A"/>
    <w:rsid w:val="000B59FD"/>
    <w:rsid w:val="000B7A36"/>
    <w:rsid w:val="000C277E"/>
    <w:rsid w:val="000C30BC"/>
    <w:rsid w:val="000C40F9"/>
    <w:rsid w:val="000C5A69"/>
    <w:rsid w:val="000C7844"/>
    <w:rsid w:val="000C7A03"/>
    <w:rsid w:val="000D4E54"/>
    <w:rsid w:val="000D6654"/>
    <w:rsid w:val="000E0E49"/>
    <w:rsid w:val="000E16D9"/>
    <w:rsid w:val="000E21D8"/>
    <w:rsid w:val="000E3EDB"/>
    <w:rsid w:val="000E4414"/>
    <w:rsid w:val="000E6262"/>
    <w:rsid w:val="000F1B08"/>
    <w:rsid w:val="000F366D"/>
    <w:rsid w:val="000F7026"/>
    <w:rsid w:val="001004F6"/>
    <w:rsid w:val="00101C9C"/>
    <w:rsid w:val="00102508"/>
    <w:rsid w:val="001025C0"/>
    <w:rsid w:val="00103BF1"/>
    <w:rsid w:val="00113640"/>
    <w:rsid w:val="00113FEF"/>
    <w:rsid w:val="00115385"/>
    <w:rsid w:val="00116AE4"/>
    <w:rsid w:val="001210DA"/>
    <w:rsid w:val="00121470"/>
    <w:rsid w:val="00125772"/>
    <w:rsid w:val="001279FA"/>
    <w:rsid w:val="00127DAC"/>
    <w:rsid w:val="001326FD"/>
    <w:rsid w:val="00132B91"/>
    <w:rsid w:val="001330E1"/>
    <w:rsid w:val="00136E29"/>
    <w:rsid w:val="00141B35"/>
    <w:rsid w:val="00141E61"/>
    <w:rsid w:val="00146B44"/>
    <w:rsid w:val="00150518"/>
    <w:rsid w:val="001554D3"/>
    <w:rsid w:val="001558FA"/>
    <w:rsid w:val="0015640E"/>
    <w:rsid w:val="00161D6E"/>
    <w:rsid w:val="00164717"/>
    <w:rsid w:val="00164D03"/>
    <w:rsid w:val="00167332"/>
    <w:rsid w:val="0017035C"/>
    <w:rsid w:val="001707CE"/>
    <w:rsid w:val="00175535"/>
    <w:rsid w:val="001778C1"/>
    <w:rsid w:val="00177A14"/>
    <w:rsid w:val="00185584"/>
    <w:rsid w:val="00195349"/>
    <w:rsid w:val="00196D98"/>
    <w:rsid w:val="00197108"/>
    <w:rsid w:val="001A57BF"/>
    <w:rsid w:val="001B03CA"/>
    <w:rsid w:val="001B15EE"/>
    <w:rsid w:val="001B1FC9"/>
    <w:rsid w:val="001B27AC"/>
    <w:rsid w:val="001B7BE7"/>
    <w:rsid w:val="001C01B3"/>
    <w:rsid w:val="001C0998"/>
    <w:rsid w:val="001C0CA7"/>
    <w:rsid w:val="001C419D"/>
    <w:rsid w:val="001C4CD9"/>
    <w:rsid w:val="001C6380"/>
    <w:rsid w:val="001C65FA"/>
    <w:rsid w:val="001C7438"/>
    <w:rsid w:val="001D0F7B"/>
    <w:rsid w:val="001D162F"/>
    <w:rsid w:val="001D5749"/>
    <w:rsid w:val="001D6B22"/>
    <w:rsid w:val="001D72F9"/>
    <w:rsid w:val="001F1BC8"/>
    <w:rsid w:val="001F484F"/>
    <w:rsid w:val="001F53A9"/>
    <w:rsid w:val="001F6EA5"/>
    <w:rsid w:val="001F71BF"/>
    <w:rsid w:val="001F7341"/>
    <w:rsid w:val="001F7621"/>
    <w:rsid w:val="00200AF6"/>
    <w:rsid w:val="00202B30"/>
    <w:rsid w:val="002060C3"/>
    <w:rsid w:val="00213916"/>
    <w:rsid w:val="002153A7"/>
    <w:rsid w:val="0021555A"/>
    <w:rsid w:val="00217BEC"/>
    <w:rsid w:val="0022128B"/>
    <w:rsid w:val="00224B2C"/>
    <w:rsid w:val="00226905"/>
    <w:rsid w:val="00227AEE"/>
    <w:rsid w:val="00227B82"/>
    <w:rsid w:val="00234571"/>
    <w:rsid w:val="00235845"/>
    <w:rsid w:val="00237C9D"/>
    <w:rsid w:val="00240958"/>
    <w:rsid w:val="00241E9F"/>
    <w:rsid w:val="002443D4"/>
    <w:rsid w:val="00250A18"/>
    <w:rsid w:val="00250C9E"/>
    <w:rsid w:val="00251D53"/>
    <w:rsid w:val="00252ED9"/>
    <w:rsid w:val="0025334B"/>
    <w:rsid w:val="002575D5"/>
    <w:rsid w:val="002701B1"/>
    <w:rsid w:val="002733B7"/>
    <w:rsid w:val="002770D1"/>
    <w:rsid w:val="002801A4"/>
    <w:rsid w:val="002820A9"/>
    <w:rsid w:val="002859D0"/>
    <w:rsid w:val="00285BA5"/>
    <w:rsid w:val="00287E83"/>
    <w:rsid w:val="00295629"/>
    <w:rsid w:val="00297FE4"/>
    <w:rsid w:val="002A186B"/>
    <w:rsid w:val="002A2962"/>
    <w:rsid w:val="002A3964"/>
    <w:rsid w:val="002A4076"/>
    <w:rsid w:val="002A4B29"/>
    <w:rsid w:val="002A4D53"/>
    <w:rsid w:val="002A5F93"/>
    <w:rsid w:val="002A6587"/>
    <w:rsid w:val="002A700B"/>
    <w:rsid w:val="002B3451"/>
    <w:rsid w:val="002B4CA7"/>
    <w:rsid w:val="002B4ECD"/>
    <w:rsid w:val="002B5801"/>
    <w:rsid w:val="002C2FD1"/>
    <w:rsid w:val="002C35C7"/>
    <w:rsid w:val="002C49C0"/>
    <w:rsid w:val="002C678E"/>
    <w:rsid w:val="002C6DB9"/>
    <w:rsid w:val="002D2159"/>
    <w:rsid w:val="002D3213"/>
    <w:rsid w:val="002D47C5"/>
    <w:rsid w:val="002D578F"/>
    <w:rsid w:val="002D69BD"/>
    <w:rsid w:val="002D7ED0"/>
    <w:rsid w:val="002E5CED"/>
    <w:rsid w:val="002E7920"/>
    <w:rsid w:val="002F385C"/>
    <w:rsid w:val="002F3CCD"/>
    <w:rsid w:val="002F7033"/>
    <w:rsid w:val="002F7C6B"/>
    <w:rsid w:val="00302442"/>
    <w:rsid w:val="00303C42"/>
    <w:rsid w:val="00304BD2"/>
    <w:rsid w:val="00304D3D"/>
    <w:rsid w:val="00305622"/>
    <w:rsid w:val="003102A8"/>
    <w:rsid w:val="0031530C"/>
    <w:rsid w:val="00315FCA"/>
    <w:rsid w:val="00320434"/>
    <w:rsid w:val="00322731"/>
    <w:rsid w:val="00324BE2"/>
    <w:rsid w:val="00325358"/>
    <w:rsid w:val="00326676"/>
    <w:rsid w:val="00326B87"/>
    <w:rsid w:val="003277FC"/>
    <w:rsid w:val="00330108"/>
    <w:rsid w:val="00330EB6"/>
    <w:rsid w:val="00331CD4"/>
    <w:rsid w:val="00332DCA"/>
    <w:rsid w:val="0033367B"/>
    <w:rsid w:val="00337FE9"/>
    <w:rsid w:val="00340D27"/>
    <w:rsid w:val="003423F0"/>
    <w:rsid w:val="00346EBD"/>
    <w:rsid w:val="003472C8"/>
    <w:rsid w:val="003525A1"/>
    <w:rsid w:val="00352E71"/>
    <w:rsid w:val="00356F7F"/>
    <w:rsid w:val="003602F7"/>
    <w:rsid w:val="0036039F"/>
    <w:rsid w:val="00361800"/>
    <w:rsid w:val="00362C24"/>
    <w:rsid w:val="0036565F"/>
    <w:rsid w:val="00366E28"/>
    <w:rsid w:val="003778C4"/>
    <w:rsid w:val="00377B22"/>
    <w:rsid w:val="00381619"/>
    <w:rsid w:val="00384418"/>
    <w:rsid w:val="00390EB2"/>
    <w:rsid w:val="00391DC2"/>
    <w:rsid w:val="00392756"/>
    <w:rsid w:val="00394FDC"/>
    <w:rsid w:val="00396CEF"/>
    <w:rsid w:val="00397DA3"/>
    <w:rsid w:val="003A170D"/>
    <w:rsid w:val="003A53BD"/>
    <w:rsid w:val="003A7B5E"/>
    <w:rsid w:val="003A7F99"/>
    <w:rsid w:val="003B190A"/>
    <w:rsid w:val="003B29C3"/>
    <w:rsid w:val="003B425C"/>
    <w:rsid w:val="003C3F00"/>
    <w:rsid w:val="003C521E"/>
    <w:rsid w:val="003C5E94"/>
    <w:rsid w:val="003D0B7A"/>
    <w:rsid w:val="003D2A46"/>
    <w:rsid w:val="003D511D"/>
    <w:rsid w:val="003D65D1"/>
    <w:rsid w:val="003D69A7"/>
    <w:rsid w:val="003E2313"/>
    <w:rsid w:val="003E3E96"/>
    <w:rsid w:val="003E68CB"/>
    <w:rsid w:val="003E748E"/>
    <w:rsid w:val="003F0803"/>
    <w:rsid w:val="003F133D"/>
    <w:rsid w:val="003F25F2"/>
    <w:rsid w:val="003F5821"/>
    <w:rsid w:val="004015F5"/>
    <w:rsid w:val="0040210D"/>
    <w:rsid w:val="00405836"/>
    <w:rsid w:val="00405D6E"/>
    <w:rsid w:val="00407B6E"/>
    <w:rsid w:val="00410E58"/>
    <w:rsid w:val="00413068"/>
    <w:rsid w:val="00414724"/>
    <w:rsid w:val="004155E3"/>
    <w:rsid w:val="004157FD"/>
    <w:rsid w:val="00420635"/>
    <w:rsid w:val="00421328"/>
    <w:rsid w:val="004248DF"/>
    <w:rsid w:val="004253B5"/>
    <w:rsid w:val="004257EC"/>
    <w:rsid w:val="00434B6C"/>
    <w:rsid w:val="00436B36"/>
    <w:rsid w:val="00437234"/>
    <w:rsid w:val="004377E3"/>
    <w:rsid w:val="00441AA8"/>
    <w:rsid w:val="004427C5"/>
    <w:rsid w:val="00443007"/>
    <w:rsid w:val="00444F03"/>
    <w:rsid w:val="00445D42"/>
    <w:rsid w:val="00446FF9"/>
    <w:rsid w:val="00447765"/>
    <w:rsid w:val="0045161A"/>
    <w:rsid w:val="004533B7"/>
    <w:rsid w:val="00453969"/>
    <w:rsid w:val="0045504E"/>
    <w:rsid w:val="00456231"/>
    <w:rsid w:val="004613BB"/>
    <w:rsid w:val="00465582"/>
    <w:rsid w:val="004713F1"/>
    <w:rsid w:val="004726B1"/>
    <w:rsid w:val="0047348C"/>
    <w:rsid w:val="0047397A"/>
    <w:rsid w:val="00473A29"/>
    <w:rsid w:val="00477A51"/>
    <w:rsid w:val="0048007A"/>
    <w:rsid w:val="00484B2E"/>
    <w:rsid w:val="00485692"/>
    <w:rsid w:val="00486ADD"/>
    <w:rsid w:val="0048789F"/>
    <w:rsid w:val="004915BF"/>
    <w:rsid w:val="00493E3D"/>
    <w:rsid w:val="004941E5"/>
    <w:rsid w:val="004951A9"/>
    <w:rsid w:val="00495815"/>
    <w:rsid w:val="004962CC"/>
    <w:rsid w:val="004974E2"/>
    <w:rsid w:val="00497954"/>
    <w:rsid w:val="004A068B"/>
    <w:rsid w:val="004A0A28"/>
    <w:rsid w:val="004A718E"/>
    <w:rsid w:val="004B02BB"/>
    <w:rsid w:val="004B0ED0"/>
    <w:rsid w:val="004B1566"/>
    <w:rsid w:val="004C0A53"/>
    <w:rsid w:val="004C196D"/>
    <w:rsid w:val="004C24B6"/>
    <w:rsid w:val="004D06D8"/>
    <w:rsid w:val="004D1BC5"/>
    <w:rsid w:val="004D3182"/>
    <w:rsid w:val="004D3E84"/>
    <w:rsid w:val="004D6F2F"/>
    <w:rsid w:val="004D76AE"/>
    <w:rsid w:val="004E0993"/>
    <w:rsid w:val="004E0D43"/>
    <w:rsid w:val="004E2A63"/>
    <w:rsid w:val="004E653A"/>
    <w:rsid w:val="004E7E94"/>
    <w:rsid w:val="004F190F"/>
    <w:rsid w:val="004F1CBA"/>
    <w:rsid w:val="004F2755"/>
    <w:rsid w:val="004F3AB9"/>
    <w:rsid w:val="004F3D9D"/>
    <w:rsid w:val="004F488D"/>
    <w:rsid w:val="004F65E7"/>
    <w:rsid w:val="004F749A"/>
    <w:rsid w:val="004F7A67"/>
    <w:rsid w:val="005028AC"/>
    <w:rsid w:val="00502998"/>
    <w:rsid w:val="00502E52"/>
    <w:rsid w:val="00503A1D"/>
    <w:rsid w:val="005053B3"/>
    <w:rsid w:val="00506DA5"/>
    <w:rsid w:val="00510B5E"/>
    <w:rsid w:val="005204AA"/>
    <w:rsid w:val="005204EC"/>
    <w:rsid w:val="00522C09"/>
    <w:rsid w:val="00523042"/>
    <w:rsid w:val="005235A6"/>
    <w:rsid w:val="005237DB"/>
    <w:rsid w:val="00525E43"/>
    <w:rsid w:val="00526296"/>
    <w:rsid w:val="00527C6A"/>
    <w:rsid w:val="00527C7D"/>
    <w:rsid w:val="0053239F"/>
    <w:rsid w:val="0053348F"/>
    <w:rsid w:val="00533E5E"/>
    <w:rsid w:val="00536BE5"/>
    <w:rsid w:val="00551EB0"/>
    <w:rsid w:val="00552F7D"/>
    <w:rsid w:val="005549C0"/>
    <w:rsid w:val="0056064D"/>
    <w:rsid w:val="005625E4"/>
    <w:rsid w:val="00562D5F"/>
    <w:rsid w:val="00565FFB"/>
    <w:rsid w:val="00567DA6"/>
    <w:rsid w:val="005716D0"/>
    <w:rsid w:val="00571D96"/>
    <w:rsid w:val="00573D2B"/>
    <w:rsid w:val="00574FEC"/>
    <w:rsid w:val="00576EDA"/>
    <w:rsid w:val="00577D5D"/>
    <w:rsid w:val="00581FCE"/>
    <w:rsid w:val="00582871"/>
    <w:rsid w:val="0058289B"/>
    <w:rsid w:val="00582C7C"/>
    <w:rsid w:val="00583871"/>
    <w:rsid w:val="00583E77"/>
    <w:rsid w:val="00585771"/>
    <w:rsid w:val="00587808"/>
    <w:rsid w:val="00591427"/>
    <w:rsid w:val="00592D8B"/>
    <w:rsid w:val="0059482A"/>
    <w:rsid w:val="005948F1"/>
    <w:rsid w:val="005A6311"/>
    <w:rsid w:val="005B0BB4"/>
    <w:rsid w:val="005B3D05"/>
    <w:rsid w:val="005B53D0"/>
    <w:rsid w:val="005C38AC"/>
    <w:rsid w:val="005C4C5A"/>
    <w:rsid w:val="005C4E49"/>
    <w:rsid w:val="005C4F50"/>
    <w:rsid w:val="005C671A"/>
    <w:rsid w:val="005D5B2E"/>
    <w:rsid w:val="005D5FA0"/>
    <w:rsid w:val="005E0290"/>
    <w:rsid w:val="005E2C3A"/>
    <w:rsid w:val="005E3EB2"/>
    <w:rsid w:val="005E4E0E"/>
    <w:rsid w:val="005E64F9"/>
    <w:rsid w:val="005F0C10"/>
    <w:rsid w:val="005F143A"/>
    <w:rsid w:val="005F2656"/>
    <w:rsid w:val="005F2AEF"/>
    <w:rsid w:val="005F3A69"/>
    <w:rsid w:val="005F5D0A"/>
    <w:rsid w:val="00602ECC"/>
    <w:rsid w:val="00603C35"/>
    <w:rsid w:val="006043DA"/>
    <w:rsid w:val="00604DD0"/>
    <w:rsid w:val="00607EC8"/>
    <w:rsid w:val="00611A0E"/>
    <w:rsid w:val="006153DC"/>
    <w:rsid w:val="00616CD6"/>
    <w:rsid w:val="00617A3A"/>
    <w:rsid w:val="00617DA7"/>
    <w:rsid w:val="006240F9"/>
    <w:rsid w:val="0063038E"/>
    <w:rsid w:val="00637BCF"/>
    <w:rsid w:val="00640084"/>
    <w:rsid w:val="0064056C"/>
    <w:rsid w:val="00643CC9"/>
    <w:rsid w:val="006445E2"/>
    <w:rsid w:val="00645A9E"/>
    <w:rsid w:val="006518C9"/>
    <w:rsid w:val="00654C6F"/>
    <w:rsid w:val="00660E3B"/>
    <w:rsid w:val="00661FE6"/>
    <w:rsid w:val="0066268F"/>
    <w:rsid w:val="00663C37"/>
    <w:rsid w:val="00665635"/>
    <w:rsid w:val="006665D2"/>
    <w:rsid w:val="00666CF0"/>
    <w:rsid w:val="00672E80"/>
    <w:rsid w:val="006769CF"/>
    <w:rsid w:val="00686F72"/>
    <w:rsid w:val="0069775B"/>
    <w:rsid w:val="00697804"/>
    <w:rsid w:val="006A1339"/>
    <w:rsid w:val="006A25B0"/>
    <w:rsid w:val="006A2E2E"/>
    <w:rsid w:val="006A71A9"/>
    <w:rsid w:val="006A7504"/>
    <w:rsid w:val="006B0C80"/>
    <w:rsid w:val="006B1CDC"/>
    <w:rsid w:val="006B3673"/>
    <w:rsid w:val="006C125F"/>
    <w:rsid w:val="006C1BDA"/>
    <w:rsid w:val="006C4BD6"/>
    <w:rsid w:val="006C790C"/>
    <w:rsid w:val="006D0A78"/>
    <w:rsid w:val="006D14AA"/>
    <w:rsid w:val="006D19A4"/>
    <w:rsid w:val="006D3EBB"/>
    <w:rsid w:val="006D4C78"/>
    <w:rsid w:val="006D7F69"/>
    <w:rsid w:val="006E54CF"/>
    <w:rsid w:val="006E567F"/>
    <w:rsid w:val="006E5E6F"/>
    <w:rsid w:val="006F1059"/>
    <w:rsid w:val="006F13A9"/>
    <w:rsid w:val="006F22C8"/>
    <w:rsid w:val="006F2A75"/>
    <w:rsid w:val="006F2D0A"/>
    <w:rsid w:val="006F512B"/>
    <w:rsid w:val="006F517C"/>
    <w:rsid w:val="0070159C"/>
    <w:rsid w:val="00702748"/>
    <w:rsid w:val="007049B8"/>
    <w:rsid w:val="00704C44"/>
    <w:rsid w:val="0071030C"/>
    <w:rsid w:val="007104C6"/>
    <w:rsid w:val="00710BA8"/>
    <w:rsid w:val="00712127"/>
    <w:rsid w:val="00714F65"/>
    <w:rsid w:val="007162BA"/>
    <w:rsid w:val="00716EA8"/>
    <w:rsid w:val="00717DF9"/>
    <w:rsid w:val="007209E6"/>
    <w:rsid w:val="00720A42"/>
    <w:rsid w:val="00721CB3"/>
    <w:rsid w:val="00721DC4"/>
    <w:rsid w:val="0072294A"/>
    <w:rsid w:val="007246A5"/>
    <w:rsid w:val="00725F01"/>
    <w:rsid w:val="00727690"/>
    <w:rsid w:val="007315AC"/>
    <w:rsid w:val="00732844"/>
    <w:rsid w:val="0073423B"/>
    <w:rsid w:val="007349DA"/>
    <w:rsid w:val="00735316"/>
    <w:rsid w:val="00735E7F"/>
    <w:rsid w:val="00736055"/>
    <w:rsid w:val="00736C49"/>
    <w:rsid w:val="00741746"/>
    <w:rsid w:val="00743D55"/>
    <w:rsid w:val="0074459C"/>
    <w:rsid w:val="00754618"/>
    <w:rsid w:val="007614A5"/>
    <w:rsid w:val="00761792"/>
    <w:rsid w:val="00762509"/>
    <w:rsid w:val="007715C5"/>
    <w:rsid w:val="0077295E"/>
    <w:rsid w:val="0077468B"/>
    <w:rsid w:val="00777F91"/>
    <w:rsid w:val="00782BB0"/>
    <w:rsid w:val="00782F1D"/>
    <w:rsid w:val="00785CCE"/>
    <w:rsid w:val="0079379C"/>
    <w:rsid w:val="00794F76"/>
    <w:rsid w:val="007954DF"/>
    <w:rsid w:val="00796ED3"/>
    <w:rsid w:val="0079739C"/>
    <w:rsid w:val="007979C6"/>
    <w:rsid w:val="007A096C"/>
    <w:rsid w:val="007A0BE0"/>
    <w:rsid w:val="007A3799"/>
    <w:rsid w:val="007A4802"/>
    <w:rsid w:val="007A6CBD"/>
    <w:rsid w:val="007B1606"/>
    <w:rsid w:val="007B4352"/>
    <w:rsid w:val="007B562C"/>
    <w:rsid w:val="007B5D03"/>
    <w:rsid w:val="007B70FF"/>
    <w:rsid w:val="007B7786"/>
    <w:rsid w:val="007B7A3B"/>
    <w:rsid w:val="007B7AEA"/>
    <w:rsid w:val="007C0890"/>
    <w:rsid w:val="007C2FD9"/>
    <w:rsid w:val="007C34CC"/>
    <w:rsid w:val="007C457D"/>
    <w:rsid w:val="007C4D6A"/>
    <w:rsid w:val="007C5449"/>
    <w:rsid w:val="007C5980"/>
    <w:rsid w:val="007C5F3D"/>
    <w:rsid w:val="007C756B"/>
    <w:rsid w:val="007D0664"/>
    <w:rsid w:val="007D171F"/>
    <w:rsid w:val="007D1B39"/>
    <w:rsid w:val="007D4673"/>
    <w:rsid w:val="007D4C02"/>
    <w:rsid w:val="007E2B01"/>
    <w:rsid w:val="007E452B"/>
    <w:rsid w:val="007E613C"/>
    <w:rsid w:val="007E6927"/>
    <w:rsid w:val="007F086E"/>
    <w:rsid w:val="007F64A8"/>
    <w:rsid w:val="00801496"/>
    <w:rsid w:val="00801738"/>
    <w:rsid w:val="0080206F"/>
    <w:rsid w:val="0080279F"/>
    <w:rsid w:val="00802A87"/>
    <w:rsid w:val="00805148"/>
    <w:rsid w:val="008142D6"/>
    <w:rsid w:val="00814CC0"/>
    <w:rsid w:val="00820807"/>
    <w:rsid w:val="00820AEC"/>
    <w:rsid w:val="00820DE3"/>
    <w:rsid w:val="00822F18"/>
    <w:rsid w:val="00823BCF"/>
    <w:rsid w:val="008258A4"/>
    <w:rsid w:val="0082631D"/>
    <w:rsid w:val="008300E9"/>
    <w:rsid w:val="00830B4C"/>
    <w:rsid w:val="00830EF6"/>
    <w:rsid w:val="00830F23"/>
    <w:rsid w:val="0083172A"/>
    <w:rsid w:val="00831B32"/>
    <w:rsid w:val="008354EE"/>
    <w:rsid w:val="00837903"/>
    <w:rsid w:val="00837AFB"/>
    <w:rsid w:val="00841A77"/>
    <w:rsid w:val="00841DD2"/>
    <w:rsid w:val="00842B1E"/>
    <w:rsid w:val="0084609A"/>
    <w:rsid w:val="0084674D"/>
    <w:rsid w:val="00847ADF"/>
    <w:rsid w:val="00850C9F"/>
    <w:rsid w:val="0085321D"/>
    <w:rsid w:val="00853B24"/>
    <w:rsid w:val="00853B39"/>
    <w:rsid w:val="00854402"/>
    <w:rsid w:val="00854496"/>
    <w:rsid w:val="008558FE"/>
    <w:rsid w:val="00862A2C"/>
    <w:rsid w:val="0086693F"/>
    <w:rsid w:val="00871341"/>
    <w:rsid w:val="008726B8"/>
    <w:rsid w:val="00872BDA"/>
    <w:rsid w:val="0087315F"/>
    <w:rsid w:val="008736FA"/>
    <w:rsid w:val="00873A66"/>
    <w:rsid w:val="00874AEF"/>
    <w:rsid w:val="00874F83"/>
    <w:rsid w:val="0088063C"/>
    <w:rsid w:val="0088196D"/>
    <w:rsid w:val="008827B1"/>
    <w:rsid w:val="00885DCF"/>
    <w:rsid w:val="00886E95"/>
    <w:rsid w:val="00890C82"/>
    <w:rsid w:val="00891327"/>
    <w:rsid w:val="008932B9"/>
    <w:rsid w:val="008954AD"/>
    <w:rsid w:val="00895A2E"/>
    <w:rsid w:val="0089687D"/>
    <w:rsid w:val="00896BFA"/>
    <w:rsid w:val="008A3C3C"/>
    <w:rsid w:val="008A79B0"/>
    <w:rsid w:val="008A7FA5"/>
    <w:rsid w:val="008B4A70"/>
    <w:rsid w:val="008B5BE4"/>
    <w:rsid w:val="008B6819"/>
    <w:rsid w:val="008C009B"/>
    <w:rsid w:val="008C0B8C"/>
    <w:rsid w:val="008C3B9C"/>
    <w:rsid w:val="008C3D4B"/>
    <w:rsid w:val="008C4325"/>
    <w:rsid w:val="008C55E8"/>
    <w:rsid w:val="008C6169"/>
    <w:rsid w:val="008C7619"/>
    <w:rsid w:val="008D17A7"/>
    <w:rsid w:val="008D515F"/>
    <w:rsid w:val="008D5487"/>
    <w:rsid w:val="008D597F"/>
    <w:rsid w:val="008E0326"/>
    <w:rsid w:val="008E4D4B"/>
    <w:rsid w:val="008F2AF5"/>
    <w:rsid w:val="008F3669"/>
    <w:rsid w:val="008F50ED"/>
    <w:rsid w:val="008F51AA"/>
    <w:rsid w:val="008F6290"/>
    <w:rsid w:val="008F6DAC"/>
    <w:rsid w:val="008F79D6"/>
    <w:rsid w:val="0090058B"/>
    <w:rsid w:val="00901CC2"/>
    <w:rsid w:val="00903379"/>
    <w:rsid w:val="009067F2"/>
    <w:rsid w:val="0090733A"/>
    <w:rsid w:val="00907569"/>
    <w:rsid w:val="00907F23"/>
    <w:rsid w:val="009101C7"/>
    <w:rsid w:val="009104A8"/>
    <w:rsid w:val="00912182"/>
    <w:rsid w:val="0091351D"/>
    <w:rsid w:val="0091536C"/>
    <w:rsid w:val="00915902"/>
    <w:rsid w:val="0091795B"/>
    <w:rsid w:val="00917997"/>
    <w:rsid w:val="00917DEF"/>
    <w:rsid w:val="00921BE4"/>
    <w:rsid w:val="009241A5"/>
    <w:rsid w:val="0092691F"/>
    <w:rsid w:val="00927B2A"/>
    <w:rsid w:val="0093083A"/>
    <w:rsid w:val="00930EF3"/>
    <w:rsid w:val="00932FE6"/>
    <w:rsid w:val="00933BD7"/>
    <w:rsid w:val="0093411E"/>
    <w:rsid w:val="00936AAB"/>
    <w:rsid w:val="00936D7C"/>
    <w:rsid w:val="00941744"/>
    <w:rsid w:val="00942A91"/>
    <w:rsid w:val="00943CEF"/>
    <w:rsid w:val="00947F1B"/>
    <w:rsid w:val="00950C28"/>
    <w:rsid w:val="0095492F"/>
    <w:rsid w:val="00954BF4"/>
    <w:rsid w:val="00961B4D"/>
    <w:rsid w:val="00961F50"/>
    <w:rsid w:val="00962C78"/>
    <w:rsid w:val="00966A5E"/>
    <w:rsid w:val="009700D7"/>
    <w:rsid w:val="00971412"/>
    <w:rsid w:val="00971992"/>
    <w:rsid w:val="00971C0F"/>
    <w:rsid w:val="0097696A"/>
    <w:rsid w:val="00982A54"/>
    <w:rsid w:val="00983E32"/>
    <w:rsid w:val="009843CA"/>
    <w:rsid w:val="00985401"/>
    <w:rsid w:val="00985B58"/>
    <w:rsid w:val="00986132"/>
    <w:rsid w:val="009905FD"/>
    <w:rsid w:val="0099107B"/>
    <w:rsid w:val="00992194"/>
    <w:rsid w:val="009950D6"/>
    <w:rsid w:val="009A1026"/>
    <w:rsid w:val="009A12D3"/>
    <w:rsid w:val="009A1335"/>
    <w:rsid w:val="009A20BB"/>
    <w:rsid w:val="009A21D1"/>
    <w:rsid w:val="009A4C2D"/>
    <w:rsid w:val="009A63BD"/>
    <w:rsid w:val="009B274E"/>
    <w:rsid w:val="009B5E44"/>
    <w:rsid w:val="009B65C2"/>
    <w:rsid w:val="009D1C66"/>
    <w:rsid w:val="009D2444"/>
    <w:rsid w:val="009D3ECA"/>
    <w:rsid w:val="009D4894"/>
    <w:rsid w:val="009D4CB3"/>
    <w:rsid w:val="009D6BBA"/>
    <w:rsid w:val="009D6FA3"/>
    <w:rsid w:val="009E12C1"/>
    <w:rsid w:val="009E2D58"/>
    <w:rsid w:val="009F02E4"/>
    <w:rsid w:val="009F3C0D"/>
    <w:rsid w:val="009F538E"/>
    <w:rsid w:val="00A02E91"/>
    <w:rsid w:val="00A03D7B"/>
    <w:rsid w:val="00A126CA"/>
    <w:rsid w:val="00A13CEE"/>
    <w:rsid w:val="00A13F2D"/>
    <w:rsid w:val="00A17495"/>
    <w:rsid w:val="00A1763E"/>
    <w:rsid w:val="00A2147F"/>
    <w:rsid w:val="00A23A6C"/>
    <w:rsid w:val="00A23AC5"/>
    <w:rsid w:val="00A253FB"/>
    <w:rsid w:val="00A25450"/>
    <w:rsid w:val="00A263D8"/>
    <w:rsid w:val="00A3000E"/>
    <w:rsid w:val="00A348DA"/>
    <w:rsid w:val="00A41653"/>
    <w:rsid w:val="00A419E5"/>
    <w:rsid w:val="00A41AC6"/>
    <w:rsid w:val="00A47100"/>
    <w:rsid w:val="00A475C2"/>
    <w:rsid w:val="00A5040C"/>
    <w:rsid w:val="00A509C3"/>
    <w:rsid w:val="00A5154B"/>
    <w:rsid w:val="00A54D7A"/>
    <w:rsid w:val="00A57E4D"/>
    <w:rsid w:val="00A616D9"/>
    <w:rsid w:val="00A61AA7"/>
    <w:rsid w:val="00A61AC0"/>
    <w:rsid w:val="00A624FF"/>
    <w:rsid w:val="00A64B8D"/>
    <w:rsid w:val="00A652C4"/>
    <w:rsid w:val="00A66C02"/>
    <w:rsid w:val="00A733B3"/>
    <w:rsid w:val="00A752F6"/>
    <w:rsid w:val="00A81290"/>
    <w:rsid w:val="00A81AD1"/>
    <w:rsid w:val="00A81F81"/>
    <w:rsid w:val="00A82C1B"/>
    <w:rsid w:val="00A82DE0"/>
    <w:rsid w:val="00A85519"/>
    <w:rsid w:val="00A8649D"/>
    <w:rsid w:val="00A94107"/>
    <w:rsid w:val="00A94B80"/>
    <w:rsid w:val="00A94E10"/>
    <w:rsid w:val="00A96827"/>
    <w:rsid w:val="00A9719E"/>
    <w:rsid w:val="00AA28F9"/>
    <w:rsid w:val="00AA298B"/>
    <w:rsid w:val="00AB0203"/>
    <w:rsid w:val="00AB044A"/>
    <w:rsid w:val="00AB7B70"/>
    <w:rsid w:val="00AC0F96"/>
    <w:rsid w:val="00AC1915"/>
    <w:rsid w:val="00AC48B0"/>
    <w:rsid w:val="00AD02B8"/>
    <w:rsid w:val="00AD1C12"/>
    <w:rsid w:val="00AD2C5F"/>
    <w:rsid w:val="00AD5B03"/>
    <w:rsid w:val="00AD75B3"/>
    <w:rsid w:val="00AE056F"/>
    <w:rsid w:val="00AE5288"/>
    <w:rsid w:val="00AE76F9"/>
    <w:rsid w:val="00AE793B"/>
    <w:rsid w:val="00AF6A4D"/>
    <w:rsid w:val="00AF7EAD"/>
    <w:rsid w:val="00B0056B"/>
    <w:rsid w:val="00B00648"/>
    <w:rsid w:val="00B00AED"/>
    <w:rsid w:val="00B01117"/>
    <w:rsid w:val="00B02F3F"/>
    <w:rsid w:val="00B066BF"/>
    <w:rsid w:val="00B07771"/>
    <w:rsid w:val="00B0786F"/>
    <w:rsid w:val="00B07FB7"/>
    <w:rsid w:val="00B13E09"/>
    <w:rsid w:val="00B14FFD"/>
    <w:rsid w:val="00B1510A"/>
    <w:rsid w:val="00B1591D"/>
    <w:rsid w:val="00B17B68"/>
    <w:rsid w:val="00B17CA7"/>
    <w:rsid w:val="00B20E1F"/>
    <w:rsid w:val="00B214CE"/>
    <w:rsid w:val="00B21679"/>
    <w:rsid w:val="00B24849"/>
    <w:rsid w:val="00B25BA2"/>
    <w:rsid w:val="00B26190"/>
    <w:rsid w:val="00B30730"/>
    <w:rsid w:val="00B3131B"/>
    <w:rsid w:val="00B364AA"/>
    <w:rsid w:val="00B4116F"/>
    <w:rsid w:val="00B46B23"/>
    <w:rsid w:val="00B46C1A"/>
    <w:rsid w:val="00B46CEB"/>
    <w:rsid w:val="00B479E0"/>
    <w:rsid w:val="00B51C98"/>
    <w:rsid w:val="00B53DA1"/>
    <w:rsid w:val="00B613C3"/>
    <w:rsid w:val="00B6183C"/>
    <w:rsid w:val="00B63CF6"/>
    <w:rsid w:val="00B641EB"/>
    <w:rsid w:val="00B703CA"/>
    <w:rsid w:val="00B71432"/>
    <w:rsid w:val="00B73129"/>
    <w:rsid w:val="00B75010"/>
    <w:rsid w:val="00B75471"/>
    <w:rsid w:val="00B7695F"/>
    <w:rsid w:val="00B77FB2"/>
    <w:rsid w:val="00B802E7"/>
    <w:rsid w:val="00B80EE2"/>
    <w:rsid w:val="00B81D46"/>
    <w:rsid w:val="00B81E8C"/>
    <w:rsid w:val="00B8346A"/>
    <w:rsid w:val="00B8519A"/>
    <w:rsid w:val="00B86E98"/>
    <w:rsid w:val="00B87AE2"/>
    <w:rsid w:val="00B92DAD"/>
    <w:rsid w:val="00B936DC"/>
    <w:rsid w:val="00BA1206"/>
    <w:rsid w:val="00BA13E3"/>
    <w:rsid w:val="00BA2029"/>
    <w:rsid w:val="00BA21AA"/>
    <w:rsid w:val="00BA33D8"/>
    <w:rsid w:val="00BA413A"/>
    <w:rsid w:val="00BA66E8"/>
    <w:rsid w:val="00BB357C"/>
    <w:rsid w:val="00BB4262"/>
    <w:rsid w:val="00BB4807"/>
    <w:rsid w:val="00BB71E2"/>
    <w:rsid w:val="00BC3DEA"/>
    <w:rsid w:val="00BC627F"/>
    <w:rsid w:val="00BD00C1"/>
    <w:rsid w:val="00BD0457"/>
    <w:rsid w:val="00BD1844"/>
    <w:rsid w:val="00BD2EA1"/>
    <w:rsid w:val="00BD41CE"/>
    <w:rsid w:val="00BD6BA0"/>
    <w:rsid w:val="00BD7B45"/>
    <w:rsid w:val="00BD7CF7"/>
    <w:rsid w:val="00BE0A06"/>
    <w:rsid w:val="00BE2BB4"/>
    <w:rsid w:val="00BE3FDF"/>
    <w:rsid w:val="00BE44A7"/>
    <w:rsid w:val="00BE4EA5"/>
    <w:rsid w:val="00BE4ED9"/>
    <w:rsid w:val="00BE5625"/>
    <w:rsid w:val="00BE5BD6"/>
    <w:rsid w:val="00BE7723"/>
    <w:rsid w:val="00BF06A5"/>
    <w:rsid w:val="00BF0E8C"/>
    <w:rsid w:val="00BF27A7"/>
    <w:rsid w:val="00C0096C"/>
    <w:rsid w:val="00C03721"/>
    <w:rsid w:val="00C0658C"/>
    <w:rsid w:val="00C12D2F"/>
    <w:rsid w:val="00C14BCF"/>
    <w:rsid w:val="00C15963"/>
    <w:rsid w:val="00C15CDF"/>
    <w:rsid w:val="00C2311D"/>
    <w:rsid w:val="00C248B9"/>
    <w:rsid w:val="00C26DE4"/>
    <w:rsid w:val="00C26E2E"/>
    <w:rsid w:val="00C27A39"/>
    <w:rsid w:val="00C32244"/>
    <w:rsid w:val="00C3583F"/>
    <w:rsid w:val="00C3604E"/>
    <w:rsid w:val="00C40B83"/>
    <w:rsid w:val="00C40F44"/>
    <w:rsid w:val="00C43D5A"/>
    <w:rsid w:val="00C52E45"/>
    <w:rsid w:val="00C534DC"/>
    <w:rsid w:val="00C53A91"/>
    <w:rsid w:val="00C61EE2"/>
    <w:rsid w:val="00C640EE"/>
    <w:rsid w:val="00C648B6"/>
    <w:rsid w:val="00C67D69"/>
    <w:rsid w:val="00C7028C"/>
    <w:rsid w:val="00C7638E"/>
    <w:rsid w:val="00C763F3"/>
    <w:rsid w:val="00C7716D"/>
    <w:rsid w:val="00C82FC0"/>
    <w:rsid w:val="00C84E51"/>
    <w:rsid w:val="00C850F8"/>
    <w:rsid w:val="00C87081"/>
    <w:rsid w:val="00C87685"/>
    <w:rsid w:val="00C90B6E"/>
    <w:rsid w:val="00C920A1"/>
    <w:rsid w:val="00C934E3"/>
    <w:rsid w:val="00C9350F"/>
    <w:rsid w:val="00C97D32"/>
    <w:rsid w:val="00CA1838"/>
    <w:rsid w:val="00CA3522"/>
    <w:rsid w:val="00CA7943"/>
    <w:rsid w:val="00CB40AF"/>
    <w:rsid w:val="00CB5D80"/>
    <w:rsid w:val="00CB5FA4"/>
    <w:rsid w:val="00CB6048"/>
    <w:rsid w:val="00CB7653"/>
    <w:rsid w:val="00CB7B78"/>
    <w:rsid w:val="00CC01FA"/>
    <w:rsid w:val="00CC093A"/>
    <w:rsid w:val="00CC31BC"/>
    <w:rsid w:val="00CC3D3A"/>
    <w:rsid w:val="00CC4908"/>
    <w:rsid w:val="00CC5159"/>
    <w:rsid w:val="00CC63AB"/>
    <w:rsid w:val="00CD0C6F"/>
    <w:rsid w:val="00CD26A3"/>
    <w:rsid w:val="00CE1F05"/>
    <w:rsid w:val="00CE5753"/>
    <w:rsid w:val="00CE670E"/>
    <w:rsid w:val="00CE6A3C"/>
    <w:rsid w:val="00CE6AE4"/>
    <w:rsid w:val="00CF5DCC"/>
    <w:rsid w:val="00D003E9"/>
    <w:rsid w:val="00D048B0"/>
    <w:rsid w:val="00D05179"/>
    <w:rsid w:val="00D0528E"/>
    <w:rsid w:val="00D05693"/>
    <w:rsid w:val="00D07795"/>
    <w:rsid w:val="00D10923"/>
    <w:rsid w:val="00D15EF8"/>
    <w:rsid w:val="00D16122"/>
    <w:rsid w:val="00D1706D"/>
    <w:rsid w:val="00D2096D"/>
    <w:rsid w:val="00D20FAA"/>
    <w:rsid w:val="00D26CA8"/>
    <w:rsid w:val="00D3006C"/>
    <w:rsid w:val="00D306C7"/>
    <w:rsid w:val="00D31571"/>
    <w:rsid w:val="00D36275"/>
    <w:rsid w:val="00D40E80"/>
    <w:rsid w:val="00D4314D"/>
    <w:rsid w:val="00D45280"/>
    <w:rsid w:val="00D46414"/>
    <w:rsid w:val="00D47BED"/>
    <w:rsid w:val="00D47C3A"/>
    <w:rsid w:val="00D5019D"/>
    <w:rsid w:val="00D50D1D"/>
    <w:rsid w:val="00D52FDA"/>
    <w:rsid w:val="00D6126C"/>
    <w:rsid w:val="00D619E7"/>
    <w:rsid w:val="00D63759"/>
    <w:rsid w:val="00D6532B"/>
    <w:rsid w:val="00D65ABB"/>
    <w:rsid w:val="00D67690"/>
    <w:rsid w:val="00D70760"/>
    <w:rsid w:val="00D70D82"/>
    <w:rsid w:val="00D71808"/>
    <w:rsid w:val="00D7276B"/>
    <w:rsid w:val="00D7348A"/>
    <w:rsid w:val="00D73BCC"/>
    <w:rsid w:val="00D75900"/>
    <w:rsid w:val="00D763D7"/>
    <w:rsid w:val="00D7718D"/>
    <w:rsid w:val="00D80AA9"/>
    <w:rsid w:val="00D80E25"/>
    <w:rsid w:val="00D8181A"/>
    <w:rsid w:val="00D91385"/>
    <w:rsid w:val="00D91BB5"/>
    <w:rsid w:val="00D962D3"/>
    <w:rsid w:val="00DA1AE9"/>
    <w:rsid w:val="00DA42EE"/>
    <w:rsid w:val="00DA43A6"/>
    <w:rsid w:val="00DA4C31"/>
    <w:rsid w:val="00DA4E88"/>
    <w:rsid w:val="00DA509F"/>
    <w:rsid w:val="00DA6310"/>
    <w:rsid w:val="00DA783A"/>
    <w:rsid w:val="00DB21FB"/>
    <w:rsid w:val="00DB2B40"/>
    <w:rsid w:val="00DB4660"/>
    <w:rsid w:val="00DB65BA"/>
    <w:rsid w:val="00DB68E3"/>
    <w:rsid w:val="00DC203D"/>
    <w:rsid w:val="00DC2273"/>
    <w:rsid w:val="00DC37C3"/>
    <w:rsid w:val="00DC7213"/>
    <w:rsid w:val="00DC7E13"/>
    <w:rsid w:val="00DD173F"/>
    <w:rsid w:val="00DD61BF"/>
    <w:rsid w:val="00DD7E1A"/>
    <w:rsid w:val="00DF059C"/>
    <w:rsid w:val="00DF2E9D"/>
    <w:rsid w:val="00DF5BF5"/>
    <w:rsid w:val="00DF6208"/>
    <w:rsid w:val="00E016F7"/>
    <w:rsid w:val="00E04F06"/>
    <w:rsid w:val="00E11735"/>
    <w:rsid w:val="00E13D2D"/>
    <w:rsid w:val="00E13FFC"/>
    <w:rsid w:val="00E15DAD"/>
    <w:rsid w:val="00E221BD"/>
    <w:rsid w:val="00E23479"/>
    <w:rsid w:val="00E239BC"/>
    <w:rsid w:val="00E274AD"/>
    <w:rsid w:val="00E306C6"/>
    <w:rsid w:val="00E33CBE"/>
    <w:rsid w:val="00E34322"/>
    <w:rsid w:val="00E437C9"/>
    <w:rsid w:val="00E43BF2"/>
    <w:rsid w:val="00E43D04"/>
    <w:rsid w:val="00E45766"/>
    <w:rsid w:val="00E45D01"/>
    <w:rsid w:val="00E477EA"/>
    <w:rsid w:val="00E5130F"/>
    <w:rsid w:val="00E5319D"/>
    <w:rsid w:val="00E5772D"/>
    <w:rsid w:val="00E57D49"/>
    <w:rsid w:val="00E62E85"/>
    <w:rsid w:val="00E63337"/>
    <w:rsid w:val="00E637A8"/>
    <w:rsid w:val="00E64DE0"/>
    <w:rsid w:val="00E65B6A"/>
    <w:rsid w:val="00E67785"/>
    <w:rsid w:val="00E7093B"/>
    <w:rsid w:val="00E71489"/>
    <w:rsid w:val="00E72BA5"/>
    <w:rsid w:val="00E7318E"/>
    <w:rsid w:val="00E7769C"/>
    <w:rsid w:val="00E81B93"/>
    <w:rsid w:val="00E82BFB"/>
    <w:rsid w:val="00E84E6F"/>
    <w:rsid w:val="00E850C1"/>
    <w:rsid w:val="00E87461"/>
    <w:rsid w:val="00E87B06"/>
    <w:rsid w:val="00E936A0"/>
    <w:rsid w:val="00E946E5"/>
    <w:rsid w:val="00E9574F"/>
    <w:rsid w:val="00EA0E1D"/>
    <w:rsid w:val="00EA3BE7"/>
    <w:rsid w:val="00EA6EB6"/>
    <w:rsid w:val="00EA70C9"/>
    <w:rsid w:val="00EB59F1"/>
    <w:rsid w:val="00EB6DA9"/>
    <w:rsid w:val="00EC04C0"/>
    <w:rsid w:val="00EC12B0"/>
    <w:rsid w:val="00EC343C"/>
    <w:rsid w:val="00ED2938"/>
    <w:rsid w:val="00ED335E"/>
    <w:rsid w:val="00ED39F1"/>
    <w:rsid w:val="00ED5669"/>
    <w:rsid w:val="00ED5F2B"/>
    <w:rsid w:val="00ED7757"/>
    <w:rsid w:val="00ED78EA"/>
    <w:rsid w:val="00ED7FBC"/>
    <w:rsid w:val="00EE26EE"/>
    <w:rsid w:val="00EE2BBD"/>
    <w:rsid w:val="00EF13EC"/>
    <w:rsid w:val="00EF18E2"/>
    <w:rsid w:val="00EF3F41"/>
    <w:rsid w:val="00EF42FB"/>
    <w:rsid w:val="00F02838"/>
    <w:rsid w:val="00F04375"/>
    <w:rsid w:val="00F101FE"/>
    <w:rsid w:val="00F11D48"/>
    <w:rsid w:val="00F125BF"/>
    <w:rsid w:val="00F13650"/>
    <w:rsid w:val="00F1429B"/>
    <w:rsid w:val="00F14BE4"/>
    <w:rsid w:val="00F16D5D"/>
    <w:rsid w:val="00F20C03"/>
    <w:rsid w:val="00F21DFE"/>
    <w:rsid w:val="00F22C13"/>
    <w:rsid w:val="00F238C2"/>
    <w:rsid w:val="00F2425A"/>
    <w:rsid w:val="00F244E8"/>
    <w:rsid w:val="00F25303"/>
    <w:rsid w:val="00F32B2B"/>
    <w:rsid w:val="00F34A3A"/>
    <w:rsid w:val="00F351ED"/>
    <w:rsid w:val="00F42315"/>
    <w:rsid w:val="00F42A98"/>
    <w:rsid w:val="00F4637F"/>
    <w:rsid w:val="00F46490"/>
    <w:rsid w:val="00F54A60"/>
    <w:rsid w:val="00F56AA8"/>
    <w:rsid w:val="00F56E81"/>
    <w:rsid w:val="00F57914"/>
    <w:rsid w:val="00F57E4D"/>
    <w:rsid w:val="00F57F38"/>
    <w:rsid w:val="00F63C3F"/>
    <w:rsid w:val="00F63DEE"/>
    <w:rsid w:val="00F70DA8"/>
    <w:rsid w:val="00F7242D"/>
    <w:rsid w:val="00F75F7F"/>
    <w:rsid w:val="00F80434"/>
    <w:rsid w:val="00F80B39"/>
    <w:rsid w:val="00F86D69"/>
    <w:rsid w:val="00F87A27"/>
    <w:rsid w:val="00F90CF3"/>
    <w:rsid w:val="00F90F07"/>
    <w:rsid w:val="00F94B48"/>
    <w:rsid w:val="00F951C6"/>
    <w:rsid w:val="00FA0975"/>
    <w:rsid w:val="00FA7375"/>
    <w:rsid w:val="00FB4593"/>
    <w:rsid w:val="00FB4E5D"/>
    <w:rsid w:val="00FB598F"/>
    <w:rsid w:val="00FB5DDB"/>
    <w:rsid w:val="00FB70BB"/>
    <w:rsid w:val="00FC2912"/>
    <w:rsid w:val="00FC2D3C"/>
    <w:rsid w:val="00FC2D6D"/>
    <w:rsid w:val="00FC3813"/>
    <w:rsid w:val="00FC5E8A"/>
    <w:rsid w:val="00FC6C9A"/>
    <w:rsid w:val="00FD18D8"/>
    <w:rsid w:val="00FD3E3D"/>
    <w:rsid w:val="00FD46B1"/>
    <w:rsid w:val="00FD6486"/>
    <w:rsid w:val="00FD7574"/>
    <w:rsid w:val="00FE5030"/>
    <w:rsid w:val="00FE576E"/>
    <w:rsid w:val="00FF2AE8"/>
    <w:rsid w:val="00FF47BA"/>
    <w:rsid w:val="00FF5516"/>
    <w:rsid w:val="00FF59B6"/>
    <w:rsid w:val="01610DF2"/>
    <w:rsid w:val="01D26614"/>
    <w:rsid w:val="01F40288"/>
    <w:rsid w:val="02140158"/>
    <w:rsid w:val="02A91127"/>
    <w:rsid w:val="03672EF0"/>
    <w:rsid w:val="04A915AE"/>
    <w:rsid w:val="051C6631"/>
    <w:rsid w:val="05623498"/>
    <w:rsid w:val="057F20DA"/>
    <w:rsid w:val="058D18AC"/>
    <w:rsid w:val="05AA060B"/>
    <w:rsid w:val="066F07B6"/>
    <w:rsid w:val="07B1576D"/>
    <w:rsid w:val="07B95E36"/>
    <w:rsid w:val="080A5E56"/>
    <w:rsid w:val="082C7C47"/>
    <w:rsid w:val="08EB0812"/>
    <w:rsid w:val="090915F7"/>
    <w:rsid w:val="09221C92"/>
    <w:rsid w:val="0B0869AC"/>
    <w:rsid w:val="0B172D26"/>
    <w:rsid w:val="0B2C3507"/>
    <w:rsid w:val="0BE7235D"/>
    <w:rsid w:val="0BEF25AE"/>
    <w:rsid w:val="0C152AAF"/>
    <w:rsid w:val="0C2530CE"/>
    <w:rsid w:val="0C685D8E"/>
    <w:rsid w:val="0D124AA3"/>
    <w:rsid w:val="0DCF00D4"/>
    <w:rsid w:val="0DF20BBD"/>
    <w:rsid w:val="0E2F3657"/>
    <w:rsid w:val="0E5A4AFA"/>
    <w:rsid w:val="0E9C638A"/>
    <w:rsid w:val="0EAE10F7"/>
    <w:rsid w:val="0ECB4FF1"/>
    <w:rsid w:val="0F841788"/>
    <w:rsid w:val="0FEF11AC"/>
    <w:rsid w:val="0FFF5FFA"/>
    <w:rsid w:val="106B775F"/>
    <w:rsid w:val="10881F5C"/>
    <w:rsid w:val="10A61505"/>
    <w:rsid w:val="11170316"/>
    <w:rsid w:val="11361A0F"/>
    <w:rsid w:val="14216548"/>
    <w:rsid w:val="14325238"/>
    <w:rsid w:val="14A266F5"/>
    <w:rsid w:val="14FC026D"/>
    <w:rsid w:val="14FE35EE"/>
    <w:rsid w:val="163F1E23"/>
    <w:rsid w:val="17951844"/>
    <w:rsid w:val="17A91894"/>
    <w:rsid w:val="17D97CD3"/>
    <w:rsid w:val="17E71E5D"/>
    <w:rsid w:val="18AB4EBC"/>
    <w:rsid w:val="1B1B419F"/>
    <w:rsid w:val="1B217079"/>
    <w:rsid w:val="1B6D608A"/>
    <w:rsid w:val="1B934270"/>
    <w:rsid w:val="1C052F68"/>
    <w:rsid w:val="1D386EF4"/>
    <w:rsid w:val="1D4D300A"/>
    <w:rsid w:val="1E5F59A7"/>
    <w:rsid w:val="1EA40731"/>
    <w:rsid w:val="1EF65947"/>
    <w:rsid w:val="1F5111B5"/>
    <w:rsid w:val="1F8510CB"/>
    <w:rsid w:val="1FAD459C"/>
    <w:rsid w:val="1FD71D32"/>
    <w:rsid w:val="1FEF3370"/>
    <w:rsid w:val="20055031"/>
    <w:rsid w:val="2006348C"/>
    <w:rsid w:val="202C6834"/>
    <w:rsid w:val="20857779"/>
    <w:rsid w:val="209A63DD"/>
    <w:rsid w:val="20B274D9"/>
    <w:rsid w:val="219F4B67"/>
    <w:rsid w:val="21F540D9"/>
    <w:rsid w:val="222B415E"/>
    <w:rsid w:val="22E132F8"/>
    <w:rsid w:val="22EB5191"/>
    <w:rsid w:val="24416C69"/>
    <w:rsid w:val="24417117"/>
    <w:rsid w:val="24A44EFD"/>
    <w:rsid w:val="24F709C5"/>
    <w:rsid w:val="255C0D61"/>
    <w:rsid w:val="2607720B"/>
    <w:rsid w:val="261B479E"/>
    <w:rsid w:val="262E397B"/>
    <w:rsid w:val="269A4BF4"/>
    <w:rsid w:val="26EE72A9"/>
    <w:rsid w:val="2845021C"/>
    <w:rsid w:val="28D1591B"/>
    <w:rsid w:val="290307A1"/>
    <w:rsid w:val="290F3EC6"/>
    <w:rsid w:val="29216124"/>
    <w:rsid w:val="29625117"/>
    <w:rsid w:val="29A80CE9"/>
    <w:rsid w:val="29E72090"/>
    <w:rsid w:val="29E73EBE"/>
    <w:rsid w:val="29E834F6"/>
    <w:rsid w:val="2A23088A"/>
    <w:rsid w:val="2A5147C7"/>
    <w:rsid w:val="2A960672"/>
    <w:rsid w:val="2AB03F6E"/>
    <w:rsid w:val="2AEA4F35"/>
    <w:rsid w:val="2B1E51AF"/>
    <w:rsid w:val="2B5577F4"/>
    <w:rsid w:val="2B613993"/>
    <w:rsid w:val="2BCB2089"/>
    <w:rsid w:val="2C14447A"/>
    <w:rsid w:val="2C741430"/>
    <w:rsid w:val="2C8B60E4"/>
    <w:rsid w:val="2CA46BD5"/>
    <w:rsid w:val="2CB91C2E"/>
    <w:rsid w:val="2CF10EBA"/>
    <w:rsid w:val="2D3A4869"/>
    <w:rsid w:val="2D3C7DF7"/>
    <w:rsid w:val="2DF11262"/>
    <w:rsid w:val="2DFF6279"/>
    <w:rsid w:val="2E2B6C4B"/>
    <w:rsid w:val="2E353BD5"/>
    <w:rsid w:val="2E9561C9"/>
    <w:rsid w:val="2F5E2802"/>
    <w:rsid w:val="2F667678"/>
    <w:rsid w:val="305A2191"/>
    <w:rsid w:val="308A4871"/>
    <w:rsid w:val="30932660"/>
    <w:rsid w:val="31DB7C78"/>
    <w:rsid w:val="32333B1C"/>
    <w:rsid w:val="32352614"/>
    <w:rsid w:val="323F7BA0"/>
    <w:rsid w:val="3252560D"/>
    <w:rsid w:val="32A72A64"/>
    <w:rsid w:val="33A62D27"/>
    <w:rsid w:val="344A1096"/>
    <w:rsid w:val="34551B5C"/>
    <w:rsid w:val="345E3FB8"/>
    <w:rsid w:val="34CD1389"/>
    <w:rsid w:val="350B595A"/>
    <w:rsid w:val="353877F0"/>
    <w:rsid w:val="36172447"/>
    <w:rsid w:val="36893024"/>
    <w:rsid w:val="36E25BD9"/>
    <w:rsid w:val="371520B0"/>
    <w:rsid w:val="37606488"/>
    <w:rsid w:val="37E278B7"/>
    <w:rsid w:val="38141DD8"/>
    <w:rsid w:val="38A21D09"/>
    <w:rsid w:val="38D85DC7"/>
    <w:rsid w:val="395101EC"/>
    <w:rsid w:val="3A476E78"/>
    <w:rsid w:val="3A5279EB"/>
    <w:rsid w:val="3A8D69DF"/>
    <w:rsid w:val="3AB3447D"/>
    <w:rsid w:val="3B3E4A51"/>
    <w:rsid w:val="3B5D3995"/>
    <w:rsid w:val="3B744328"/>
    <w:rsid w:val="3BA92A72"/>
    <w:rsid w:val="3C2615A8"/>
    <w:rsid w:val="3D277922"/>
    <w:rsid w:val="3D6B1194"/>
    <w:rsid w:val="3E74269D"/>
    <w:rsid w:val="3E8772CF"/>
    <w:rsid w:val="3EAA29D6"/>
    <w:rsid w:val="3F0D0DAA"/>
    <w:rsid w:val="3F6013DB"/>
    <w:rsid w:val="3F740B62"/>
    <w:rsid w:val="409E6223"/>
    <w:rsid w:val="41A515EC"/>
    <w:rsid w:val="41DB56AA"/>
    <w:rsid w:val="42017AE7"/>
    <w:rsid w:val="42697C29"/>
    <w:rsid w:val="42FD2CD7"/>
    <w:rsid w:val="432110D1"/>
    <w:rsid w:val="434623D9"/>
    <w:rsid w:val="43757DD5"/>
    <w:rsid w:val="43780FCD"/>
    <w:rsid w:val="44763E59"/>
    <w:rsid w:val="456F22E8"/>
    <w:rsid w:val="45EA32B4"/>
    <w:rsid w:val="46553841"/>
    <w:rsid w:val="46E23882"/>
    <w:rsid w:val="47510B43"/>
    <w:rsid w:val="47860755"/>
    <w:rsid w:val="47FF59C5"/>
    <w:rsid w:val="48632C5D"/>
    <w:rsid w:val="48770367"/>
    <w:rsid w:val="48A67AE8"/>
    <w:rsid w:val="494965E5"/>
    <w:rsid w:val="49740320"/>
    <w:rsid w:val="49815FB7"/>
    <w:rsid w:val="49E65597"/>
    <w:rsid w:val="4AAB1F96"/>
    <w:rsid w:val="4AB761DF"/>
    <w:rsid w:val="4B326824"/>
    <w:rsid w:val="4BD13345"/>
    <w:rsid w:val="4C3C5C8E"/>
    <w:rsid w:val="4D5A07FA"/>
    <w:rsid w:val="4D62166B"/>
    <w:rsid w:val="4D887340"/>
    <w:rsid w:val="4E7C3E0D"/>
    <w:rsid w:val="4E9D2C0B"/>
    <w:rsid w:val="4EC83244"/>
    <w:rsid w:val="4F3914C3"/>
    <w:rsid w:val="50E737FC"/>
    <w:rsid w:val="517304E3"/>
    <w:rsid w:val="51A0386B"/>
    <w:rsid w:val="521B2ACA"/>
    <w:rsid w:val="525E04C6"/>
    <w:rsid w:val="531B339F"/>
    <w:rsid w:val="53933CBE"/>
    <w:rsid w:val="54AF55CE"/>
    <w:rsid w:val="54BB6087"/>
    <w:rsid w:val="55CF231D"/>
    <w:rsid w:val="561C4EE2"/>
    <w:rsid w:val="561C702A"/>
    <w:rsid w:val="56AF5607"/>
    <w:rsid w:val="56CC0103"/>
    <w:rsid w:val="589968ED"/>
    <w:rsid w:val="592431B7"/>
    <w:rsid w:val="594C1B06"/>
    <w:rsid w:val="59AF6165"/>
    <w:rsid w:val="5A075E0D"/>
    <w:rsid w:val="5A1E6BF4"/>
    <w:rsid w:val="5ACE6FAB"/>
    <w:rsid w:val="5B342764"/>
    <w:rsid w:val="5B910D6F"/>
    <w:rsid w:val="5C837E7F"/>
    <w:rsid w:val="5D663FAF"/>
    <w:rsid w:val="5D6E20EB"/>
    <w:rsid w:val="5DA2481C"/>
    <w:rsid w:val="5E8A1990"/>
    <w:rsid w:val="5E92287C"/>
    <w:rsid w:val="5ED86E02"/>
    <w:rsid w:val="5EEC4D20"/>
    <w:rsid w:val="5EF468BE"/>
    <w:rsid w:val="5F264002"/>
    <w:rsid w:val="5F3735C1"/>
    <w:rsid w:val="602304DF"/>
    <w:rsid w:val="60C53B58"/>
    <w:rsid w:val="61562AE7"/>
    <w:rsid w:val="61B72033"/>
    <w:rsid w:val="61CE58AC"/>
    <w:rsid w:val="62635C8D"/>
    <w:rsid w:val="628466BA"/>
    <w:rsid w:val="62F63344"/>
    <w:rsid w:val="63780F18"/>
    <w:rsid w:val="639F6F2F"/>
    <w:rsid w:val="63FF44CC"/>
    <w:rsid w:val="640358DE"/>
    <w:rsid w:val="649827A5"/>
    <w:rsid w:val="64AD3563"/>
    <w:rsid w:val="65B519DB"/>
    <w:rsid w:val="65E12F4B"/>
    <w:rsid w:val="665F4BA7"/>
    <w:rsid w:val="66AB2308"/>
    <w:rsid w:val="66B91B11"/>
    <w:rsid w:val="66FB3FD7"/>
    <w:rsid w:val="67202895"/>
    <w:rsid w:val="67940AE1"/>
    <w:rsid w:val="67B879D6"/>
    <w:rsid w:val="67C11BD7"/>
    <w:rsid w:val="68400B82"/>
    <w:rsid w:val="687C6C62"/>
    <w:rsid w:val="68C52547"/>
    <w:rsid w:val="6A0930C4"/>
    <w:rsid w:val="6A730014"/>
    <w:rsid w:val="6AD4475F"/>
    <w:rsid w:val="6BD35A5D"/>
    <w:rsid w:val="6C344F05"/>
    <w:rsid w:val="6D851CAA"/>
    <w:rsid w:val="6D954627"/>
    <w:rsid w:val="6DF675ED"/>
    <w:rsid w:val="6E4508FC"/>
    <w:rsid w:val="6E7F65FA"/>
    <w:rsid w:val="6ED811F4"/>
    <w:rsid w:val="6F15378D"/>
    <w:rsid w:val="70FA1033"/>
    <w:rsid w:val="713E25F3"/>
    <w:rsid w:val="714D7572"/>
    <w:rsid w:val="721649BE"/>
    <w:rsid w:val="726C446D"/>
    <w:rsid w:val="72840921"/>
    <w:rsid w:val="72B77AD3"/>
    <w:rsid w:val="73C92A36"/>
    <w:rsid w:val="73D50E40"/>
    <w:rsid w:val="73E82367"/>
    <w:rsid w:val="74020072"/>
    <w:rsid w:val="742A6A78"/>
    <w:rsid w:val="74967D57"/>
    <w:rsid w:val="74C6271E"/>
    <w:rsid w:val="74DC5C61"/>
    <w:rsid w:val="754B3A37"/>
    <w:rsid w:val="76920F5D"/>
    <w:rsid w:val="78CB66C6"/>
    <w:rsid w:val="78D02930"/>
    <w:rsid w:val="794E507D"/>
    <w:rsid w:val="79D114B5"/>
    <w:rsid w:val="79D90B50"/>
    <w:rsid w:val="7A004968"/>
    <w:rsid w:val="7A3C5AB4"/>
    <w:rsid w:val="7A5C6AE7"/>
    <w:rsid w:val="7A9E5E62"/>
    <w:rsid w:val="7BB91F4A"/>
    <w:rsid w:val="7BD92E24"/>
    <w:rsid w:val="7BFB5D0B"/>
    <w:rsid w:val="7C3F375C"/>
    <w:rsid w:val="7C71303B"/>
    <w:rsid w:val="7C9F283C"/>
    <w:rsid w:val="7CAA3CD0"/>
    <w:rsid w:val="7D7C5868"/>
    <w:rsid w:val="7DF97558"/>
    <w:rsid w:val="7E807EF6"/>
    <w:rsid w:val="7E961F92"/>
    <w:rsid w:val="7EC947A3"/>
    <w:rsid w:val="7EE3296C"/>
    <w:rsid w:val="7F24443A"/>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iPriority="0" w:semiHidden="0" w:name="heading 4"/>
    <w:lsdException w:qFormat="1" w:uiPriority="0" w:semiHidden="0" w:name="heading 5"/>
    <w:lsdException w:qFormat="1" w:uiPriority="9" w:semiHidden="0" w:name="heading 6"/>
    <w:lsdException w:qFormat="1" w:unhideWhenUsed="0" w:uiPriority="13" w:semiHidden="0" w:name="heading 7"/>
    <w:lsdException w:qFormat="1" w:unhideWhenUsed="0" w:uiPriority="14" w:semiHidden="0" w:name="heading 8"/>
    <w:lsdException w:qFormat="1" w:unhideWhenUsed="0" w:uiPriority="15"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99"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99"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99"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22" w:semiHidden="0" w:name="Strong"/>
    <w:lsdException w:qFormat="1" w:unhideWhenUsed="0" w:uiPriority="18" w:semiHidden="0" w:name="Emphasis"/>
    <w:lsdException w:qFormat="1" w:unhideWhenUsed="0" w:uiPriority="0" w:semiHidden="0" w:name="Document Map"/>
    <w:lsdException w:qFormat="1" w:unhideWhenUsed="0" w:uiPriority="99"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99" w:name="Balloon Text"/>
    <w:lsdException w:qFormat="1" w:unhideWhenUsed="0" w:uiPriority="99" w:semiHidden="0" w:name="Table Grid"/>
    <w:lsdException w:uiPriority="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1" w:semiHidden="0" w:name="Quote"/>
    <w:lsdException w:qFormat="1" w:unhideWhenUsed="0" w:uiPriority="22"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3">
    <w:name w:val="heading 1"/>
    <w:basedOn w:val="1"/>
    <w:next w:val="1"/>
    <w:link w:val="82"/>
    <w:qFormat/>
    <w:uiPriority w:val="9"/>
    <w:pPr>
      <w:keepNext/>
      <w:keepLines/>
      <w:spacing w:before="340" w:after="330" w:line="578" w:lineRule="auto"/>
      <w:outlineLvl w:val="0"/>
    </w:pPr>
    <w:rPr>
      <w:b/>
      <w:bCs/>
      <w:kern w:val="44"/>
      <w:sz w:val="30"/>
      <w:szCs w:val="44"/>
    </w:rPr>
  </w:style>
  <w:style w:type="paragraph" w:styleId="4">
    <w:name w:val="heading 2"/>
    <w:basedOn w:val="1"/>
    <w:next w:val="1"/>
    <w:link w:val="83"/>
    <w:qFormat/>
    <w:uiPriority w:val="0"/>
    <w:pPr>
      <w:keepNext/>
      <w:keepLines/>
      <w:spacing w:before="260" w:after="260" w:line="416" w:lineRule="auto"/>
      <w:outlineLvl w:val="1"/>
    </w:pPr>
    <w:rPr>
      <w:rFonts w:ascii="Cambria" w:hAnsi="Cambria"/>
      <w:b/>
      <w:bCs/>
      <w:sz w:val="32"/>
      <w:szCs w:val="32"/>
    </w:rPr>
  </w:style>
  <w:style w:type="paragraph" w:styleId="5">
    <w:name w:val="heading 3"/>
    <w:basedOn w:val="1"/>
    <w:next w:val="1"/>
    <w:link w:val="84"/>
    <w:qFormat/>
    <w:uiPriority w:val="0"/>
    <w:pPr>
      <w:keepNext/>
      <w:keepLines/>
      <w:spacing w:before="260" w:after="260" w:line="416" w:lineRule="auto"/>
      <w:outlineLvl w:val="2"/>
    </w:pPr>
    <w:rPr>
      <w:b/>
      <w:bCs/>
      <w:sz w:val="32"/>
      <w:szCs w:val="32"/>
    </w:rPr>
  </w:style>
  <w:style w:type="paragraph" w:styleId="6">
    <w:name w:val="heading 4"/>
    <w:basedOn w:val="1"/>
    <w:next w:val="1"/>
    <w:link w:val="85"/>
    <w:unhideWhenUsed/>
    <w:qFormat/>
    <w:uiPriority w:val="0"/>
    <w:pPr>
      <w:widowControl/>
      <w:spacing w:before="280" w:after="290" w:line="376" w:lineRule="auto"/>
      <w:ind w:firstLine="480"/>
      <w:outlineLvl w:val="3"/>
    </w:pPr>
    <w:rPr>
      <w:rFonts w:ascii="Cambria" w:hAnsi="Cambria"/>
      <w:b/>
      <w:kern w:val="0"/>
      <w:sz w:val="24"/>
    </w:rPr>
  </w:style>
  <w:style w:type="paragraph" w:styleId="7">
    <w:name w:val="heading 5"/>
    <w:basedOn w:val="1"/>
    <w:next w:val="1"/>
    <w:link w:val="86"/>
    <w:unhideWhenUsed/>
    <w:qFormat/>
    <w:uiPriority w:val="0"/>
    <w:pPr>
      <w:widowControl/>
      <w:spacing w:before="280" w:after="290" w:line="376" w:lineRule="auto"/>
      <w:ind w:firstLine="480"/>
      <w:outlineLvl w:val="4"/>
    </w:pPr>
    <w:rPr>
      <w:b/>
      <w:kern w:val="0"/>
      <w:sz w:val="28"/>
      <w:szCs w:val="28"/>
    </w:rPr>
  </w:style>
  <w:style w:type="paragraph" w:styleId="8">
    <w:name w:val="heading 6"/>
    <w:basedOn w:val="1"/>
    <w:next w:val="1"/>
    <w:link w:val="87"/>
    <w:unhideWhenUsed/>
    <w:qFormat/>
    <w:uiPriority w:val="9"/>
    <w:pPr>
      <w:widowControl/>
      <w:spacing w:before="240" w:after="64" w:line="319" w:lineRule="auto"/>
      <w:ind w:firstLine="480"/>
      <w:outlineLvl w:val="5"/>
    </w:pPr>
    <w:rPr>
      <w:rFonts w:ascii="Cambria" w:hAnsi="Cambria"/>
      <w:b/>
      <w:kern w:val="0"/>
      <w:sz w:val="24"/>
    </w:rPr>
  </w:style>
  <w:style w:type="paragraph" w:styleId="9">
    <w:name w:val="heading 7"/>
    <w:basedOn w:val="1"/>
    <w:next w:val="1"/>
    <w:link w:val="88"/>
    <w:qFormat/>
    <w:uiPriority w:val="13"/>
    <w:pPr>
      <w:widowControl/>
      <w:spacing w:line="360" w:lineRule="auto"/>
      <w:ind w:left="2200" w:leftChars="1800" w:hanging="400"/>
      <w:outlineLvl w:val="6"/>
    </w:pPr>
    <w:rPr>
      <w:kern w:val="0"/>
      <w:szCs w:val="21"/>
    </w:rPr>
  </w:style>
  <w:style w:type="paragraph" w:styleId="10">
    <w:name w:val="heading 8"/>
    <w:basedOn w:val="1"/>
    <w:next w:val="1"/>
    <w:link w:val="89"/>
    <w:qFormat/>
    <w:uiPriority w:val="14"/>
    <w:pPr>
      <w:widowControl/>
      <w:spacing w:line="360" w:lineRule="auto"/>
      <w:ind w:left="2400" w:leftChars="2000" w:hanging="400"/>
      <w:outlineLvl w:val="7"/>
    </w:pPr>
    <w:rPr>
      <w:kern w:val="0"/>
      <w:szCs w:val="21"/>
    </w:rPr>
  </w:style>
  <w:style w:type="paragraph" w:styleId="11">
    <w:name w:val="heading 9"/>
    <w:basedOn w:val="1"/>
    <w:next w:val="1"/>
    <w:link w:val="90"/>
    <w:qFormat/>
    <w:uiPriority w:val="15"/>
    <w:pPr>
      <w:widowControl/>
      <w:spacing w:line="360" w:lineRule="auto"/>
      <w:ind w:left="2600" w:leftChars="2200" w:hanging="400"/>
      <w:outlineLvl w:val="8"/>
    </w:pPr>
    <w:rPr>
      <w:kern w:val="0"/>
      <w:szCs w:val="21"/>
    </w:rPr>
  </w:style>
  <w:style w:type="character" w:default="1" w:styleId="38">
    <w:name w:val="Default Paragraph Font"/>
    <w:semiHidden/>
    <w:unhideWhenUsed/>
    <w:qFormat/>
    <w:uiPriority w:val="1"/>
  </w:style>
  <w:style w:type="table" w:default="1" w:styleId="36">
    <w:name w:val="Normal Table"/>
    <w:semiHidden/>
    <w:unhideWhenUsed/>
    <w:qFormat/>
    <w:uiPriority w:val="99"/>
    <w:tblPr>
      <w:tblCellMar>
        <w:top w:w="0" w:type="dxa"/>
        <w:left w:w="108" w:type="dxa"/>
        <w:bottom w:w="0" w:type="dxa"/>
        <w:right w:w="108" w:type="dxa"/>
      </w:tblCellMar>
    </w:tblPr>
  </w:style>
  <w:style w:type="paragraph" w:styleId="2">
    <w:name w:val="List"/>
    <w:basedOn w:val="1"/>
    <w:qFormat/>
    <w:uiPriority w:val="0"/>
    <w:pPr>
      <w:spacing w:beforeLines="30" w:afterLines="30"/>
      <w:jc w:val="center"/>
    </w:pPr>
    <w:rPr>
      <w:b/>
      <w:szCs w:val="24"/>
    </w:rPr>
  </w:style>
  <w:style w:type="paragraph" w:styleId="12">
    <w:name w:val="toc 7"/>
    <w:basedOn w:val="1"/>
    <w:next w:val="1"/>
    <w:unhideWhenUsed/>
    <w:qFormat/>
    <w:uiPriority w:val="39"/>
    <w:pPr>
      <w:widowControl/>
      <w:ind w:left="2520" w:leftChars="2520"/>
    </w:pPr>
    <w:rPr>
      <w:kern w:val="0"/>
      <w:szCs w:val="21"/>
    </w:rPr>
  </w:style>
  <w:style w:type="paragraph" w:styleId="13">
    <w:name w:val="Normal Indent"/>
    <w:basedOn w:val="1"/>
    <w:link w:val="96"/>
    <w:qFormat/>
    <w:uiPriority w:val="99"/>
    <w:pPr>
      <w:autoSpaceDE w:val="0"/>
      <w:autoSpaceDN w:val="0"/>
      <w:adjustRightInd w:val="0"/>
      <w:spacing w:line="360" w:lineRule="atLeast"/>
      <w:ind w:left="720"/>
    </w:pPr>
    <w:rPr>
      <w:rFonts w:ascii="宋体"/>
    </w:rPr>
  </w:style>
  <w:style w:type="paragraph" w:styleId="14">
    <w:name w:val="caption"/>
    <w:basedOn w:val="1"/>
    <w:next w:val="1"/>
    <w:link w:val="112"/>
    <w:qFormat/>
    <w:uiPriority w:val="0"/>
    <w:pPr>
      <w:widowControl/>
      <w:autoSpaceDE w:val="0"/>
      <w:autoSpaceDN w:val="0"/>
      <w:spacing w:before="152" w:after="160" w:line="360" w:lineRule="auto"/>
      <w:ind w:firstLine="420"/>
      <w:jc w:val="left"/>
    </w:pPr>
    <w:rPr>
      <w:rFonts w:ascii="Arial" w:hAnsi="Arial" w:eastAsia="黑体"/>
      <w:kern w:val="0"/>
      <w:sz w:val="20"/>
      <w:szCs w:val="20"/>
    </w:rPr>
  </w:style>
  <w:style w:type="paragraph" w:styleId="15">
    <w:name w:val="Document Map"/>
    <w:basedOn w:val="1"/>
    <w:link w:val="92"/>
    <w:qFormat/>
    <w:uiPriority w:val="0"/>
    <w:rPr>
      <w:rFonts w:ascii="宋体"/>
      <w:sz w:val="18"/>
      <w:szCs w:val="18"/>
    </w:rPr>
  </w:style>
  <w:style w:type="paragraph" w:styleId="16">
    <w:name w:val="annotation text"/>
    <w:basedOn w:val="1"/>
    <w:link w:val="105"/>
    <w:qFormat/>
    <w:uiPriority w:val="0"/>
    <w:pPr>
      <w:jc w:val="left"/>
    </w:pPr>
  </w:style>
  <w:style w:type="paragraph" w:styleId="17">
    <w:name w:val="Body Text"/>
    <w:basedOn w:val="1"/>
    <w:next w:val="18"/>
    <w:link w:val="99"/>
    <w:qFormat/>
    <w:uiPriority w:val="99"/>
  </w:style>
  <w:style w:type="paragraph" w:styleId="18">
    <w:name w:val="Body Text Indent"/>
    <w:basedOn w:val="1"/>
    <w:qFormat/>
    <w:uiPriority w:val="0"/>
    <w:pPr>
      <w:spacing w:after="120"/>
      <w:ind w:left="420" w:leftChars="200"/>
    </w:pPr>
  </w:style>
  <w:style w:type="paragraph" w:styleId="19">
    <w:name w:val="toc 5"/>
    <w:basedOn w:val="1"/>
    <w:next w:val="1"/>
    <w:unhideWhenUsed/>
    <w:qFormat/>
    <w:uiPriority w:val="39"/>
    <w:pPr>
      <w:widowControl/>
      <w:ind w:left="1680" w:leftChars="1680"/>
    </w:pPr>
    <w:rPr>
      <w:kern w:val="0"/>
      <w:szCs w:val="21"/>
    </w:rPr>
  </w:style>
  <w:style w:type="paragraph" w:styleId="20">
    <w:name w:val="toc 3"/>
    <w:basedOn w:val="1"/>
    <w:next w:val="1"/>
    <w:qFormat/>
    <w:uiPriority w:val="39"/>
    <w:pPr>
      <w:tabs>
        <w:tab w:val="right" w:leader="dot" w:pos="8777"/>
      </w:tabs>
      <w:spacing w:line="480" w:lineRule="exact"/>
      <w:ind w:left="482" w:firstLine="86" w:firstLineChars="43"/>
      <w:jc w:val="left"/>
    </w:pPr>
    <w:rPr>
      <w:b/>
      <w:iCs/>
      <w:sz w:val="20"/>
      <w:szCs w:val="20"/>
    </w:rPr>
  </w:style>
  <w:style w:type="paragraph" w:styleId="21">
    <w:name w:val="Plain Text"/>
    <w:basedOn w:val="1"/>
    <w:link w:val="97"/>
    <w:qFormat/>
    <w:uiPriority w:val="99"/>
    <w:rPr>
      <w:rFonts w:ascii="宋体" w:hAnsi="Courier New"/>
      <w:szCs w:val="21"/>
    </w:rPr>
  </w:style>
  <w:style w:type="paragraph" w:styleId="22">
    <w:name w:val="toc 8"/>
    <w:basedOn w:val="1"/>
    <w:next w:val="1"/>
    <w:unhideWhenUsed/>
    <w:qFormat/>
    <w:uiPriority w:val="39"/>
    <w:pPr>
      <w:widowControl/>
      <w:ind w:left="2940" w:leftChars="2940"/>
    </w:pPr>
    <w:rPr>
      <w:kern w:val="0"/>
      <w:szCs w:val="21"/>
    </w:rPr>
  </w:style>
  <w:style w:type="paragraph" w:styleId="23">
    <w:name w:val="Date"/>
    <w:basedOn w:val="1"/>
    <w:next w:val="1"/>
    <w:link w:val="95"/>
    <w:qFormat/>
    <w:uiPriority w:val="99"/>
    <w:pPr>
      <w:ind w:left="100" w:leftChars="2500"/>
    </w:pPr>
  </w:style>
  <w:style w:type="paragraph" w:styleId="24">
    <w:name w:val="Body Text Indent 2"/>
    <w:basedOn w:val="1"/>
    <w:link w:val="94"/>
    <w:qFormat/>
    <w:uiPriority w:val="99"/>
    <w:pPr>
      <w:spacing w:after="120" w:line="480" w:lineRule="auto"/>
      <w:ind w:left="420" w:leftChars="200"/>
    </w:pPr>
  </w:style>
  <w:style w:type="paragraph" w:styleId="25">
    <w:name w:val="Balloon Text"/>
    <w:basedOn w:val="1"/>
    <w:link w:val="108"/>
    <w:semiHidden/>
    <w:qFormat/>
    <w:uiPriority w:val="99"/>
    <w:rPr>
      <w:sz w:val="18"/>
      <w:szCs w:val="18"/>
    </w:rPr>
  </w:style>
  <w:style w:type="paragraph" w:styleId="26">
    <w:name w:val="footer"/>
    <w:basedOn w:val="1"/>
    <w:link w:val="100"/>
    <w:qFormat/>
    <w:uiPriority w:val="99"/>
    <w:pPr>
      <w:tabs>
        <w:tab w:val="center" w:pos="4153"/>
        <w:tab w:val="right" w:pos="8306"/>
      </w:tabs>
      <w:snapToGrid w:val="0"/>
      <w:jc w:val="left"/>
    </w:pPr>
    <w:rPr>
      <w:sz w:val="18"/>
      <w:szCs w:val="18"/>
    </w:rPr>
  </w:style>
  <w:style w:type="paragraph" w:styleId="27">
    <w:name w:val="header"/>
    <w:basedOn w:val="1"/>
    <w:link w:val="102"/>
    <w:qFormat/>
    <w:uiPriority w:val="99"/>
    <w:pPr>
      <w:pBdr>
        <w:bottom w:val="single" w:color="auto" w:sz="6" w:space="1"/>
      </w:pBdr>
      <w:tabs>
        <w:tab w:val="center" w:pos="4153"/>
        <w:tab w:val="right" w:pos="8306"/>
      </w:tabs>
      <w:snapToGrid w:val="0"/>
      <w:jc w:val="center"/>
    </w:pPr>
    <w:rPr>
      <w:sz w:val="18"/>
      <w:szCs w:val="18"/>
    </w:rPr>
  </w:style>
  <w:style w:type="paragraph" w:styleId="28">
    <w:name w:val="toc 1"/>
    <w:basedOn w:val="1"/>
    <w:next w:val="1"/>
    <w:qFormat/>
    <w:uiPriority w:val="39"/>
    <w:pPr>
      <w:tabs>
        <w:tab w:val="right" w:leader="dot" w:pos="8630"/>
      </w:tabs>
      <w:spacing w:before="120" w:after="120" w:line="400" w:lineRule="exact"/>
      <w:ind w:firstLine="482" w:firstLineChars="200"/>
      <w:jc w:val="left"/>
    </w:pPr>
    <w:rPr>
      <w:rFonts w:ascii="宋体" w:hAnsi="宋体"/>
      <w:b/>
      <w:bCs/>
      <w:caps/>
      <w:sz w:val="24"/>
      <w:szCs w:val="20"/>
      <w:lang w:val="zh-CN"/>
    </w:rPr>
  </w:style>
  <w:style w:type="paragraph" w:styleId="29">
    <w:name w:val="toc 4"/>
    <w:basedOn w:val="1"/>
    <w:next w:val="1"/>
    <w:qFormat/>
    <w:uiPriority w:val="39"/>
    <w:pPr>
      <w:widowControl/>
      <w:spacing w:line="360" w:lineRule="auto"/>
      <w:ind w:left="1260" w:leftChars="1260" w:firstLine="420"/>
      <w:jc w:val="left"/>
    </w:pPr>
    <w:rPr>
      <w:rFonts w:ascii="Times New Roman" w:hAnsi="Times New Roman"/>
      <w:kern w:val="0"/>
      <w:szCs w:val="21"/>
    </w:rPr>
  </w:style>
  <w:style w:type="paragraph" w:styleId="30">
    <w:name w:val="Subtitle"/>
    <w:basedOn w:val="1"/>
    <w:next w:val="1"/>
    <w:link w:val="110"/>
    <w:qFormat/>
    <w:uiPriority w:val="0"/>
    <w:pPr>
      <w:spacing w:before="240" w:after="60" w:line="312" w:lineRule="auto"/>
      <w:jc w:val="center"/>
      <w:outlineLvl w:val="1"/>
    </w:pPr>
    <w:rPr>
      <w:rFonts w:ascii="Cambria" w:hAnsi="Cambria"/>
      <w:b/>
      <w:bCs/>
      <w:kern w:val="28"/>
      <w:sz w:val="32"/>
      <w:szCs w:val="32"/>
    </w:rPr>
  </w:style>
  <w:style w:type="paragraph" w:styleId="31">
    <w:name w:val="toc 6"/>
    <w:basedOn w:val="1"/>
    <w:next w:val="1"/>
    <w:unhideWhenUsed/>
    <w:qFormat/>
    <w:uiPriority w:val="39"/>
    <w:pPr>
      <w:widowControl/>
      <w:ind w:left="2100" w:leftChars="2100"/>
    </w:pPr>
    <w:rPr>
      <w:kern w:val="0"/>
      <w:szCs w:val="21"/>
    </w:rPr>
  </w:style>
  <w:style w:type="paragraph" w:styleId="32">
    <w:name w:val="toc 2"/>
    <w:basedOn w:val="1"/>
    <w:next w:val="1"/>
    <w:qFormat/>
    <w:uiPriority w:val="39"/>
    <w:pPr>
      <w:tabs>
        <w:tab w:val="right" w:leader="dot" w:pos="8777"/>
      </w:tabs>
      <w:spacing w:line="400" w:lineRule="exact"/>
      <w:ind w:firstLine="566" w:firstLineChars="236"/>
      <w:jc w:val="left"/>
    </w:pPr>
    <w:rPr>
      <w:smallCaps/>
      <w:sz w:val="20"/>
      <w:szCs w:val="20"/>
    </w:rPr>
  </w:style>
  <w:style w:type="paragraph" w:styleId="33">
    <w:name w:val="toc 9"/>
    <w:basedOn w:val="1"/>
    <w:next w:val="1"/>
    <w:unhideWhenUsed/>
    <w:qFormat/>
    <w:uiPriority w:val="39"/>
    <w:pPr>
      <w:widowControl/>
      <w:ind w:left="3360" w:leftChars="3360"/>
    </w:pPr>
    <w:rPr>
      <w:kern w:val="0"/>
      <w:szCs w:val="21"/>
    </w:rPr>
  </w:style>
  <w:style w:type="paragraph" w:styleId="34">
    <w:name w:val="Normal (Web)"/>
    <w:basedOn w:val="1"/>
    <w:link w:val="91"/>
    <w:qFormat/>
    <w:uiPriority w:val="99"/>
    <w:pPr>
      <w:spacing w:beforeAutospacing="1" w:afterAutospacing="1"/>
      <w:jc w:val="left"/>
    </w:pPr>
    <w:rPr>
      <w:kern w:val="0"/>
      <w:sz w:val="24"/>
    </w:rPr>
  </w:style>
  <w:style w:type="paragraph" w:styleId="35">
    <w:name w:val="Title"/>
    <w:basedOn w:val="1"/>
    <w:next w:val="1"/>
    <w:link w:val="81"/>
    <w:qFormat/>
    <w:uiPriority w:val="0"/>
    <w:pPr>
      <w:spacing w:before="240" w:after="60"/>
      <w:jc w:val="center"/>
      <w:outlineLvl w:val="0"/>
    </w:pPr>
    <w:rPr>
      <w:rFonts w:ascii="Cambria" w:hAnsi="Cambria"/>
      <w:b/>
      <w:bCs/>
      <w:sz w:val="36"/>
      <w:szCs w:val="32"/>
    </w:rPr>
  </w:style>
  <w:style w:type="table" w:styleId="37">
    <w:name w:val="Table Grid"/>
    <w:basedOn w:val="36"/>
    <w:qFormat/>
    <w:uiPriority w:val="9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9">
    <w:name w:val="Strong"/>
    <w:qFormat/>
    <w:uiPriority w:val="22"/>
    <w:rPr>
      <w:b/>
      <w:bCs/>
    </w:rPr>
  </w:style>
  <w:style w:type="character" w:styleId="40">
    <w:name w:val="page number"/>
    <w:basedOn w:val="38"/>
    <w:qFormat/>
    <w:uiPriority w:val="0"/>
  </w:style>
  <w:style w:type="character" w:styleId="41">
    <w:name w:val="Emphasis"/>
    <w:qFormat/>
    <w:uiPriority w:val="18"/>
    <w:rPr>
      <w:i/>
      <w:sz w:val="21"/>
      <w:szCs w:val="21"/>
    </w:rPr>
  </w:style>
  <w:style w:type="character" w:styleId="42">
    <w:name w:val="Hyperlink"/>
    <w:qFormat/>
    <w:uiPriority w:val="99"/>
    <w:rPr>
      <w:color w:val="000099"/>
      <w:u w:val="none"/>
    </w:rPr>
  </w:style>
  <w:style w:type="character" w:styleId="43">
    <w:name w:val="annotation reference"/>
    <w:qFormat/>
    <w:uiPriority w:val="0"/>
    <w:rPr>
      <w:sz w:val="21"/>
      <w:szCs w:val="21"/>
    </w:rPr>
  </w:style>
  <w:style w:type="paragraph" w:styleId="44">
    <w:name w:val="No Spacing"/>
    <w:link w:val="101"/>
    <w:qFormat/>
    <w:uiPriority w:val="1"/>
    <w:rPr>
      <w:rFonts w:ascii="Calibri" w:hAnsi="Calibri" w:eastAsia="宋体" w:cs="Times New Roman"/>
      <w:sz w:val="22"/>
      <w:szCs w:val="22"/>
      <w:lang w:val="en-US" w:eastAsia="zh-CN" w:bidi="ar-SA"/>
    </w:rPr>
  </w:style>
  <w:style w:type="paragraph" w:styleId="45">
    <w:name w:val="List Paragraph"/>
    <w:basedOn w:val="1"/>
    <w:link w:val="107"/>
    <w:qFormat/>
    <w:uiPriority w:val="34"/>
    <w:pPr>
      <w:ind w:firstLine="420" w:firstLineChars="200"/>
    </w:pPr>
    <w:rPr>
      <w:szCs w:val="20"/>
    </w:rPr>
  </w:style>
  <w:style w:type="paragraph" w:customStyle="1" w:styleId="46">
    <w:name w:val="列出段落1"/>
    <w:basedOn w:val="1"/>
    <w:qFormat/>
    <w:uiPriority w:val="0"/>
    <w:pPr>
      <w:ind w:firstLine="420" w:firstLineChars="200"/>
    </w:pPr>
    <w:rPr>
      <w:szCs w:val="21"/>
    </w:rPr>
  </w:style>
  <w:style w:type="paragraph" w:customStyle="1" w:styleId="47">
    <w:name w:val="1.1.1.1A"/>
    <w:basedOn w:val="48"/>
    <w:qFormat/>
    <w:uiPriority w:val="0"/>
    <w:pPr>
      <w:tabs>
        <w:tab w:val="left" w:pos="1134"/>
        <w:tab w:val="left" w:pos="1843"/>
        <w:tab w:val="left" w:pos="26875"/>
      </w:tabs>
      <w:autoSpaceDE w:val="0"/>
      <w:autoSpaceDN w:val="0"/>
      <w:spacing w:before="60" w:after="60"/>
      <w:ind w:left="1560" w:hanging="426"/>
      <w:textAlignment w:val="auto"/>
    </w:pPr>
    <w:rPr>
      <w:rFonts w:ascii="宋体" w:hAnsi="Times New Roman"/>
      <w:sz w:val="24"/>
    </w:rPr>
  </w:style>
  <w:style w:type="paragraph" w:customStyle="1" w:styleId="48">
    <w:name w:val="1.1.1.1"/>
    <w:basedOn w:val="1"/>
    <w:qFormat/>
    <w:uiPriority w:val="0"/>
    <w:pPr>
      <w:tabs>
        <w:tab w:val="left" w:pos="1134"/>
      </w:tabs>
      <w:adjustRightInd w:val="0"/>
      <w:spacing w:line="360" w:lineRule="atLeast"/>
      <w:ind w:left="1134" w:hanging="1134"/>
      <w:textAlignment w:val="baseline"/>
    </w:pPr>
    <w:rPr>
      <w:rFonts w:ascii="Arial" w:hAnsi="Arial"/>
      <w:kern w:val="0"/>
      <w:szCs w:val="20"/>
    </w:rPr>
  </w:style>
  <w:style w:type="paragraph" w:customStyle="1" w:styleId="49">
    <w:name w:val="正文_0"/>
    <w:qFormat/>
    <w:uiPriority w:val="0"/>
    <w:pPr>
      <w:widowControl w:val="0"/>
      <w:jc w:val="both"/>
    </w:pPr>
    <w:rPr>
      <w:rFonts w:ascii="Calibri" w:hAnsi="Calibri" w:eastAsia="宋体" w:cs="Times New Roman"/>
      <w:kern w:val="2"/>
      <w:sz w:val="21"/>
      <w:szCs w:val="22"/>
      <w:lang w:val="en-US" w:eastAsia="zh-CN" w:bidi="ar-SA"/>
    </w:rPr>
  </w:style>
  <w:style w:type="paragraph" w:customStyle="1" w:styleId="50">
    <w:name w:val="表格2"/>
    <w:basedOn w:val="51"/>
    <w:qFormat/>
    <w:uiPriority w:val="0"/>
    <w:pPr>
      <w:jc w:val="center"/>
    </w:pPr>
  </w:style>
  <w:style w:type="paragraph" w:customStyle="1" w:styleId="51">
    <w:name w:val="表格1"/>
    <w:basedOn w:val="1"/>
    <w:qFormat/>
    <w:uiPriority w:val="0"/>
    <w:pPr>
      <w:spacing w:line="400" w:lineRule="exact"/>
    </w:pPr>
    <w:rPr>
      <w:rFonts w:ascii="宋体" w:hAnsi="宋体"/>
      <w:szCs w:val="20"/>
    </w:rPr>
  </w:style>
  <w:style w:type="paragraph" w:customStyle="1" w:styleId="52">
    <w:name w:val="_Style 19"/>
    <w:basedOn w:val="1"/>
    <w:qFormat/>
    <w:uiPriority w:val="0"/>
    <w:rPr>
      <w:rFonts w:ascii="Tahoma" w:hAnsi="Tahoma"/>
      <w:sz w:val="24"/>
      <w:szCs w:val="20"/>
    </w:rPr>
  </w:style>
  <w:style w:type="paragraph" w:customStyle="1" w:styleId="53">
    <w:name w:val="*正文"/>
    <w:basedOn w:val="1"/>
    <w:qFormat/>
    <w:uiPriority w:val="0"/>
    <w:pPr>
      <w:ind w:firstLine="200"/>
    </w:pPr>
    <w:rPr>
      <w:rFonts w:ascii="宋体" w:hAnsi="宋体"/>
      <w:sz w:val="22"/>
      <w:szCs w:val="22"/>
    </w:rPr>
  </w:style>
  <w:style w:type="paragraph" w:customStyle="1" w:styleId="54">
    <w:name w:val="MM"/>
    <w:basedOn w:val="1"/>
    <w:qFormat/>
    <w:uiPriority w:val="0"/>
    <w:pPr>
      <w:numPr>
        <w:ilvl w:val="1"/>
        <w:numId w:val="1"/>
      </w:numPr>
      <w:spacing w:before="60" w:after="60" w:line="360" w:lineRule="auto"/>
      <w:textAlignment w:val="baseline"/>
    </w:pPr>
    <w:rPr>
      <w:b/>
      <w:bCs/>
      <w:spacing w:val="5"/>
      <w:kern w:val="0"/>
      <w:sz w:val="24"/>
      <w:szCs w:val="20"/>
    </w:rPr>
  </w:style>
  <w:style w:type="paragraph" w:customStyle="1" w:styleId="55">
    <w:name w:val="XW正文"/>
    <w:basedOn w:val="18"/>
    <w:qFormat/>
    <w:uiPriority w:val="0"/>
    <w:pPr>
      <w:adjustRightInd w:val="0"/>
      <w:spacing w:line="360" w:lineRule="auto"/>
      <w:ind w:left="0" w:leftChars="0"/>
      <w:textAlignment w:val="baseline"/>
    </w:pPr>
    <w:rPr>
      <w:sz w:val="24"/>
    </w:rPr>
  </w:style>
  <w:style w:type="paragraph" w:customStyle="1" w:styleId="56">
    <w:name w:val="样式 首行缩进:  0 字符"/>
    <w:basedOn w:val="1"/>
    <w:link w:val="111"/>
    <w:qFormat/>
    <w:uiPriority w:val="0"/>
    <w:pPr>
      <w:ind w:firstLine="200"/>
    </w:pPr>
    <w:rPr>
      <w:rFonts w:ascii="Arial" w:hAnsi="Arial"/>
    </w:rPr>
  </w:style>
  <w:style w:type="paragraph" w:customStyle="1" w:styleId="57">
    <w:name w:val="1.1.1.1a"/>
    <w:basedOn w:val="1"/>
    <w:qFormat/>
    <w:uiPriority w:val="0"/>
    <w:pPr>
      <w:adjustRightInd w:val="0"/>
      <w:spacing w:before="60" w:after="60" w:line="360" w:lineRule="atLeast"/>
      <w:ind w:left="1134" w:hanging="567"/>
      <w:textAlignment w:val="baseline"/>
    </w:pPr>
    <w:rPr>
      <w:rFonts w:ascii="Arial" w:hAnsi="Arial"/>
      <w:kern w:val="0"/>
      <w:sz w:val="24"/>
      <w:szCs w:val="20"/>
    </w:rPr>
  </w:style>
  <w:style w:type="paragraph" w:customStyle="1" w:styleId="58">
    <w:name w:val="Default"/>
    <w:qFormat/>
    <w:uiPriority w:val="0"/>
    <w:pPr>
      <w:widowControl w:val="0"/>
      <w:autoSpaceDE w:val="0"/>
      <w:autoSpaceDN w:val="0"/>
      <w:adjustRightInd w:val="0"/>
    </w:pPr>
    <w:rPr>
      <w:rFonts w:ascii="NPKCCE+Arial,Bold" w:hAnsi="Calibri" w:eastAsia="NPKCCE+Arial,Bold" w:cs="NPKCCE+Arial,Bold"/>
      <w:color w:val="000000"/>
      <w:sz w:val="24"/>
      <w:szCs w:val="24"/>
      <w:lang w:val="en-US" w:eastAsia="zh-CN" w:bidi="ar-SA"/>
    </w:rPr>
  </w:style>
  <w:style w:type="paragraph" w:customStyle="1" w:styleId="59">
    <w:name w:val="_Style 15"/>
    <w:basedOn w:val="1"/>
    <w:qFormat/>
    <w:uiPriority w:val="0"/>
    <w:pPr>
      <w:tabs>
        <w:tab w:val="left" w:pos="360"/>
      </w:tabs>
    </w:pPr>
    <w:rPr>
      <w:sz w:val="24"/>
    </w:rPr>
  </w:style>
  <w:style w:type="paragraph" w:customStyle="1" w:styleId="60">
    <w:name w:val="Char Char Char Char Char Char Char"/>
    <w:basedOn w:val="1"/>
    <w:qFormat/>
    <w:uiPriority w:val="0"/>
  </w:style>
  <w:style w:type="paragraph" w:customStyle="1" w:styleId="61">
    <w:name w:val="小四表格"/>
    <w:basedOn w:val="1"/>
    <w:qFormat/>
    <w:uiPriority w:val="0"/>
    <w:pPr>
      <w:adjustRightInd w:val="0"/>
      <w:snapToGrid w:val="0"/>
      <w:spacing w:line="440" w:lineRule="exact"/>
    </w:pPr>
    <w:rPr>
      <w:kern w:val="0"/>
      <w:sz w:val="24"/>
      <w:szCs w:val="20"/>
    </w:rPr>
  </w:style>
  <w:style w:type="paragraph" w:customStyle="1" w:styleId="62">
    <w:name w:val="第2行"/>
    <w:basedOn w:val="1"/>
    <w:qFormat/>
    <w:uiPriority w:val="0"/>
    <w:pPr>
      <w:spacing w:beforeLines="50" w:afterLines="50" w:line="360" w:lineRule="auto"/>
      <w:jc w:val="center"/>
    </w:pPr>
    <w:rPr>
      <w:rFonts w:ascii="宋体" w:eastAsia="黑体"/>
      <w:b/>
      <w:sz w:val="44"/>
    </w:rPr>
  </w:style>
  <w:style w:type="paragraph" w:customStyle="1" w:styleId="63">
    <w:name w:val="Char"/>
    <w:basedOn w:val="1"/>
    <w:qFormat/>
    <w:uiPriority w:val="0"/>
    <w:rPr>
      <w:rFonts w:ascii="Tahoma" w:hAnsi="Tahoma"/>
      <w:sz w:val="24"/>
      <w:szCs w:val="20"/>
    </w:rPr>
  </w:style>
  <w:style w:type="paragraph" w:customStyle="1" w:styleId="64">
    <w:name w:val="标题 51"/>
    <w:basedOn w:val="1"/>
    <w:qFormat/>
    <w:uiPriority w:val="1"/>
    <w:pPr>
      <w:autoSpaceDE w:val="0"/>
      <w:autoSpaceDN w:val="0"/>
      <w:ind w:left="1033" w:hanging="496"/>
      <w:jc w:val="left"/>
      <w:outlineLvl w:val="5"/>
    </w:pPr>
    <w:rPr>
      <w:rFonts w:ascii="黑体" w:hAnsi="黑体" w:eastAsia="黑体" w:cs="黑体"/>
      <w:kern w:val="0"/>
      <w:sz w:val="28"/>
      <w:szCs w:val="28"/>
      <w:lang w:val="zh-CN" w:bidi="zh-CN"/>
    </w:rPr>
  </w:style>
  <w:style w:type="paragraph" w:customStyle="1" w:styleId="65">
    <w:name w:val="正文_3"/>
    <w:basedOn w:val="1"/>
    <w:qFormat/>
    <w:uiPriority w:val="0"/>
    <w:rPr>
      <w:rFonts w:cs="宋体"/>
      <w:szCs w:val="21"/>
    </w:rPr>
  </w:style>
  <w:style w:type="paragraph" w:customStyle="1" w:styleId="66">
    <w:name w:val="1."/>
    <w:basedOn w:val="1"/>
    <w:qFormat/>
    <w:uiPriority w:val="0"/>
    <w:pPr>
      <w:tabs>
        <w:tab w:val="left" w:pos="0"/>
        <w:tab w:val="left" w:pos="426"/>
      </w:tabs>
      <w:autoSpaceDE w:val="0"/>
      <w:autoSpaceDN w:val="0"/>
      <w:adjustRightInd w:val="0"/>
      <w:spacing w:before="60" w:after="60" w:line="360" w:lineRule="atLeast"/>
      <w:ind w:left="426" w:hanging="426"/>
    </w:pPr>
    <w:rPr>
      <w:rFonts w:ascii="Arial" w:hAnsi="Arial"/>
      <w:kern w:val="0"/>
      <w:sz w:val="24"/>
      <w:szCs w:val="20"/>
    </w:rPr>
  </w:style>
  <w:style w:type="paragraph" w:customStyle="1" w:styleId="67">
    <w:name w:val="TOC 标题1"/>
    <w:basedOn w:val="3"/>
    <w:next w:val="1"/>
    <w:qFormat/>
    <w:uiPriority w:val="39"/>
    <w:pPr>
      <w:widowControl/>
      <w:spacing w:before="480" w:after="0" w:line="276" w:lineRule="auto"/>
      <w:jc w:val="left"/>
      <w:outlineLvl w:val="9"/>
    </w:pPr>
    <w:rPr>
      <w:rFonts w:ascii="Cambria" w:hAnsi="Cambria"/>
      <w:color w:val="365F91"/>
      <w:kern w:val="0"/>
      <w:sz w:val="28"/>
      <w:szCs w:val="28"/>
    </w:rPr>
  </w:style>
  <w:style w:type="paragraph" w:styleId="68">
    <w:name w:val="Quote"/>
    <w:basedOn w:val="1"/>
    <w:next w:val="1"/>
    <w:link w:val="115"/>
    <w:qFormat/>
    <w:uiPriority w:val="21"/>
    <w:pPr>
      <w:widowControl/>
      <w:spacing w:before="200" w:line="360" w:lineRule="auto"/>
      <w:ind w:left="864" w:right="864"/>
      <w:jc w:val="center"/>
    </w:pPr>
    <w:rPr>
      <w:i/>
      <w:color w:val="404040"/>
      <w:kern w:val="0"/>
      <w:szCs w:val="21"/>
    </w:rPr>
  </w:style>
  <w:style w:type="paragraph" w:styleId="69">
    <w:name w:val="Intense Quote"/>
    <w:basedOn w:val="1"/>
    <w:next w:val="1"/>
    <w:link w:val="116"/>
    <w:qFormat/>
    <w:uiPriority w:val="22"/>
    <w:pPr>
      <w:widowControl/>
      <w:pBdr>
        <w:top w:val="single" w:color="5B9BD5" w:sz="0" w:space="10"/>
        <w:bottom w:val="single" w:color="5B9BD5" w:sz="0" w:space="10"/>
      </w:pBdr>
      <w:spacing w:before="360" w:after="360" w:line="360" w:lineRule="auto"/>
      <w:ind w:left="864" w:right="864"/>
      <w:jc w:val="center"/>
    </w:pPr>
    <w:rPr>
      <w:i/>
      <w:color w:val="5B9BD5"/>
      <w:kern w:val="0"/>
      <w:szCs w:val="21"/>
    </w:rPr>
  </w:style>
  <w:style w:type="paragraph" w:customStyle="1" w:styleId="70">
    <w:name w:val="首行缩进"/>
    <w:basedOn w:val="1"/>
    <w:link w:val="120"/>
    <w:qFormat/>
    <w:uiPriority w:val="0"/>
    <w:pPr>
      <w:widowControl/>
      <w:spacing w:line="360" w:lineRule="auto"/>
      <w:ind w:firstLine="480"/>
    </w:pPr>
    <w:rPr>
      <w:kern w:val="0"/>
      <w:sz w:val="24"/>
      <w:lang w:val="zh-CN"/>
    </w:rPr>
  </w:style>
  <w:style w:type="paragraph" w:customStyle="1" w:styleId="71">
    <w:name w:val="标准正文格式"/>
    <w:basedOn w:val="1"/>
    <w:link w:val="122"/>
    <w:qFormat/>
    <w:uiPriority w:val="0"/>
    <w:pPr>
      <w:widowControl/>
      <w:spacing w:before="60" w:after="120" w:line="360" w:lineRule="auto"/>
      <w:ind w:firstLine="200"/>
    </w:pPr>
    <w:rPr>
      <w:rFonts w:ascii="宋体" w:hAnsi="宋体" w:eastAsia="仿宋"/>
      <w:color w:val="000000"/>
      <w:kern w:val="0"/>
      <w:sz w:val="24"/>
    </w:rPr>
  </w:style>
  <w:style w:type="paragraph" w:customStyle="1" w:styleId="72">
    <w:name w:val="小标题"/>
    <w:basedOn w:val="1"/>
    <w:next w:val="13"/>
    <w:qFormat/>
    <w:uiPriority w:val="0"/>
    <w:pPr>
      <w:widowControl/>
      <w:tabs>
        <w:tab w:val="left" w:pos="374"/>
      </w:tabs>
      <w:snapToGrid w:val="0"/>
      <w:spacing w:line="360" w:lineRule="auto"/>
      <w:ind w:left="374" w:firstLine="200"/>
    </w:pPr>
    <w:rPr>
      <w:rFonts w:ascii="宋体" w:hAnsi="宋体"/>
      <w:b/>
      <w:color w:val="000000"/>
      <w:kern w:val="0"/>
      <w:szCs w:val="21"/>
    </w:rPr>
  </w:style>
  <w:style w:type="paragraph" w:customStyle="1" w:styleId="73">
    <w:name w:val="封面表格文本"/>
    <w:basedOn w:val="1"/>
    <w:link w:val="123"/>
    <w:qFormat/>
    <w:uiPriority w:val="0"/>
    <w:pPr>
      <w:widowControl/>
      <w:autoSpaceDE w:val="0"/>
      <w:autoSpaceDN w:val="0"/>
      <w:spacing w:line="360" w:lineRule="auto"/>
      <w:ind w:right="420"/>
      <w:jc w:val="center"/>
    </w:pPr>
    <w:rPr>
      <w:rFonts w:ascii="FrutigerNext LT Regular" w:hAnsi="FrutigerNext LT Regular" w:eastAsia="黑体"/>
      <w:b/>
      <w:kern w:val="0"/>
      <w:szCs w:val="21"/>
    </w:rPr>
  </w:style>
  <w:style w:type="paragraph" w:customStyle="1" w:styleId="74">
    <w:name w:val="正文文本new"/>
    <w:qFormat/>
    <w:uiPriority w:val="0"/>
    <w:pPr>
      <w:spacing w:line="360" w:lineRule="auto"/>
      <w:ind w:firstLine="200"/>
    </w:pPr>
    <w:rPr>
      <w:rFonts w:ascii="Arial" w:hAnsi="Arial" w:eastAsia="宋体" w:cs="Times New Roman"/>
      <w:sz w:val="21"/>
      <w:szCs w:val="21"/>
      <w:lang w:val="en-US" w:eastAsia="zh-CN" w:bidi="ar-SA"/>
    </w:rPr>
  </w:style>
  <w:style w:type="paragraph" w:customStyle="1" w:styleId="75">
    <w:name w:val="Item list"/>
    <w:basedOn w:val="1"/>
    <w:qFormat/>
    <w:uiPriority w:val="0"/>
    <w:pPr>
      <w:widowControl/>
      <w:tabs>
        <w:tab w:val="left" w:pos="851"/>
      </w:tabs>
      <w:ind w:left="425" w:hanging="425"/>
    </w:pPr>
    <w:rPr>
      <w:rFonts w:ascii="Times New Roman" w:hAnsi="Times New Roman"/>
      <w:kern w:val="0"/>
      <w:szCs w:val="21"/>
    </w:rPr>
  </w:style>
  <w:style w:type="paragraph" w:customStyle="1" w:styleId="76">
    <w:name w:val="附图居中"/>
    <w:basedOn w:val="1"/>
    <w:next w:val="1"/>
    <w:qFormat/>
    <w:uiPriority w:val="0"/>
    <w:pPr>
      <w:widowControl/>
      <w:jc w:val="center"/>
    </w:pPr>
    <w:rPr>
      <w:rFonts w:ascii="Times New Roman" w:hAnsi="Times New Roman"/>
      <w:kern w:val="0"/>
      <w:szCs w:val="21"/>
    </w:rPr>
  </w:style>
  <w:style w:type="paragraph" w:customStyle="1" w:styleId="77">
    <w:name w:val="￥正文"/>
    <w:basedOn w:val="1"/>
    <w:link w:val="125"/>
    <w:qFormat/>
    <w:uiPriority w:val="0"/>
    <w:pPr>
      <w:widowControl/>
      <w:spacing w:line="360" w:lineRule="auto"/>
      <w:ind w:firstLine="200"/>
    </w:pPr>
    <w:rPr>
      <w:kern w:val="0"/>
      <w:sz w:val="24"/>
      <w:lang w:val="zh-CN"/>
    </w:rPr>
  </w:style>
  <w:style w:type="paragraph" w:customStyle="1" w:styleId="78">
    <w:name w:val="编号，小四"/>
    <w:basedOn w:val="1"/>
    <w:link w:val="126"/>
    <w:qFormat/>
    <w:uiPriority w:val="0"/>
    <w:pPr>
      <w:widowControl/>
      <w:numPr>
        <w:ilvl w:val="0"/>
        <w:numId w:val="2"/>
      </w:numPr>
      <w:spacing w:line="360" w:lineRule="auto"/>
    </w:pPr>
    <w:rPr>
      <w:rFonts w:ascii="Arial" w:hAnsi="Arial"/>
      <w:kern w:val="0"/>
      <w:sz w:val="24"/>
    </w:rPr>
  </w:style>
  <w:style w:type="paragraph" w:customStyle="1" w:styleId="79">
    <w:name w:val="样式2"/>
    <w:basedOn w:val="1"/>
    <w:qFormat/>
    <w:uiPriority w:val="0"/>
    <w:pPr>
      <w:widowControl/>
      <w:numPr>
        <w:ilvl w:val="0"/>
        <w:numId w:val="3"/>
      </w:numPr>
      <w:spacing w:line="360" w:lineRule="auto"/>
      <w:ind w:right="200" w:firstLine="0"/>
      <w:contextualSpacing/>
      <w:jc w:val="left"/>
    </w:pPr>
    <w:rPr>
      <w:rFonts w:ascii="宋体" w:hAnsi="宋体"/>
      <w:kern w:val="0"/>
      <w:sz w:val="28"/>
      <w:szCs w:val="28"/>
    </w:rPr>
  </w:style>
  <w:style w:type="paragraph" w:customStyle="1" w:styleId="80">
    <w:name w:val="List Paragraph1"/>
    <w:basedOn w:val="1"/>
    <w:qFormat/>
    <w:uiPriority w:val="0"/>
    <w:pPr>
      <w:widowControl/>
      <w:spacing w:line="360" w:lineRule="auto"/>
      <w:ind w:firstLine="420"/>
      <w:jc w:val="left"/>
    </w:pPr>
    <w:rPr>
      <w:rFonts w:ascii="Times New Roman" w:hAnsi="Times New Roman"/>
      <w:kern w:val="0"/>
      <w:szCs w:val="21"/>
    </w:rPr>
  </w:style>
  <w:style w:type="character" w:customStyle="1" w:styleId="81">
    <w:name w:val="标题 Char"/>
    <w:link w:val="35"/>
    <w:qFormat/>
    <w:uiPriority w:val="0"/>
    <w:rPr>
      <w:rFonts w:ascii="Cambria" w:hAnsi="Cambria"/>
      <w:b/>
      <w:bCs/>
      <w:kern w:val="2"/>
      <w:sz w:val="36"/>
      <w:szCs w:val="32"/>
    </w:rPr>
  </w:style>
  <w:style w:type="character" w:customStyle="1" w:styleId="82">
    <w:name w:val="标题 1 Char"/>
    <w:link w:val="3"/>
    <w:qFormat/>
    <w:uiPriority w:val="9"/>
    <w:rPr>
      <w:b/>
      <w:bCs/>
      <w:kern w:val="44"/>
      <w:sz w:val="30"/>
      <w:szCs w:val="44"/>
    </w:rPr>
  </w:style>
  <w:style w:type="character" w:customStyle="1" w:styleId="83">
    <w:name w:val="标题 2 Char"/>
    <w:link w:val="4"/>
    <w:qFormat/>
    <w:uiPriority w:val="0"/>
    <w:rPr>
      <w:rFonts w:ascii="Cambria" w:hAnsi="Cambria" w:eastAsia="宋体" w:cs="Times New Roman"/>
      <w:b/>
      <w:bCs/>
      <w:kern w:val="2"/>
      <w:sz w:val="32"/>
      <w:szCs w:val="32"/>
    </w:rPr>
  </w:style>
  <w:style w:type="character" w:customStyle="1" w:styleId="84">
    <w:name w:val="标题 3 Char"/>
    <w:basedOn w:val="38"/>
    <w:link w:val="5"/>
    <w:qFormat/>
    <w:uiPriority w:val="9"/>
    <w:rPr>
      <w:b/>
      <w:bCs/>
      <w:kern w:val="2"/>
      <w:sz w:val="32"/>
      <w:szCs w:val="32"/>
    </w:rPr>
  </w:style>
  <w:style w:type="character" w:customStyle="1" w:styleId="85">
    <w:name w:val="标题 4 Char"/>
    <w:basedOn w:val="38"/>
    <w:link w:val="6"/>
    <w:qFormat/>
    <w:uiPriority w:val="0"/>
    <w:rPr>
      <w:rFonts w:ascii="Cambria" w:hAnsi="Cambria" w:eastAsia="宋体" w:cs="Times New Roman"/>
      <w:b/>
      <w:sz w:val="24"/>
      <w:szCs w:val="24"/>
    </w:rPr>
  </w:style>
  <w:style w:type="character" w:customStyle="1" w:styleId="86">
    <w:name w:val="标题 5 Char"/>
    <w:basedOn w:val="38"/>
    <w:link w:val="7"/>
    <w:qFormat/>
    <w:uiPriority w:val="0"/>
    <w:rPr>
      <w:rFonts w:ascii="Calibri" w:hAnsi="Calibri" w:eastAsia="宋体" w:cs="Times New Roman"/>
      <w:b/>
      <w:sz w:val="28"/>
      <w:szCs w:val="28"/>
    </w:rPr>
  </w:style>
  <w:style w:type="character" w:customStyle="1" w:styleId="87">
    <w:name w:val="标题 6 Char"/>
    <w:basedOn w:val="38"/>
    <w:link w:val="8"/>
    <w:qFormat/>
    <w:uiPriority w:val="9"/>
    <w:rPr>
      <w:rFonts w:ascii="Cambria" w:hAnsi="Cambria" w:eastAsia="宋体" w:cs="Times New Roman"/>
      <w:b/>
      <w:sz w:val="24"/>
      <w:szCs w:val="24"/>
    </w:rPr>
  </w:style>
  <w:style w:type="character" w:customStyle="1" w:styleId="88">
    <w:name w:val="标题 7 Char"/>
    <w:basedOn w:val="38"/>
    <w:link w:val="9"/>
    <w:qFormat/>
    <w:uiPriority w:val="13"/>
    <w:rPr>
      <w:rFonts w:ascii="Calibri" w:hAnsi="Calibri" w:eastAsia="宋体" w:cs="Times New Roman"/>
      <w:sz w:val="21"/>
      <w:szCs w:val="21"/>
    </w:rPr>
  </w:style>
  <w:style w:type="character" w:customStyle="1" w:styleId="89">
    <w:name w:val="标题 8 Char"/>
    <w:basedOn w:val="38"/>
    <w:link w:val="10"/>
    <w:qFormat/>
    <w:uiPriority w:val="14"/>
    <w:rPr>
      <w:rFonts w:ascii="Calibri" w:hAnsi="Calibri" w:eastAsia="宋体" w:cs="Times New Roman"/>
      <w:sz w:val="21"/>
      <w:szCs w:val="21"/>
    </w:rPr>
  </w:style>
  <w:style w:type="character" w:customStyle="1" w:styleId="90">
    <w:name w:val="标题 9 Char"/>
    <w:basedOn w:val="38"/>
    <w:link w:val="11"/>
    <w:qFormat/>
    <w:uiPriority w:val="15"/>
    <w:rPr>
      <w:rFonts w:ascii="Calibri" w:hAnsi="Calibri" w:eastAsia="宋体" w:cs="Times New Roman"/>
      <w:sz w:val="21"/>
      <w:szCs w:val="21"/>
    </w:rPr>
  </w:style>
  <w:style w:type="character" w:customStyle="1" w:styleId="91">
    <w:name w:val="普通(网站) Char"/>
    <w:link w:val="34"/>
    <w:qFormat/>
    <w:locked/>
    <w:uiPriority w:val="99"/>
    <w:rPr>
      <w:sz w:val="24"/>
      <w:szCs w:val="24"/>
    </w:rPr>
  </w:style>
  <w:style w:type="character" w:customStyle="1" w:styleId="92">
    <w:name w:val="文档结构图 Char"/>
    <w:basedOn w:val="38"/>
    <w:link w:val="15"/>
    <w:qFormat/>
    <w:uiPriority w:val="0"/>
    <w:rPr>
      <w:rFonts w:ascii="宋体"/>
      <w:kern w:val="2"/>
      <w:sz w:val="18"/>
      <w:szCs w:val="18"/>
    </w:rPr>
  </w:style>
  <w:style w:type="character" w:customStyle="1" w:styleId="93">
    <w:name w:val="close"/>
    <w:basedOn w:val="38"/>
    <w:qFormat/>
    <w:uiPriority w:val="0"/>
  </w:style>
  <w:style w:type="character" w:customStyle="1" w:styleId="94">
    <w:name w:val="正文文本缩进 2 Char"/>
    <w:basedOn w:val="38"/>
    <w:link w:val="24"/>
    <w:qFormat/>
    <w:uiPriority w:val="99"/>
    <w:rPr>
      <w:kern w:val="2"/>
      <w:sz w:val="21"/>
      <w:szCs w:val="24"/>
    </w:rPr>
  </w:style>
  <w:style w:type="character" w:customStyle="1" w:styleId="95">
    <w:name w:val="日期 Char"/>
    <w:basedOn w:val="38"/>
    <w:link w:val="23"/>
    <w:qFormat/>
    <w:uiPriority w:val="99"/>
    <w:rPr>
      <w:kern w:val="2"/>
      <w:sz w:val="21"/>
      <w:szCs w:val="24"/>
    </w:rPr>
  </w:style>
  <w:style w:type="character" w:customStyle="1" w:styleId="96">
    <w:name w:val="正文缩进 Char"/>
    <w:link w:val="13"/>
    <w:qFormat/>
    <w:uiPriority w:val="99"/>
    <w:rPr>
      <w:rFonts w:ascii="宋体"/>
      <w:kern w:val="2"/>
      <w:sz w:val="21"/>
      <w:szCs w:val="24"/>
    </w:rPr>
  </w:style>
  <w:style w:type="character" w:customStyle="1" w:styleId="97">
    <w:name w:val="纯文本 Char"/>
    <w:link w:val="21"/>
    <w:qFormat/>
    <w:locked/>
    <w:uiPriority w:val="99"/>
    <w:rPr>
      <w:rFonts w:ascii="宋体" w:hAnsi="Courier New" w:cs="Courier New"/>
      <w:kern w:val="2"/>
      <w:sz w:val="21"/>
      <w:szCs w:val="21"/>
    </w:rPr>
  </w:style>
  <w:style w:type="character" w:customStyle="1" w:styleId="98">
    <w:name w:val="标题 Char2"/>
    <w:basedOn w:val="38"/>
    <w:qFormat/>
    <w:uiPriority w:val="10"/>
    <w:rPr>
      <w:rFonts w:ascii="Cambria" w:hAnsi="Cambria" w:eastAsia="宋体" w:cs="Times New Roman"/>
      <w:b/>
      <w:bCs/>
      <w:sz w:val="32"/>
      <w:szCs w:val="32"/>
    </w:rPr>
  </w:style>
  <w:style w:type="character" w:customStyle="1" w:styleId="99">
    <w:name w:val="正文文本 Char"/>
    <w:basedOn w:val="38"/>
    <w:link w:val="17"/>
    <w:qFormat/>
    <w:uiPriority w:val="99"/>
    <w:rPr>
      <w:kern w:val="2"/>
      <w:sz w:val="21"/>
      <w:szCs w:val="24"/>
    </w:rPr>
  </w:style>
  <w:style w:type="character" w:customStyle="1" w:styleId="100">
    <w:name w:val="页脚 Char"/>
    <w:link w:val="26"/>
    <w:qFormat/>
    <w:uiPriority w:val="99"/>
    <w:rPr>
      <w:kern w:val="2"/>
      <w:sz w:val="18"/>
      <w:szCs w:val="18"/>
    </w:rPr>
  </w:style>
  <w:style w:type="character" w:customStyle="1" w:styleId="101">
    <w:name w:val="无间隔 Char"/>
    <w:basedOn w:val="38"/>
    <w:link w:val="44"/>
    <w:qFormat/>
    <w:uiPriority w:val="1"/>
    <w:rPr>
      <w:sz w:val="22"/>
      <w:szCs w:val="22"/>
      <w:lang w:val="en-US" w:eastAsia="zh-CN" w:bidi="ar-SA"/>
    </w:rPr>
  </w:style>
  <w:style w:type="character" w:customStyle="1" w:styleId="102">
    <w:name w:val="页眉 Char"/>
    <w:link w:val="27"/>
    <w:qFormat/>
    <w:uiPriority w:val="99"/>
    <w:rPr>
      <w:kern w:val="2"/>
      <w:sz w:val="18"/>
      <w:szCs w:val="18"/>
    </w:rPr>
  </w:style>
  <w:style w:type="character" w:customStyle="1" w:styleId="103">
    <w:name w:val="meter-bar"/>
    <w:basedOn w:val="38"/>
    <w:qFormat/>
    <w:uiPriority w:val="0"/>
  </w:style>
  <w:style w:type="character" w:customStyle="1" w:styleId="104">
    <w:name w:val="strength-txt"/>
    <w:basedOn w:val="38"/>
    <w:qFormat/>
    <w:uiPriority w:val="0"/>
  </w:style>
  <w:style w:type="character" w:customStyle="1" w:styleId="105">
    <w:name w:val="批注文字 Char"/>
    <w:basedOn w:val="38"/>
    <w:link w:val="16"/>
    <w:qFormat/>
    <w:uiPriority w:val="0"/>
    <w:rPr>
      <w:kern w:val="2"/>
      <w:sz w:val="21"/>
      <w:szCs w:val="24"/>
    </w:rPr>
  </w:style>
  <w:style w:type="character" w:customStyle="1" w:styleId="106">
    <w:name w:val="close1"/>
    <w:basedOn w:val="38"/>
    <w:qFormat/>
    <w:uiPriority w:val="0"/>
  </w:style>
  <w:style w:type="character" w:customStyle="1" w:styleId="107">
    <w:name w:val="列出段落 Char"/>
    <w:link w:val="45"/>
    <w:qFormat/>
    <w:locked/>
    <w:uiPriority w:val="34"/>
    <w:rPr>
      <w:kern w:val="2"/>
      <w:sz w:val="21"/>
    </w:rPr>
  </w:style>
  <w:style w:type="character" w:customStyle="1" w:styleId="108">
    <w:name w:val="批注框文本 Char"/>
    <w:basedOn w:val="38"/>
    <w:link w:val="25"/>
    <w:semiHidden/>
    <w:qFormat/>
    <w:uiPriority w:val="99"/>
    <w:rPr>
      <w:kern w:val="2"/>
      <w:sz w:val="18"/>
      <w:szCs w:val="18"/>
    </w:rPr>
  </w:style>
  <w:style w:type="character" w:customStyle="1" w:styleId="109">
    <w:name w:val="纯文本 Char1"/>
    <w:qFormat/>
    <w:uiPriority w:val="0"/>
    <w:rPr>
      <w:rFonts w:ascii="宋体" w:hAnsi="Courier New"/>
      <w:kern w:val="2"/>
      <w:sz w:val="21"/>
      <w:szCs w:val="21"/>
    </w:rPr>
  </w:style>
  <w:style w:type="character" w:customStyle="1" w:styleId="110">
    <w:name w:val="副标题 Char"/>
    <w:link w:val="30"/>
    <w:qFormat/>
    <w:uiPriority w:val="0"/>
    <w:rPr>
      <w:rFonts w:ascii="Cambria" w:hAnsi="Cambria" w:cs="Times New Roman"/>
      <w:b/>
      <w:bCs/>
      <w:kern w:val="28"/>
      <w:sz w:val="32"/>
      <w:szCs w:val="32"/>
    </w:rPr>
  </w:style>
  <w:style w:type="character" w:customStyle="1" w:styleId="111">
    <w:name w:val="样式 首行缩进:  0 字符 Char"/>
    <w:link w:val="56"/>
    <w:qFormat/>
    <w:uiPriority w:val="0"/>
    <w:rPr>
      <w:rFonts w:ascii="Arial" w:hAnsi="Arial" w:cs="宋体"/>
      <w:kern w:val="2"/>
      <w:sz w:val="21"/>
      <w:szCs w:val="24"/>
    </w:rPr>
  </w:style>
  <w:style w:type="character" w:customStyle="1" w:styleId="112">
    <w:name w:val="题注 Char"/>
    <w:link w:val="14"/>
    <w:qFormat/>
    <w:uiPriority w:val="0"/>
    <w:rPr>
      <w:rFonts w:ascii="Arial" w:hAnsi="Arial" w:eastAsia="黑体" w:cs="Arial"/>
    </w:rPr>
  </w:style>
  <w:style w:type="character" w:customStyle="1" w:styleId="113">
    <w:name w:val="不明显强调1"/>
    <w:qFormat/>
    <w:uiPriority w:val="17"/>
    <w:rPr>
      <w:i/>
      <w:color w:val="404040"/>
      <w:sz w:val="21"/>
      <w:szCs w:val="21"/>
    </w:rPr>
  </w:style>
  <w:style w:type="character" w:customStyle="1" w:styleId="114">
    <w:name w:val="明显强调1"/>
    <w:qFormat/>
    <w:uiPriority w:val="19"/>
    <w:rPr>
      <w:i/>
      <w:color w:val="5B9BD5"/>
      <w:sz w:val="21"/>
      <w:szCs w:val="21"/>
    </w:rPr>
  </w:style>
  <w:style w:type="character" w:customStyle="1" w:styleId="115">
    <w:name w:val="引用 Char"/>
    <w:basedOn w:val="38"/>
    <w:link w:val="68"/>
    <w:qFormat/>
    <w:uiPriority w:val="21"/>
    <w:rPr>
      <w:rFonts w:ascii="Calibri" w:hAnsi="Calibri" w:eastAsia="宋体" w:cs="Times New Roman"/>
      <w:i/>
      <w:color w:val="404040"/>
      <w:sz w:val="21"/>
      <w:szCs w:val="21"/>
    </w:rPr>
  </w:style>
  <w:style w:type="character" w:customStyle="1" w:styleId="116">
    <w:name w:val="明显引用 Char"/>
    <w:basedOn w:val="38"/>
    <w:link w:val="69"/>
    <w:qFormat/>
    <w:uiPriority w:val="22"/>
    <w:rPr>
      <w:rFonts w:ascii="Calibri" w:hAnsi="Calibri" w:eastAsia="宋体" w:cs="Times New Roman"/>
      <w:i/>
      <w:color w:val="5B9BD5"/>
      <w:sz w:val="21"/>
      <w:szCs w:val="21"/>
    </w:rPr>
  </w:style>
  <w:style w:type="character" w:customStyle="1" w:styleId="117">
    <w:name w:val="不明显参考1"/>
    <w:qFormat/>
    <w:uiPriority w:val="23"/>
    <w:rPr>
      <w:smallCaps/>
      <w:color w:val="5A5A5A"/>
      <w:sz w:val="21"/>
      <w:szCs w:val="21"/>
    </w:rPr>
  </w:style>
  <w:style w:type="character" w:customStyle="1" w:styleId="118">
    <w:name w:val="明显参考1"/>
    <w:qFormat/>
    <w:uiPriority w:val="32"/>
    <w:rPr>
      <w:b/>
      <w:smallCaps/>
      <w:color w:val="5B9BD5"/>
      <w:sz w:val="21"/>
      <w:szCs w:val="21"/>
    </w:rPr>
  </w:style>
  <w:style w:type="character" w:customStyle="1" w:styleId="119">
    <w:name w:val="书籍标题1"/>
    <w:qFormat/>
    <w:uiPriority w:val="25"/>
    <w:rPr>
      <w:b/>
      <w:i/>
      <w:sz w:val="21"/>
      <w:szCs w:val="21"/>
    </w:rPr>
  </w:style>
  <w:style w:type="character" w:customStyle="1" w:styleId="120">
    <w:name w:val="首行缩进 Char"/>
    <w:basedOn w:val="38"/>
    <w:link w:val="70"/>
    <w:qFormat/>
    <w:uiPriority w:val="0"/>
    <w:rPr>
      <w:rFonts w:ascii="Calibri" w:hAnsi="Calibri" w:eastAsia="宋体" w:cs="Times New Roman"/>
      <w:sz w:val="24"/>
      <w:szCs w:val="24"/>
      <w:lang w:val="zh-CN"/>
    </w:rPr>
  </w:style>
  <w:style w:type="character" w:customStyle="1" w:styleId="121">
    <w:name w:val="特点 Char1"/>
    <w:qFormat/>
    <w:uiPriority w:val="0"/>
    <w:rPr>
      <w:rFonts w:ascii="Times New Roman" w:hAnsi="Times New Roman"/>
      <w:sz w:val="21"/>
      <w:szCs w:val="21"/>
      <w:lang w:val="zh-CN" w:eastAsia="zh-CN"/>
    </w:rPr>
  </w:style>
  <w:style w:type="character" w:customStyle="1" w:styleId="122">
    <w:name w:val="标准正文格式 Char"/>
    <w:link w:val="71"/>
    <w:qFormat/>
    <w:uiPriority w:val="0"/>
    <w:rPr>
      <w:rFonts w:ascii="宋体" w:hAnsi="宋体" w:eastAsia="仿宋"/>
      <w:color w:val="000000"/>
      <w:sz w:val="24"/>
      <w:szCs w:val="24"/>
    </w:rPr>
  </w:style>
  <w:style w:type="character" w:customStyle="1" w:styleId="123">
    <w:name w:val="封面表格文本 Char"/>
    <w:link w:val="73"/>
    <w:qFormat/>
    <w:uiPriority w:val="0"/>
    <w:rPr>
      <w:rFonts w:ascii="FrutigerNext LT Regular" w:hAnsi="FrutigerNext LT Regular" w:eastAsia="黑体"/>
      <w:b/>
      <w:sz w:val="21"/>
      <w:szCs w:val="21"/>
    </w:rPr>
  </w:style>
  <w:style w:type="character" w:customStyle="1" w:styleId="124">
    <w:name w:val="apple-converted-space"/>
    <w:basedOn w:val="38"/>
    <w:qFormat/>
    <w:uiPriority w:val="0"/>
  </w:style>
  <w:style w:type="character" w:customStyle="1" w:styleId="125">
    <w:name w:val="￥正文 Char"/>
    <w:link w:val="77"/>
    <w:qFormat/>
    <w:uiPriority w:val="0"/>
    <w:rPr>
      <w:sz w:val="24"/>
      <w:szCs w:val="24"/>
      <w:lang w:val="zh-CN"/>
    </w:rPr>
  </w:style>
  <w:style w:type="character" w:customStyle="1" w:styleId="126">
    <w:name w:val="编号，小四 Char"/>
    <w:link w:val="78"/>
    <w:qFormat/>
    <w:uiPriority w:val="0"/>
    <w:rPr>
      <w:rFonts w:ascii="Arial" w:hAnsi="Arial" w:cs="宋体"/>
      <w:sz w:val="24"/>
      <w:szCs w:val="24"/>
    </w:rPr>
  </w:style>
  <w:style w:type="paragraph" w:customStyle="1" w:styleId="127">
    <w:name w:val="Body Text First Indent 2"/>
    <w:basedOn w:val="1"/>
    <w:next w:val="1"/>
    <w:qFormat/>
    <w:uiPriority w:val="0"/>
    <w:pPr>
      <w:ind w:firstLine="420"/>
    </w:pPr>
  </w:style>
  <w:style w:type="character" w:customStyle="1" w:styleId="128">
    <w:name w:val="font41"/>
    <w:basedOn w:val="38"/>
    <w:qFormat/>
    <w:uiPriority w:val="0"/>
    <w:rPr>
      <w:rFonts w:ascii="微软雅黑" w:hAnsi="微软雅黑" w:eastAsia="微软雅黑" w:cs="微软雅黑"/>
      <w:color w:val="000000"/>
      <w:sz w:val="27"/>
      <w:szCs w:val="27"/>
      <w:u w:val="none"/>
    </w:rPr>
  </w:style>
  <w:style w:type="character" w:customStyle="1" w:styleId="129">
    <w:name w:val="font31"/>
    <w:basedOn w:val="38"/>
    <w:uiPriority w:val="0"/>
    <w:rPr>
      <w:rFonts w:hint="eastAsia" w:ascii="宋体" w:hAnsi="宋体" w:eastAsia="宋体" w:cs="宋体"/>
      <w:color w:val="000000"/>
      <w:sz w:val="28"/>
      <w:szCs w:val="28"/>
      <w:u w:val="none"/>
    </w:rPr>
  </w:style>
  <w:style w:type="character" w:customStyle="1" w:styleId="130">
    <w:name w:val="font11"/>
    <w:basedOn w:val="38"/>
    <w:uiPriority w:val="0"/>
    <w:rPr>
      <w:rFonts w:hint="eastAsia" w:ascii="宋体" w:hAnsi="宋体" w:eastAsia="宋体" w:cs="宋体"/>
      <w:b/>
      <w:bCs/>
      <w:color w:val="000000"/>
      <w:sz w:val="28"/>
      <w:szCs w:val="28"/>
      <w:u w:val="none"/>
    </w:rPr>
  </w:style>
  <w:style w:type="paragraph" w:customStyle="1" w:styleId="131">
    <w:name w:val="样式 首行缩进:  2 字符"/>
    <w:basedOn w:val="1"/>
    <w:qFormat/>
    <w:uiPriority w:val="0"/>
    <w:pPr>
      <w:ind w:firstLine="560"/>
    </w:pPr>
    <w:rPr>
      <w:rFonts w:eastAsia="仿宋_GB2312" w:cs="宋体"/>
      <w:sz w:val="24"/>
      <w:szCs w:val="20"/>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100</Pages>
  <Words>8689</Words>
  <Characters>49528</Characters>
  <Lines>412</Lines>
  <Paragraphs>116</Paragraphs>
  <TotalTime>23</TotalTime>
  <ScaleCrop>false</ScaleCrop>
  <LinksUpToDate>false</LinksUpToDate>
  <CharactersWithSpaces>58101</CharactersWithSpaces>
  <Application>WPS Office_11.1.0.10356_F1E327BC-269C-435d-A152-05C5408002CA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2021-01-12T10:46:00Z</dcterms:created>
  <dc:creator>Administrator</dc:creator>
  <cp:lastModifiedBy>Administrator</cp:lastModifiedBy>
  <cp:lastPrinted>2021-01-22T06:07:00Z</cp:lastPrinted>
  <dcterms:modified xsi:type="dcterms:W3CDTF">2022-05-09T05:37:03Z</dcterms:modified>
  <dc:title>招 标 文 件</dc:title>
  <cp:revision>47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2052-11.1.0.10356</vt:lpwstr>
  </property>
  <property fmtid="{D5CDD505-2E9C-101B-9397-08002B2CF9AE}" pid="3" name="ICV">
    <vt:lpwstr>E024957D1F6F4F34A18302E40EEA87A2</vt:lpwstr>
  </property>
</Properties>
</file>