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评分细则</w:t>
      </w:r>
    </w:p>
    <w:tbl>
      <w:tblPr>
        <w:tblW w:w="102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2"/>
        <w:gridCol w:w="1707"/>
        <w:gridCol w:w="947"/>
        <w:gridCol w:w="61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  <w:jc w:val="center"/>
        </w:trPr>
        <w:tc>
          <w:tcPr>
            <w:tcW w:w="1362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类别</w:t>
            </w:r>
          </w:p>
        </w:tc>
        <w:tc>
          <w:tcPr>
            <w:tcW w:w="170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项目</w:t>
            </w:r>
          </w:p>
        </w:tc>
        <w:tc>
          <w:tcPr>
            <w:tcW w:w="94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分值</w:t>
            </w:r>
          </w:p>
        </w:tc>
        <w:tc>
          <w:tcPr>
            <w:tcW w:w="6189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评审标准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  <w:jc w:val="center"/>
        </w:trPr>
        <w:tc>
          <w:tcPr>
            <w:tcW w:w="1362" w:type="dxa"/>
            <w:vMerge w:val="restart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商务评价</w:t>
            </w:r>
          </w:p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14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分）</w:t>
            </w:r>
          </w:p>
        </w:tc>
        <w:tc>
          <w:tcPr>
            <w:tcW w:w="170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类似项目业绩</w:t>
            </w:r>
          </w:p>
        </w:tc>
        <w:tc>
          <w:tcPr>
            <w:tcW w:w="94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10</w:t>
            </w:r>
          </w:p>
        </w:tc>
        <w:tc>
          <w:tcPr>
            <w:tcW w:w="6189" w:type="dxa"/>
            <w:vAlign w:val="center"/>
          </w:tcPr>
          <w:p>
            <w:pPr>
              <w:autoSpaceDE w:val="0"/>
              <w:autoSpaceDN w:val="0"/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shd w:val="clear" w:color="auto" w:fill="FFFFFF"/>
                <w:lang w:val="zh-CN"/>
              </w:rPr>
              <w:t>018年1月1日至今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承接过类似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shd w:val="clear" w:color="auto" w:fill="FFFFFF"/>
                <w:lang w:val="zh-CN"/>
              </w:rPr>
              <w:t>陈列展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览设计及布展项目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业绩，每一项得1分，最高得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分。（需提供包含合同首页、标的及金额所在页、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服务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合同签字盖章页、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竣工验收表、中标结果公告截图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的扫描件或复印件）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1362" w:type="dxa"/>
            <w:vMerge w:val="continue"/>
            <w:vAlign w:val="center"/>
          </w:tcPr>
          <w:p>
            <w:pPr>
              <w:autoSpaceDE w:val="0"/>
              <w:autoSpaceDN w:val="0"/>
              <w:spacing w:line="360" w:lineRule="auto"/>
              <w:ind w:firstLine="480" w:firstLineChars="20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</w:p>
        </w:tc>
        <w:tc>
          <w:tcPr>
            <w:tcW w:w="170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项目实施团队</w:t>
            </w:r>
          </w:p>
        </w:tc>
        <w:tc>
          <w:tcPr>
            <w:tcW w:w="94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6189" w:type="dxa"/>
            <w:vAlign w:val="center"/>
          </w:tcPr>
          <w:p>
            <w:pPr>
              <w:autoSpaceDE w:val="0"/>
              <w:autoSpaceDN w:val="0"/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团队成员情况：</w:t>
            </w:r>
          </w:p>
          <w:p>
            <w:pPr>
              <w:autoSpaceDE w:val="0"/>
              <w:autoSpaceDN w:val="0"/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人员团队中具有结构设计、建筑装饰设计、室内装饰设计、环境艺术设计、建筑工程、电气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等相关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专业中级及以上职称证书，每一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份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得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shd w:val="clear" w:color="auto" w:fill="FFFFFF"/>
                <w:lang w:val="zh-CN"/>
              </w:rPr>
              <w:t>0.5分，最高得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shd w:val="clear" w:color="auto" w:fill="FFFFFF"/>
                <w:lang w:val="zh-CN"/>
              </w:rPr>
              <w:t>分。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需提供职称证书、社保缴纳证明、劳动合同等材料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9" w:hRule="atLeast"/>
          <w:jc w:val="center"/>
        </w:trPr>
        <w:tc>
          <w:tcPr>
            <w:tcW w:w="1362" w:type="dxa"/>
            <w:vMerge w:val="restart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技术评价（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76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分）</w:t>
            </w:r>
          </w:p>
        </w:tc>
        <w:tc>
          <w:tcPr>
            <w:tcW w:w="170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总体设计方案对陈列内容理解和体现程度</w:t>
            </w:r>
          </w:p>
        </w:tc>
        <w:tc>
          <w:tcPr>
            <w:tcW w:w="94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10</w:t>
            </w:r>
          </w:p>
        </w:tc>
        <w:tc>
          <w:tcPr>
            <w:tcW w:w="6189" w:type="dxa"/>
            <w:vAlign w:val="center"/>
          </w:tcPr>
          <w:p>
            <w:pPr>
              <w:autoSpaceDE w:val="0"/>
              <w:autoSpaceDN w:val="0"/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总体设计方案对内容理解和体现正确、深刻，既注意历史内涵，又注重形式新颖，很好的把握历史厚重与表现形式现代性的结合。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对方案理解与体现透彻、所有内容展现在方案里且表现形式优秀的得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分，其他得分对比最优得分，在最优得分基础上依次按1分递减，未提供不得分。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4" w:hRule="atLeast"/>
          <w:jc w:val="center"/>
        </w:trPr>
        <w:tc>
          <w:tcPr>
            <w:tcW w:w="1362" w:type="dxa"/>
            <w:vMerge w:val="continue"/>
            <w:vAlign w:val="center"/>
          </w:tcPr>
          <w:p>
            <w:pPr>
              <w:autoSpaceDE w:val="0"/>
              <w:autoSpaceDN w:val="0"/>
              <w:spacing w:line="360" w:lineRule="auto"/>
              <w:ind w:firstLine="480" w:firstLineChars="20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</w:p>
        </w:tc>
        <w:tc>
          <w:tcPr>
            <w:tcW w:w="170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总平面布局</w:t>
            </w:r>
          </w:p>
        </w:tc>
        <w:tc>
          <w:tcPr>
            <w:tcW w:w="94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8</w:t>
            </w:r>
          </w:p>
        </w:tc>
        <w:tc>
          <w:tcPr>
            <w:tcW w:w="6189" w:type="dxa"/>
            <w:vAlign w:val="center"/>
          </w:tcPr>
          <w:p>
            <w:pPr>
              <w:autoSpaceDE w:val="0"/>
              <w:autoSpaceDN w:val="0"/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展陈平面布局优化合理，很好的体现人性化的功能分区与展陈面积协调运用，参观动线的流畅性与节奏感强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的得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分，其他得分对比最优得分，在最优得分基础上依次按1分递减，未提供不得分。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  <w:jc w:val="center"/>
        </w:trPr>
        <w:tc>
          <w:tcPr>
            <w:tcW w:w="1362" w:type="dxa"/>
            <w:vMerge w:val="continue"/>
            <w:vAlign w:val="center"/>
          </w:tcPr>
          <w:p>
            <w:pPr>
              <w:autoSpaceDE w:val="0"/>
              <w:autoSpaceDN w:val="0"/>
              <w:spacing w:line="360" w:lineRule="auto"/>
              <w:ind w:firstLine="480" w:firstLineChars="20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</w:p>
        </w:tc>
        <w:tc>
          <w:tcPr>
            <w:tcW w:w="170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设计方案的创意、立意及感染力</w:t>
            </w:r>
          </w:p>
        </w:tc>
        <w:tc>
          <w:tcPr>
            <w:tcW w:w="94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8</w:t>
            </w:r>
          </w:p>
        </w:tc>
        <w:tc>
          <w:tcPr>
            <w:tcW w:w="6189" w:type="dxa"/>
            <w:vAlign w:val="center"/>
          </w:tcPr>
          <w:p>
            <w:pPr>
              <w:autoSpaceDE w:val="0"/>
              <w:autoSpaceDN w:val="0"/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深化设计的创意构思延展性丰富，再立意准确，时代感、互动性及艺术感染力强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的得8分，其他得分对比最优得分，在最优得分基础上依次按1分递减，未提供不得分。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1362" w:type="dxa"/>
            <w:vMerge w:val="continue"/>
            <w:vAlign w:val="center"/>
          </w:tcPr>
          <w:p>
            <w:pPr>
              <w:autoSpaceDE w:val="0"/>
              <w:autoSpaceDN w:val="0"/>
              <w:spacing w:line="360" w:lineRule="auto"/>
              <w:ind w:firstLine="480" w:firstLineChars="20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</w:p>
        </w:tc>
        <w:tc>
          <w:tcPr>
            <w:tcW w:w="170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文物、文献展示设计与文物保护</w:t>
            </w:r>
          </w:p>
        </w:tc>
        <w:tc>
          <w:tcPr>
            <w:tcW w:w="94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7</w:t>
            </w:r>
          </w:p>
        </w:tc>
        <w:tc>
          <w:tcPr>
            <w:tcW w:w="6189" w:type="dxa"/>
            <w:vAlign w:val="center"/>
          </w:tcPr>
          <w:p>
            <w:pPr>
              <w:autoSpaceDE w:val="0"/>
              <w:autoSpaceDN w:val="0"/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文物文献排列疏密有致；保证文物细节清晰可见；文物支撑构件设计合理，并具备隐蔽性；辅助设计突出文物、文献展示效果；柜内展示注重文物的相互关系；运用各种保护技术，保证文物、文献在展示过程中的绝对安全。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以上方案齐全并且方案可实施性强的得7分，其他得分对比最优得分，在最优得分基础上依次按1分递减，未提供不得分。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1" w:hRule="atLeast"/>
          <w:jc w:val="center"/>
        </w:trPr>
        <w:tc>
          <w:tcPr>
            <w:tcW w:w="1362" w:type="dxa"/>
            <w:vMerge w:val="continue"/>
            <w:vAlign w:val="center"/>
          </w:tcPr>
          <w:p>
            <w:pPr>
              <w:autoSpaceDE w:val="0"/>
              <w:autoSpaceDN w:val="0"/>
              <w:spacing w:line="360" w:lineRule="auto"/>
              <w:ind w:firstLine="480" w:firstLineChars="20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</w:p>
        </w:tc>
        <w:tc>
          <w:tcPr>
            <w:tcW w:w="170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复原景观设计</w:t>
            </w:r>
          </w:p>
        </w:tc>
        <w:tc>
          <w:tcPr>
            <w:tcW w:w="94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7</w:t>
            </w:r>
          </w:p>
        </w:tc>
        <w:tc>
          <w:tcPr>
            <w:tcW w:w="6189" w:type="dxa"/>
            <w:vAlign w:val="center"/>
          </w:tcPr>
          <w:p>
            <w:pPr>
              <w:autoSpaceDE w:val="0"/>
              <w:autoSpaceDN w:val="0"/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艺术手法多样，细节真实，符合陈列内容需要和整体艺术氛围，使观众有强烈的临场感和历史感，达到增强艺术感染力的作用。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以上方案齐全并且方案可实施性强的得7分，其他得分对比最优得分，在最优得分基础上依次按1分递减，未提供不得分。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0" w:hRule="atLeast"/>
          <w:jc w:val="center"/>
        </w:trPr>
        <w:tc>
          <w:tcPr>
            <w:tcW w:w="1362" w:type="dxa"/>
            <w:vMerge w:val="continue"/>
            <w:vAlign w:val="center"/>
          </w:tcPr>
          <w:p>
            <w:pPr>
              <w:autoSpaceDE w:val="0"/>
              <w:autoSpaceDN w:val="0"/>
              <w:spacing w:line="360" w:lineRule="auto"/>
              <w:ind w:firstLine="480" w:firstLineChars="20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</w:p>
        </w:tc>
        <w:tc>
          <w:tcPr>
            <w:tcW w:w="170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新媒体及科技技术的运用</w:t>
            </w:r>
          </w:p>
        </w:tc>
        <w:tc>
          <w:tcPr>
            <w:tcW w:w="94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7</w:t>
            </w:r>
          </w:p>
        </w:tc>
        <w:tc>
          <w:tcPr>
            <w:tcW w:w="6189" w:type="dxa"/>
            <w:vAlign w:val="center"/>
          </w:tcPr>
          <w:p>
            <w:pPr>
              <w:autoSpaceDE w:val="0"/>
              <w:autoSpaceDN w:val="0"/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项目高科技布展手段含量高，高科技布展面积占比合理，互动性强，构思立意准确，构图布局合理，实时特征明显，制作工艺先进，艺术感染力强，性能优，操作简便，易维护，价格合理。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以上方案齐全并且方案可实施性强的得7分，其他得分对比最优得分，在最优得分基础上依次按1分递减，未提供不得分。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1362" w:type="dxa"/>
            <w:vMerge w:val="continue"/>
            <w:vAlign w:val="center"/>
          </w:tcPr>
          <w:p>
            <w:pPr>
              <w:autoSpaceDE w:val="0"/>
              <w:autoSpaceDN w:val="0"/>
              <w:spacing w:line="360" w:lineRule="auto"/>
              <w:ind w:firstLine="480" w:firstLineChars="20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</w:p>
        </w:tc>
        <w:tc>
          <w:tcPr>
            <w:tcW w:w="170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观众参与互动</w:t>
            </w:r>
          </w:p>
        </w:tc>
        <w:tc>
          <w:tcPr>
            <w:tcW w:w="94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6189" w:type="dxa"/>
            <w:vAlign w:val="center"/>
          </w:tcPr>
          <w:p>
            <w:pPr>
              <w:autoSpaceDE w:val="0"/>
              <w:autoSpaceDN w:val="0"/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运用展览特有的陈列语言，根据内容设置观众互动项目，使观众参与区、场景、展品有机组合在一起。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以上方案齐全并且方案可实施性强的得3分，其他得分对比最优得分，在最优得分基础上依次按1分递减，未提供不得分。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  <w:jc w:val="center"/>
        </w:trPr>
        <w:tc>
          <w:tcPr>
            <w:tcW w:w="1362" w:type="dxa"/>
            <w:vMerge w:val="continue"/>
            <w:vAlign w:val="center"/>
          </w:tcPr>
          <w:p>
            <w:pPr>
              <w:autoSpaceDE w:val="0"/>
              <w:autoSpaceDN w:val="0"/>
              <w:spacing w:line="360" w:lineRule="auto"/>
              <w:ind w:firstLine="480" w:firstLineChars="20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</w:p>
        </w:tc>
        <w:tc>
          <w:tcPr>
            <w:tcW w:w="170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内容完整性和编制水平</w:t>
            </w:r>
          </w:p>
        </w:tc>
        <w:tc>
          <w:tcPr>
            <w:tcW w:w="94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6</w:t>
            </w:r>
          </w:p>
        </w:tc>
        <w:tc>
          <w:tcPr>
            <w:tcW w:w="6189" w:type="dxa"/>
            <w:vAlign w:val="center"/>
          </w:tcPr>
          <w:p>
            <w:pPr>
              <w:autoSpaceDE w:val="0"/>
              <w:autoSpaceDN w:val="0"/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展陈内容优化、完整，编制水平较高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的得6分，其他得分对比最优得分，在最优得分基础上依次按1分递减，未提供不得分。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  <w:jc w:val="center"/>
        </w:trPr>
        <w:tc>
          <w:tcPr>
            <w:tcW w:w="1362" w:type="dxa"/>
            <w:vMerge w:val="continue"/>
            <w:vAlign w:val="center"/>
          </w:tcPr>
          <w:p>
            <w:pPr>
              <w:autoSpaceDE w:val="0"/>
              <w:autoSpaceDN w:val="0"/>
              <w:spacing w:line="360" w:lineRule="auto"/>
              <w:ind w:firstLine="480" w:firstLineChars="20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</w:p>
        </w:tc>
        <w:tc>
          <w:tcPr>
            <w:tcW w:w="170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施工方案与技术措施</w:t>
            </w:r>
          </w:p>
        </w:tc>
        <w:tc>
          <w:tcPr>
            <w:tcW w:w="94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5</w:t>
            </w:r>
          </w:p>
        </w:tc>
        <w:tc>
          <w:tcPr>
            <w:tcW w:w="6189" w:type="dxa"/>
            <w:vAlign w:val="center"/>
          </w:tcPr>
          <w:p>
            <w:pPr>
              <w:autoSpaceDE w:val="0"/>
              <w:autoSpaceDN w:val="0"/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方案与技术措施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完整且实施性强的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得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分，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其他得分对比最优得分，在最优得分基础上依次按1分递减，未提供不得分。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1" w:hRule="atLeast"/>
          <w:jc w:val="center"/>
        </w:trPr>
        <w:tc>
          <w:tcPr>
            <w:tcW w:w="1362" w:type="dxa"/>
            <w:vMerge w:val="continue"/>
            <w:vAlign w:val="center"/>
          </w:tcPr>
          <w:p>
            <w:pPr>
              <w:autoSpaceDE w:val="0"/>
              <w:autoSpaceDN w:val="0"/>
              <w:spacing w:line="360" w:lineRule="auto"/>
              <w:ind w:firstLine="480" w:firstLineChars="20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</w:p>
        </w:tc>
        <w:tc>
          <w:tcPr>
            <w:tcW w:w="170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资源配备计划（包括材料、安全、施工、质检、资料分配）</w:t>
            </w:r>
          </w:p>
        </w:tc>
        <w:tc>
          <w:tcPr>
            <w:tcW w:w="94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6189" w:type="dxa"/>
            <w:vAlign w:val="center"/>
          </w:tcPr>
          <w:p>
            <w:pPr>
              <w:autoSpaceDE w:val="0"/>
              <w:autoSpaceDN w:val="0"/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资源配备齐全、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合理、分配明确的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得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</w:rPr>
              <w:t>4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分，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其他得分对比最优得分，在最优得分基础上依次按1分递减，未提供不得分。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  <w:jc w:val="center"/>
        </w:trPr>
        <w:tc>
          <w:tcPr>
            <w:tcW w:w="1362" w:type="dxa"/>
            <w:vMerge w:val="continue"/>
            <w:vAlign w:val="center"/>
          </w:tcPr>
          <w:p>
            <w:pPr>
              <w:autoSpaceDE w:val="0"/>
              <w:autoSpaceDN w:val="0"/>
              <w:spacing w:line="360" w:lineRule="auto"/>
              <w:ind w:firstLine="480" w:firstLineChars="20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</w:p>
        </w:tc>
        <w:tc>
          <w:tcPr>
            <w:tcW w:w="170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管理体系与措施</w:t>
            </w:r>
          </w:p>
        </w:tc>
        <w:tc>
          <w:tcPr>
            <w:tcW w:w="94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6189" w:type="dxa"/>
            <w:vAlign w:val="center"/>
          </w:tcPr>
          <w:p>
            <w:pPr>
              <w:autoSpaceDE w:val="0"/>
              <w:autoSpaceDN w:val="0"/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质量、安全、环境保护管理体系与措施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完善、可实施性强的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得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</w:rPr>
              <w:t>4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分，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其他得分对比最优得分，在最优得分基础上依次按1分递减，未提供不得分。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  <w:jc w:val="center"/>
        </w:trPr>
        <w:tc>
          <w:tcPr>
            <w:tcW w:w="1362" w:type="dxa"/>
            <w:vMerge w:val="continue"/>
            <w:vAlign w:val="center"/>
          </w:tcPr>
          <w:p>
            <w:pPr>
              <w:autoSpaceDE w:val="0"/>
              <w:autoSpaceDN w:val="0"/>
              <w:spacing w:line="360" w:lineRule="auto"/>
              <w:ind w:firstLine="480" w:firstLineChars="20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</w:p>
        </w:tc>
        <w:tc>
          <w:tcPr>
            <w:tcW w:w="170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工程进度计划与措施</w:t>
            </w:r>
          </w:p>
        </w:tc>
        <w:tc>
          <w:tcPr>
            <w:tcW w:w="94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3</w:t>
            </w:r>
          </w:p>
        </w:tc>
        <w:tc>
          <w:tcPr>
            <w:tcW w:w="6189" w:type="dxa"/>
            <w:vAlign w:val="center"/>
          </w:tcPr>
          <w:p>
            <w:pPr>
              <w:autoSpaceDE w:val="0"/>
              <w:autoSpaceDN w:val="0"/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工程进度计划合理、措施完善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得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分，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其他得分对比最优得分，在最优得分基础上依次按1分递减，未提供不得分。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2" w:hRule="atLeast"/>
          <w:jc w:val="center"/>
        </w:trPr>
        <w:tc>
          <w:tcPr>
            <w:tcW w:w="1362" w:type="dxa"/>
            <w:vMerge w:val="continue"/>
            <w:vAlign w:val="center"/>
          </w:tcPr>
          <w:p>
            <w:pPr>
              <w:autoSpaceDE w:val="0"/>
              <w:autoSpaceDN w:val="0"/>
              <w:spacing w:line="360" w:lineRule="auto"/>
              <w:ind w:firstLine="480" w:firstLineChars="20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</w:p>
        </w:tc>
        <w:tc>
          <w:tcPr>
            <w:tcW w:w="170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对项目的建设重点、难点的分析和相应的处理及保证措施合理化建议</w:t>
            </w:r>
          </w:p>
        </w:tc>
        <w:tc>
          <w:tcPr>
            <w:tcW w:w="94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6189" w:type="dxa"/>
            <w:vAlign w:val="center"/>
          </w:tcPr>
          <w:p>
            <w:pPr>
              <w:autoSpaceDE w:val="0"/>
              <w:autoSpaceDN w:val="0"/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计划完整，难点重点把握准确，措施合理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得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分，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其他得分对比最优得分，在最优得分基础上依次按1分递减，未提供不得分。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1" w:hRule="atLeast"/>
          <w:jc w:val="center"/>
        </w:trPr>
        <w:tc>
          <w:tcPr>
            <w:tcW w:w="1362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投标报价（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</w:rPr>
              <w:t>分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）</w:t>
            </w:r>
          </w:p>
          <w:p>
            <w:pPr>
              <w:autoSpaceDE w:val="0"/>
              <w:autoSpaceDN w:val="0"/>
              <w:spacing w:line="360" w:lineRule="auto"/>
              <w:ind w:firstLine="480" w:firstLineChars="20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</w:p>
        </w:tc>
        <w:tc>
          <w:tcPr>
            <w:tcW w:w="1707" w:type="dxa"/>
            <w:vAlign w:val="center"/>
          </w:tcPr>
          <w:p>
            <w:pPr>
              <w:autoSpaceDE w:val="0"/>
              <w:autoSpaceDN w:val="0"/>
              <w:spacing w:line="360" w:lineRule="auto"/>
              <w:ind w:firstLine="480" w:firstLineChars="20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</w:p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  <w:t>报价</w:t>
            </w:r>
          </w:p>
          <w:p>
            <w:pPr>
              <w:autoSpaceDE w:val="0"/>
              <w:autoSpaceDN w:val="0"/>
              <w:spacing w:line="360" w:lineRule="auto"/>
              <w:ind w:firstLine="480" w:firstLineChars="20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</w:p>
        </w:tc>
        <w:tc>
          <w:tcPr>
            <w:tcW w:w="947" w:type="dxa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0</w:t>
            </w:r>
          </w:p>
        </w:tc>
        <w:tc>
          <w:tcPr>
            <w:tcW w:w="6189" w:type="dxa"/>
            <w:vAlign w:val="center"/>
          </w:tcPr>
          <w:p>
            <w:pPr>
              <w:autoSpaceDE w:val="0"/>
              <w:autoSpaceDN w:val="0"/>
              <w:spacing w:line="360" w:lineRule="auto"/>
              <w:ind w:firstLine="480" w:firstLineChars="200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shd w:val="clear" w:color="auto" w:fill="FFFFFF"/>
                <w:lang w:val="zh-CN"/>
              </w:rPr>
              <w:t>满足招标文件要求且投标价格最低的投标报价为评标基准价，其价格分为满分。</w:t>
            </w:r>
          </w:p>
          <w:p>
            <w:pPr>
              <w:autoSpaceDE w:val="0"/>
              <w:autoSpaceDN w:val="0"/>
              <w:spacing w:line="360" w:lineRule="auto"/>
              <w:ind w:firstLine="480" w:firstLineChars="200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shd w:val="clear" w:color="auto" w:fill="FFFFFF"/>
                <w:lang w:val="zh-CN"/>
              </w:rPr>
              <w:t>其他投标人的价格分统一按照下列公式计算：</w:t>
            </w:r>
          </w:p>
          <w:p>
            <w:pPr>
              <w:autoSpaceDE w:val="0"/>
              <w:autoSpaceDN w:val="0"/>
              <w:spacing w:line="360" w:lineRule="auto"/>
              <w:ind w:firstLine="480" w:firstLineChars="200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shd w:val="clear" w:color="auto" w:fill="FFFFFF"/>
                <w:lang w:val="zh-CN"/>
              </w:rPr>
              <w:t>投标报价得分=(评标基准价／投标报价)×价格分值</w:t>
            </w:r>
          </w:p>
          <w:p>
            <w:pPr>
              <w:autoSpaceDE w:val="0"/>
              <w:autoSpaceDN w:val="0"/>
              <w:spacing w:line="360" w:lineRule="auto"/>
              <w:ind w:firstLine="480" w:firstLineChars="200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shd w:val="clear" w:color="auto" w:fill="FFFFFF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shd w:val="clear" w:color="auto" w:fill="FFFFFF"/>
                <w:lang w:val="zh-CN"/>
              </w:rPr>
              <w:t>注：对小型和微型企业产品的价格给予6%的扣除，用扣除后的价格计算投标报价得分，须提供《制造（生产）企业小型、微型企业声明函》、《从业人员声明函》。残疾人福利性单位属于小型、微型企业的，不重复享受政策。</w:t>
            </w:r>
          </w:p>
        </w:tc>
      </w:tr>
    </w:tbl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semiHidden="0" w:name="annotation subject"/>
    <w:lsdException w:unhideWhenUsed="0" w:uiPriority="0" w:semiHidden="0" w:name="Balloon Text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paragraph" w:styleId="2">
    <w:name w:val="Plain Text"/>
    <w:basedOn w:val="1"/>
    <w:uiPriority w:val="0"/>
    <w:rPr>
      <w:rFonts w:ascii="宋体" w:hAnsi="Courier New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 个人版_9.1.0.4793_{F1E327BC-269C-435d-A152-05C5408002CA}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2021-04-14T01:31:00Z</dcterms:created>
  <dc:creator>lenovo</dc:creator>
  <cp:lastModifiedBy>旺利欣</cp:lastModifiedBy>
  <dcterms:modified xsi:type="dcterms:W3CDTF">2021-04-15T01:58:34Z</dcterms:modified>
  <dc:title>评分细则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2052-9.1.0.4793</vt:lpwstr>
  </property>
</Properties>
</file>