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黑体" w:hAnsi="宋体" w:eastAsia="黑体"/>
          <w:b/>
          <w:color w:val="auto"/>
          <w:sz w:val="32"/>
          <w:szCs w:val="32"/>
          <w:highlight w:val="none"/>
          <w:lang w:eastAsia="zh-CN"/>
        </w:rPr>
      </w:pPr>
      <w:bookmarkStart w:id="0" w:name="_Toc385586225"/>
      <w:bookmarkStart w:id="1" w:name="_Toc390063399"/>
      <w:bookmarkStart w:id="2" w:name="_Toc387167800"/>
      <w:bookmarkStart w:id="3" w:name="_Toc385787472"/>
      <w:bookmarkStart w:id="4" w:name="_Toc389216840"/>
      <w:bookmarkStart w:id="5" w:name="_Toc384982824"/>
      <w:bookmarkStart w:id="6" w:name="_Toc386559306"/>
      <w:bookmarkStart w:id="7" w:name="_Toc389718322"/>
      <w:bookmarkStart w:id="8" w:name="_Toc385609766"/>
      <w:bookmarkStart w:id="9" w:name="_Toc390063255"/>
      <w:bookmarkStart w:id="10" w:name="_Toc385584503"/>
      <w:bookmarkStart w:id="11" w:name="_Toc386987368"/>
      <w:bookmarkStart w:id="12" w:name="_Toc389216451"/>
      <w:bookmarkStart w:id="13" w:name="_Toc384982721"/>
      <w:bookmarkStart w:id="14" w:name="_Toc386615084"/>
      <w:bookmarkStart w:id="15" w:name="_Toc385783727"/>
      <w:r>
        <w:rPr>
          <w:rFonts w:hint="eastAsia" w:ascii="黑体" w:hAnsi="宋体" w:eastAsia="黑体"/>
          <w:b/>
          <w:color w:val="auto"/>
          <w:sz w:val="32"/>
          <w:szCs w:val="32"/>
          <w:highlight w:val="none"/>
        </w:rPr>
        <w:t xml:space="preserve">  </w:t>
      </w:r>
      <w:r>
        <w:rPr>
          <w:rFonts w:hint="eastAsia" w:ascii="黑体" w:hAnsi="宋体" w:eastAsia="黑体"/>
          <w:b/>
          <w:color w:val="auto"/>
          <w:sz w:val="32"/>
          <w:szCs w:val="32"/>
          <w:highlight w:val="none"/>
          <w:lang w:eastAsia="zh-CN"/>
        </w:rPr>
        <w:t>国网青海省电力公司201</w:t>
      </w:r>
      <w:r>
        <w:rPr>
          <w:rFonts w:hint="eastAsia" w:ascii="黑体" w:hAnsi="宋体" w:eastAsia="黑体"/>
          <w:b/>
          <w:color w:val="auto"/>
          <w:sz w:val="32"/>
          <w:szCs w:val="32"/>
          <w:highlight w:val="none"/>
          <w:lang w:val="en-US" w:eastAsia="zh-CN"/>
        </w:rPr>
        <w:t>9</w:t>
      </w:r>
      <w:r>
        <w:rPr>
          <w:rFonts w:hint="eastAsia" w:ascii="黑体" w:hAnsi="宋体" w:eastAsia="黑体"/>
          <w:b/>
          <w:color w:val="auto"/>
          <w:sz w:val="32"/>
          <w:szCs w:val="32"/>
          <w:highlight w:val="none"/>
          <w:lang w:eastAsia="zh-CN"/>
        </w:rPr>
        <w:t>年集体企业车辆购置招标采购项目</w:t>
      </w:r>
    </w:p>
    <w:p>
      <w:pPr>
        <w:jc w:val="center"/>
        <w:rPr>
          <w:rFonts w:ascii="黑体" w:hAnsi="宋体" w:eastAsia="黑体"/>
          <w:b/>
          <w:color w:val="auto"/>
          <w:sz w:val="32"/>
          <w:szCs w:val="32"/>
          <w:highlight w:val="none"/>
        </w:rPr>
      </w:pPr>
      <w:r>
        <w:rPr>
          <w:rFonts w:hint="eastAsia" w:ascii="黑体" w:hAnsi="宋体" w:eastAsia="黑体"/>
          <w:b/>
          <w:color w:val="auto"/>
          <w:sz w:val="32"/>
          <w:szCs w:val="32"/>
          <w:highlight w:val="none"/>
          <w:lang w:eastAsia="zh-CN"/>
        </w:rPr>
        <w:t>（采购编号：WZSC19</w:t>
      </w:r>
      <w:r>
        <w:rPr>
          <w:rFonts w:hint="eastAsia" w:ascii="黑体" w:hAnsi="宋体" w:eastAsia="黑体"/>
          <w:b/>
          <w:color w:val="auto"/>
          <w:sz w:val="32"/>
          <w:szCs w:val="32"/>
          <w:highlight w:val="none"/>
          <w:lang w:val="en-US" w:eastAsia="zh-CN"/>
        </w:rPr>
        <w:t>53</w:t>
      </w:r>
      <w:r>
        <w:rPr>
          <w:rFonts w:hint="eastAsia" w:ascii="黑体" w:hAnsi="宋体" w:eastAsia="黑体"/>
          <w:b/>
          <w:color w:val="auto"/>
          <w:sz w:val="32"/>
          <w:szCs w:val="32"/>
          <w:highlight w:val="none"/>
          <w:lang w:eastAsia="zh-CN"/>
        </w:rPr>
        <w:t>）</w:t>
      </w:r>
    </w:p>
    <w:p>
      <w:pPr>
        <w:jc w:val="center"/>
        <w:rPr>
          <w:color w:val="auto"/>
          <w:highlight w:val="none"/>
        </w:rPr>
      </w:pPr>
      <w:r>
        <w:rPr>
          <w:rFonts w:hint="eastAsia" w:ascii="黑体" w:hAnsi="仿宋" w:eastAsia="黑体"/>
          <w:b/>
          <w:color w:val="auto"/>
          <w:kern w:val="0"/>
          <w:sz w:val="48"/>
          <w:szCs w:val="48"/>
          <w:highlight w:val="none"/>
        </w:rPr>
        <w:t>采购公告</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p>
    <w:p>
      <w:pPr>
        <w:tabs>
          <w:tab w:val="left" w:pos="620"/>
        </w:tabs>
        <w:spacing w:line="391" w:lineRule="exact"/>
        <w:rPr>
          <w:b/>
          <w:bCs/>
          <w:color w:val="auto"/>
          <w:highlight w:val="none"/>
        </w:rPr>
      </w:pPr>
      <w:bookmarkStart w:id="16" w:name="_Toc286333061"/>
      <w:r>
        <w:rPr>
          <w:rFonts w:hint="eastAsia"/>
          <w:b/>
          <w:bCs/>
          <w:color w:val="auto"/>
          <w:highlight w:val="none"/>
        </w:rPr>
        <w:t xml:space="preserve">1   </w:t>
      </w:r>
      <w:bookmarkEnd w:id="16"/>
      <w:r>
        <w:rPr>
          <w:rFonts w:hint="eastAsia"/>
          <w:b/>
          <w:bCs/>
          <w:color w:val="auto"/>
          <w:highlight w:val="none"/>
        </w:rPr>
        <w:t>采购条件</w:t>
      </w:r>
    </w:p>
    <w:p>
      <w:pPr>
        <w:keepNext w:val="0"/>
        <w:keepLines w:val="0"/>
        <w:pageBreakBefore w:val="0"/>
        <w:widowControl w:val="0"/>
        <w:tabs>
          <w:tab w:val="left" w:pos="620"/>
        </w:tabs>
        <w:kinsoku/>
        <w:wordWrap/>
        <w:overflowPunct/>
        <w:topLinePunct w:val="0"/>
        <w:autoSpaceDE/>
        <w:autoSpaceDN/>
        <w:bidi w:val="0"/>
        <w:adjustRightInd/>
        <w:snapToGrid/>
        <w:spacing w:line="391" w:lineRule="exact"/>
        <w:ind w:left="0" w:leftChars="0" w:right="0" w:rightChars="0" w:firstLine="420" w:firstLineChars="20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u w:val="single"/>
          <w:lang w:eastAsia="zh-CN"/>
        </w:rPr>
        <w:t>国网青海省电力公司</w:t>
      </w:r>
      <w:r>
        <w:rPr>
          <w:rFonts w:hint="eastAsia" w:ascii="宋体" w:hAnsi="宋体" w:cs="宋体"/>
          <w:color w:val="auto"/>
          <w:sz w:val="21"/>
          <w:szCs w:val="21"/>
          <w:highlight w:val="none"/>
          <w:u w:val="single"/>
          <w:lang w:eastAsia="zh-CN"/>
        </w:rPr>
        <w:t>2019年</w:t>
      </w:r>
      <w:r>
        <w:rPr>
          <w:rFonts w:hint="eastAsia" w:ascii="宋体" w:hAnsi="宋体" w:eastAsia="宋体" w:cs="宋体"/>
          <w:color w:val="auto"/>
          <w:sz w:val="21"/>
          <w:szCs w:val="21"/>
          <w:highlight w:val="none"/>
          <w:u w:val="single"/>
          <w:lang w:eastAsia="zh-CN"/>
        </w:rPr>
        <w:t>集体企业车辆购置招标采购项目</w:t>
      </w:r>
      <w:r>
        <w:rPr>
          <w:rFonts w:hint="eastAsia" w:ascii="宋体" w:hAnsi="宋体" w:eastAsia="宋体" w:cs="宋体"/>
          <w:color w:val="auto"/>
          <w:sz w:val="21"/>
          <w:szCs w:val="21"/>
          <w:highlight w:val="none"/>
          <w:lang w:eastAsia="zh-CN"/>
        </w:rPr>
        <w:t>已由相应政府发展部门同意建设，项目建设单位为</w:t>
      </w:r>
      <w:r>
        <w:rPr>
          <w:rFonts w:hint="eastAsia"/>
          <w:highlight w:val="none"/>
          <w:u w:val="single"/>
        </w:rPr>
        <w:t>国网青海省电力公司集体企业</w:t>
      </w:r>
      <w:r>
        <w:rPr>
          <w:rFonts w:hint="eastAsia" w:ascii="宋体" w:hAnsi="宋体" w:eastAsia="宋体" w:cs="宋体"/>
          <w:color w:val="auto"/>
          <w:sz w:val="21"/>
          <w:szCs w:val="21"/>
          <w:highlight w:val="none"/>
          <w:u w:val="none"/>
        </w:rPr>
        <w:t>（以下简称“采购人”）</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建设资金已落实，项目已具备采购条件，现对该项目的供货及服务进行公开采购。</w:t>
      </w:r>
    </w:p>
    <w:p>
      <w:pPr>
        <w:keepNext w:val="0"/>
        <w:keepLines w:val="0"/>
        <w:pageBreakBefore w:val="0"/>
        <w:widowControl w:val="0"/>
        <w:tabs>
          <w:tab w:val="left" w:pos="620"/>
        </w:tabs>
        <w:kinsoku/>
        <w:wordWrap/>
        <w:overflowPunct/>
        <w:topLinePunct w:val="0"/>
        <w:autoSpaceDE/>
        <w:autoSpaceDN/>
        <w:bidi w:val="0"/>
        <w:adjustRightInd/>
        <w:snapToGrid/>
        <w:spacing w:line="391" w:lineRule="exact"/>
        <w:ind w:left="0" w:leftChars="0" w:right="0" w:rightChars="0" w:firstLine="420" w:firstLineChars="200"/>
        <w:jc w:val="both"/>
        <w:textAlignment w:val="auto"/>
        <w:outlineLvl w:val="9"/>
        <w:rPr>
          <w:color w:val="auto"/>
          <w:highlight w:val="none"/>
        </w:rPr>
      </w:pPr>
      <w:r>
        <w:rPr>
          <w:rFonts w:hint="eastAsia" w:ascii="宋体" w:hAnsi="宋体" w:eastAsia="宋体" w:cs="宋体"/>
          <w:color w:val="auto"/>
          <w:sz w:val="21"/>
          <w:szCs w:val="21"/>
          <w:highlight w:val="none"/>
          <w:lang w:eastAsia="zh-CN"/>
        </w:rPr>
        <w:t xml:space="preserve"> 采购人委托</w:t>
      </w:r>
      <w:r>
        <w:rPr>
          <w:rFonts w:hint="eastAsia" w:ascii="宋体" w:hAnsi="宋体" w:eastAsia="宋体" w:cs="宋体"/>
          <w:color w:val="auto"/>
          <w:sz w:val="21"/>
          <w:szCs w:val="21"/>
          <w:highlight w:val="none"/>
          <w:u w:val="single"/>
          <w:lang w:eastAsia="zh-CN"/>
        </w:rPr>
        <w:t>青海省电力技术开发实业公司</w:t>
      </w:r>
      <w:r>
        <w:rPr>
          <w:rFonts w:hint="eastAsia" w:ascii="宋体" w:hAnsi="宋体" w:eastAsia="宋体" w:cs="宋体"/>
          <w:color w:val="auto"/>
          <w:sz w:val="21"/>
          <w:szCs w:val="21"/>
          <w:highlight w:val="none"/>
          <w:lang w:eastAsia="zh-CN"/>
        </w:rPr>
        <w:t>以下简称“招标代理机构”），采用公开采购方式邀请有兴趣的合格潜在供应商</w:t>
      </w:r>
      <w:r>
        <w:rPr>
          <w:rFonts w:hint="eastAsia" w:ascii="宋体" w:hAnsi="宋体" w:eastAsia="宋体" w:cs="宋体"/>
          <w:color w:val="auto"/>
          <w:sz w:val="21"/>
          <w:szCs w:val="21"/>
          <w:highlight w:val="none"/>
          <w:u w:val="none"/>
          <w:lang w:eastAsia="zh-CN"/>
        </w:rPr>
        <w:t>（以下简称“供应商”）</w:t>
      </w:r>
      <w:r>
        <w:rPr>
          <w:rFonts w:hint="eastAsia" w:ascii="宋体" w:hAnsi="宋体" w:eastAsia="宋体" w:cs="宋体"/>
          <w:color w:val="auto"/>
          <w:sz w:val="21"/>
          <w:szCs w:val="21"/>
          <w:highlight w:val="none"/>
          <w:lang w:eastAsia="zh-CN"/>
        </w:rPr>
        <w:t>就</w:t>
      </w:r>
      <w:r>
        <w:rPr>
          <w:rFonts w:hint="eastAsia" w:ascii="宋体" w:hAnsi="宋体" w:eastAsia="宋体" w:cs="宋体"/>
          <w:color w:val="auto"/>
          <w:sz w:val="21"/>
          <w:szCs w:val="21"/>
          <w:highlight w:val="none"/>
          <w:u w:val="single"/>
          <w:lang w:eastAsia="zh-CN"/>
        </w:rPr>
        <w:t>国网青海省电力公司</w:t>
      </w:r>
      <w:r>
        <w:rPr>
          <w:rFonts w:hint="eastAsia" w:ascii="宋体" w:hAnsi="宋体" w:cs="宋体"/>
          <w:color w:val="auto"/>
          <w:sz w:val="21"/>
          <w:szCs w:val="21"/>
          <w:highlight w:val="none"/>
          <w:u w:val="single"/>
          <w:lang w:eastAsia="zh-CN"/>
        </w:rPr>
        <w:t>2019年</w:t>
      </w:r>
      <w:r>
        <w:rPr>
          <w:rFonts w:hint="eastAsia" w:ascii="宋体" w:hAnsi="宋体" w:eastAsia="宋体" w:cs="宋体"/>
          <w:color w:val="auto"/>
          <w:sz w:val="21"/>
          <w:szCs w:val="21"/>
          <w:highlight w:val="none"/>
          <w:u w:val="single"/>
          <w:lang w:eastAsia="zh-CN"/>
        </w:rPr>
        <w:t>集体企业车辆购置招标采购项目采购</w:t>
      </w:r>
      <w:r>
        <w:rPr>
          <w:rFonts w:hint="eastAsia" w:ascii="宋体" w:hAnsi="宋体" w:eastAsia="宋体" w:cs="宋体"/>
          <w:color w:val="auto"/>
          <w:sz w:val="21"/>
          <w:szCs w:val="21"/>
          <w:highlight w:val="none"/>
          <w:lang w:eastAsia="zh-CN"/>
        </w:rPr>
        <w:t>的供货及服务提交密封的有竞争性的应答文件。</w:t>
      </w:r>
    </w:p>
    <w:p>
      <w:pPr>
        <w:tabs>
          <w:tab w:val="left" w:pos="620"/>
        </w:tabs>
        <w:spacing w:line="391" w:lineRule="exact"/>
        <w:rPr>
          <w:rFonts w:hint="eastAsia"/>
          <w:b/>
          <w:bCs/>
          <w:color w:val="auto"/>
          <w:highlight w:val="none"/>
        </w:rPr>
      </w:pPr>
      <w:r>
        <w:rPr>
          <w:rFonts w:hint="eastAsia"/>
          <w:b/>
          <w:bCs/>
          <w:color w:val="auto"/>
          <w:highlight w:val="none"/>
        </w:rPr>
        <w:t>2   项目概况与采购范围、应答保证金</w:t>
      </w:r>
    </w:p>
    <w:p>
      <w:pPr>
        <w:keepNext w:val="0"/>
        <w:keepLines w:val="0"/>
        <w:pageBreakBefore w:val="0"/>
        <w:widowControl w:val="0"/>
        <w:tabs>
          <w:tab w:val="left" w:pos="620"/>
        </w:tabs>
        <w:kinsoku/>
        <w:wordWrap/>
        <w:overflowPunct/>
        <w:topLinePunct w:val="0"/>
        <w:autoSpaceDE/>
        <w:autoSpaceDN/>
        <w:bidi w:val="0"/>
        <w:adjustRightInd/>
        <w:snapToGrid/>
        <w:spacing w:line="391" w:lineRule="exact"/>
        <w:ind w:right="0" w:rightChars="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2.1项目概况与采购范围</w:t>
      </w:r>
    </w:p>
    <w:p>
      <w:pPr>
        <w:pStyle w:val="157"/>
        <w:spacing w:line="500" w:lineRule="exact"/>
        <w:ind w:firstLine="800" w:firstLineChars="400"/>
        <w:rPr>
          <w:rFonts w:hint="eastAsia"/>
          <w:color w:val="auto"/>
          <w:sz w:val="20"/>
          <w:szCs w:val="22"/>
          <w:highlight w:val="none"/>
        </w:rPr>
      </w:pPr>
      <w:r>
        <w:rPr>
          <w:rFonts w:hint="eastAsia"/>
          <w:color w:val="auto"/>
          <w:sz w:val="20"/>
          <w:highlight w:val="none"/>
        </w:rPr>
        <w:t>项目概况与采购范围按分标编号详见下表，</w:t>
      </w:r>
      <w:r>
        <w:rPr>
          <w:rFonts w:hint="eastAsia"/>
          <w:color w:val="auto"/>
          <w:sz w:val="20"/>
          <w:szCs w:val="22"/>
          <w:highlight w:val="none"/>
        </w:rPr>
        <w:t>具体内容详见“采购需求一览表（附件1）”</w:t>
      </w:r>
    </w:p>
    <w:tbl>
      <w:tblPr>
        <w:tblStyle w:val="72"/>
        <w:tblW w:w="9179" w:type="dxa"/>
        <w:jc w:val="center"/>
        <w:tblInd w:w="-1272" w:type="dxa"/>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365"/>
        <w:gridCol w:w="2072"/>
        <w:gridCol w:w="1362"/>
        <w:gridCol w:w="1438"/>
        <w:gridCol w:w="675"/>
        <w:gridCol w:w="2267"/>
      </w:tblGrid>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258" w:hRule="atLeast"/>
          <w:jc w:val="center"/>
        </w:trPr>
        <w:tc>
          <w:tcPr>
            <w:tcW w:w="1365" w:type="dxa"/>
            <w:vMerge w:val="restart"/>
            <w:tcBorders>
              <w:right w:val="single" w:color="auto" w:sz="2" w:space="0"/>
            </w:tcBorders>
            <w:vAlign w:val="center"/>
          </w:tcPr>
          <w:p>
            <w:pPr>
              <w:adjustRightInd w:val="0"/>
              <w:snapToGrid w:val="0"/>
              <w:jc w:val="center"/>
              <w:rPr>
                <w:rFonts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分标编号</w:t>
            </w:r>
          </w:p>
        </w:tc>
        <w:tc>
          <w:tcPr>
            <w:tcW w:w="2072" w:type="dxa"/>
            <w:vMerge w:val="restart"/>
            <w:tcBorders>
              <w:left w:val="single" w:color="auto" w:sz="2" w:space="0"/>
              <w:right w:val="single" w:color="auto" w:sz="2" w:space="0"/>
            </w:tcBorders>
            <w:vAlign w:val="center"/>
          </w:tcPr>
          <w:p>
            <w:pPr>
              <w:adjustRightInd w:val="0"/>
              <w:snapToGrid w:val="0"/>
              <w:jc w:val="center"/>
              <w:rPr>
                <w:rFonts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货物名称</w:t>
            </w:r>
          </w:p>
        </w:tc>
        <w:tc>
          <w:tcPr>
            <w:tcW w:w="1362" w:type="dxa"/>
            <w:vMerge w:val="restart"/>
            <w:tcBorders>
              <w:left w:val="single" w:color="auto" w:sz="2" w:space="0"/>
              <w:right w:val="single" w:color="auto" w:sz="2" w:space="0"/>
            </w:tcBorders>
            <w:vAlign w:val="center"/>
          </w:tcPr>
          <w:p>
            <w:pPr>
              <w:adjustRightInd w:val="0"/>
              <w:snapToGrid w:val="0"/>
              <w:jc w:val="center"/>
              <w:rPr>
                <w:rFonts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单位</w:t>
            </w:r>
          </w:p>
        </w:tc>
        <w:tc>
          <w:tcPr>
            <w:tcW w:w="1438" w:type="dxa"/>
            <w:vMerge w:val="restart"/>
            <w:tcBorders>
              <w:left w:val="single" w:color="auto" w:sz="2" w:space="0"/>
              <w:right w:val="single" w:color="auto" w:sz="2" w:space="0"/>
            </w:tcBorders>
            <w:vAlign w:val="center"/>
          </w:tcPr>
          <w:p>
            <w:pPr>
              <w:adjustRightInd w:val="0"/>
              <w:snapToGrid w:val="0"/>
              <w:jc w:val="center"/>
              <w:rPr>
                <w:rFonts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数量</w:t>
            </w:r>
          </w:p>
        </w:tc>
        <w:tc>
          <w:tcPr>
            <w:tcW w:w="2942" w:type="dxa"/>
            <w:gridSpan w:val="2"/>
            <w:tcBorders>
              <w:left w:val="single" w:color="auto" w:sz="2" w:space="0"/>
              <w:bottom w:val="single" w:color="auto" w:sz="2" w:space="0"/>
            </w:tcBorders>
            <w:vAlign w:val="center"/>
          </w:tcPr>
          <w:p>
            <w:pPr>
              <w:adjustRightInd w:val="0"/>
              <w:snapToGrid w:val="0"/>
              <w:jc w:val="center"/>
              <w:rPr>
                <w:rFonts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合同包</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211" w:hRule="atLeast"/>
          <w:jc w:val="center"/>
        </w:trPr>
        <w:tc>
          <w:tcPr>
            <w:tcW w:w="1365" w:type="dxa"/>
            <w:vMerge w:val="continue"/>
            <w:tcBorders>
              <w:bottom w:val="single" w:color="auto" w:sz="2" w:space="0"/>
              <w:right w:val="single" w:color="auto" w:sz="2" w:space="0"/>
            </w:tcBorders>
            <w:vAlign w:val="center"/>
          </w:tcPr>
          <w:p>
            <w:pPr>
              <w:adjustRightInd w:val="0"/>
              <w:snapToGrid w:val="0"/>
              <w:jc w:val="center"/>
              <w:rPr>
                <w:rFonts w:asciiTheme="minorEastAsia" w:hAnsiTheme="minorEastAsia" w:eastAsiaTheme="minorEastAsia" w:cstheme="minorEastAsia"/>
                <w:color w:val="auto"/>
                <w:sz w:val="18"/>
                <w:szCs w:val="18"/>
                <w:highlight w:val="none"/>
              </w:rPr>
            </w:pPr>
          </w:p>
        </w:tc>
        <w:tc>
          <w:tcPr>
            <w:tcW w:w="2072" w:type="dxa"/>
            <w:vMerge w:val="continue"/>
            <w:tcBorders>
              <w:left w:val="single" w:color="auto" w:sz="2" w:space="0"/>
              <w:bottom w:val="single" w:color="auto" w:sz="2" w:space="0"/>
              <w:right w:val="single" w:color="auto" w:sz="2" w:space="0"/>
            </w:tcBorders>
            <w:vAlign w:val="bottom"/>
          </w:tcPr>
          <w:p>
            <w:pPr>
              <w:adjustRightInd w:val="0"/>
              <w:snapToGrid w:val="0"/>
              <w:jc w:val="center"/>
              <w:rPr>
                <w:rFonts w:asciiTheme="minorEastAsia" w:hAnsiTheme="minorEastAsia" w:eastAsiaTheme="minorEastAsia" w:cstheme="minorEastAsia"/>
                <w:color w:val="auto"/>
                <w:sz w:val="18"/>
                <w:szCs w:val="18"/>
                <w:highlight w:val="none"/>
              </w:rPr>
            </w:pPr>
          </w:p>
        </w:tc>
        <w:tc>
          <w:tcPr>
            <w:tcW w:w="1362" w:type="dxa"/>
            <w:vMerge w:val="continue"/>
            <w:tcBorders>
              <w:left w:val="single" w:color="auto" w:sz="2" w:space="0"/>
              <w:bottom w:val="single" w:color="auto" w:sz="2" w:space="0"/>
              <w:right w:val="single" w:color="auto" w:sz="2" w:space="0"/>
            </w:tcBorders>
            <w:vAlign w:val="bottom"/>
          </w:tcPr>
          <w:p>
            <w:pPr>
              <w:adjustRightInd w:val="0"/>
              <w:snapToGrid w:val="0"/>
              <w:jc w:val="center"/>
              <w:rPr>
                <w:rFonts w:asciiTheme="minorEastAsia" w:hAnsiTheme="minorEastAsia" w:eastAsiaTheme="minorEastAsia" w:cstheme="minorEastAsia"/>
                <w:color w:val="auto"/>
                <w:sz w:val="18"/>
                <w:szCs w:val="18"/>
                <w:highlight w:val="none"/>
              </w:rPr>
            </w:pPr>
          </w:p>
        </w:tc>
        <w:tc>
          <w:tcPr>
            <w:tcW w:w="1438" w:type="dxa"/>
            <w:vMerge w:val="continue"/>
            <w:tcBorders>
              <w:left w:val="single" w:color="auto" w:sz="2" w:space="0"/>
              <w:bottom w:val="single" w:color="auto" w:sz="2" w:space="0"/>
              <w:right w:val="single" w:color="auto" w:sz="2" w:space="0"/>
            </w:tcBorders>
            <w:vAlign w:val="bottom"/>
          </w:tcPr>
          <w:p>
            <w:pPr>
              <w:adjustRightInd w:val="0"/>
              <w:snapToGrid w:val="0"/>
              <w:jc w:val="center"/>
              <w:rPr>
                <w:rFonts w:asciiTheme="minorEastAsia" w:hAnsiTheme="minorEastAsia" w:eastAsiaTheme="minorEastAsia" w:cstheme="minorEastAsia"/>
                <w:color w:val="auto"/>
                <w:sz w:val="18"/>
                <w:szCs w:val="18"/>
                <w:highlight w:val="none"/>
              </w:rPr>
            </w:pPr>
          </w:p>
        </w:tc>
        <w:tc>
          <w:tcPr>
            <w:tcW w:w="675" w:type="dxa"/>
            <w:tcBorders>
              <w:left w:val="single" w:color="auto" w:sz="2" w:space="0"/>
              <w:bottom w:val="single" w:color="auto" w:sz="2" w:space="0"/>
              <w:right w:val="single" w:color="auto" w:sz="2" w:space="0"/>
            </w:tcBorders>
            <w:vAlign w:val="bottom"/>
          </w:tcPr>
          <w:p>
            <w:pPr>
              <w:adjustRightInd w:val="0"/>
              <w:snapToGrid w:val="0"/>
              <w:jc w:val="center"/>
              <w:rPr>
                <w:rFonts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个数</w:t>
            </w:r>
          </w:p>
        </w:tc>
        <w:tc>
          <w:tcPr>
            <w:tcW w:w="2267" w:type="dxa"/>
            <w:tcBorders>
              <w:left w:val="single" w:color="auto" w:sz="2" w:space="0"/>
              <w:bottom w:val="single" w:color="auto" w:sz="2" w:space="0"/>
            </w:tcBorders>
            <w:vAlign w:val="center"/>
          </w:tcPr>
          <w:p>
            <w:pPr>
              <w:adjustRightInd w:val="0"/>
              <w:snapToGrid w:val="0"/>
              <w:jc w:val="center"/>
              <w:rPr>
                <w:rFonts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包号</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211" w:hRule="atLeast"/>
          <w:jc w:val="center"/>
        </w:trPr>
        <w:tc>
          <w:tcPr>
            <w:tcW w:w="1365" w:type="dxa"/>
            <w:tcBorders>
              <w:right w:val="single" w:color="auto" w:sz="2" w:space="0"/>
            </w:tcBorders>
            <w:vAlign w:val="center"/>
          </w:tcPr>
          <w:p>
            <w:pPr>
              <w:adjustRightInd w:val="0"/>
              <w:snapToGrid w:val="0"/>
              <w:jc w:val="center"/>
              <w:rPr>
                <w:rFonts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001</w:t>
            </w:r>
          </w:p>
        </w:tc>
        <w:tc>
          <w:tcPr>
            <w:tcW w:w="2072" w:type="dxa"/>
            <w:tcBorders>
              <w:left w:val="single" w:color="auto" w:sz="2" w:space="0"/>
              <w:right w:val="single" w:color="auto" w:sz="2" w:space="0"/>
            </w:tcBorders>
            <w:vAlign w:val="center"/>
          </w:tcPr>
          <w:p>
            <w:pPr>
              <w:keepNext w:val="0"/>
              <w:keepLines w:val="0"/>
              <w:widowControl/>
              <w:suppressLineNumbers w:val="0"/>
              <w:jc w:val="center"/>
              <w:textAlignment w:val="center"/>
              <w:rPr>
                <w:rFonts w:hint="eastAsia"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车辆</w:t>
            </w:r>
          </w:p>
        </w:tc>
        <w:tc>
          <w:tcPr>
            <w:tcW w:w="1362" w:type="dxa"/>
            <w:tcBorders>
              <w:left w:val="single" w:color="auto" w:sz="2" w:space="0"/>
              <w:right w:val="single" w:color="auto" w:sz="2" w:space="0"/>
            </w:tcBorders>
            <w:vAlign w:val="center"/>
          </w:tcPr>
          <w:p>
            <w:pPr>
              <w:adjustRightInd w:val="0"/>
              <w:snapToGrid w:val="0"/>
              <w:jc w:val="center"/>
              <w:rPr>
                <w:rFonts w:hint="eastAsia" w:asciiTheme="minorEastAsia" w:hAnsiTheme="minorEastAsia" w:eastAsiaTheme="minorEastAsia" w:cstheme="minorEastAsia"/>
                <w:color w:val="auto"/>
                <w:sz w:val="18"/>
                <w:szCs w:val="18"/>
                <w:highlight w:val="none"/>
                <w:lang w:eastAsia="zh-CN"/>
              </w:rPr>
            </w:pPr>
            <w:r>
              <w:rPr>
                <w:rFonts w:hint="eastAsia" w:asciiTheme="minorEastAsia" w:hAnsiTheme="minorEastAsia" w:eastAsiaTheme="minorEastAsia" w:cstheme="minorEastAsia"/>
                <w:color w:val="auto"/>
                <w:sz w:val="18"/>
                <w:szCs w:val="18"/>
                <w:highlight w:val="none"/>
                <w:lang w:val="en-US" w:eastAsia="zh-CN"/>
              </w:rPr>
              <w:t>辆</w:t>
            </w:r>
          </w:p>
        </w:tc>
        <w:tc>
          <w:tcPr>
            <w:tcW w:w="1438" w:type="dxa"/>
            <w:tcBorders>
              <w:left w:val="single" w:color="auto" w:sz="2" w:space="0"/>
              <w:right w:val="single" w:color="auto" w:sz="2" w:space="0"/>
            </w:tcBorders>
            <w:vAlign w:val="center"/>
          </w:tcPr>
          <w:p>
            <w:pPr>
              <w:adjustRightInd w:val="0"/>
              <w:snapToGrid w:val="0"/>
              <w:jc w:val="center"/>
              <w:rPr>
                <w:rFonts w:hint="eastAsia" w:asciiTheme="minorEastAsia" w:hAnsiTheme="minorEastAsia" w:eastAsiaTheme="minorEastAsia" w:cstheme="minorEastAsia"/>
                <w:color w:val="auto"/>
                <w:sz w:val="18"/>
                <w:szCs w:val="18"/>
                <w:highlight w:val="none"/>
                <w:lang w:val="en-US" w:eastAsia="zh-CN"/>
              </w:rPr>
            </w:pPr>
            <w:r>
              <w:rPr>
                <w:rFonts w:hint="eastAsia" w:asciiTheme="minorEastAsia" w:hAnsiTheme="minorEastAsia" w:eastAsiaTheme="minorEastAsia" w:cstheme="minorEastAsia"/>
                <w:color w:val="auto"/>
                <w:sz w:val="18"/>
                <w:szCs w:val="18"/>
                <w:highlight w:val="none"/>
                <w:lang w:val="en-US" w:eastAsia="zh-CN"/>
              </w:rPr>
              <w:t>2</w:t>
            </w:r>
          </w:p>
        </w:tc>
        <w:tc>
          <w:tcPr>
            <w:tcW w:w="675" w:type="dxa"/>
            <w:tcBorders>
              <w:left w:val="single" w:color="auto" w:sz="2" w:space="0"/>
              <w:right w:val="single" w:color="auto" w:sz="2" w:space="0"/>
            </w:tcBorders>
            <w:vAlign w:val="center"/>
          </w:tcPr>
          <w:p>
            <w:pPr>
              <w:adjustRightInd w:val="0"/>
              <w:snapToGrid w:val="0"/>
              <w:jc w:val="center"/>
              <w:rPr>
                <w:rFonts w:hint="eastAsia" w:asciiTheme="minorEastAsia" w:hAnsiTheme="minorEastAsia" w:eastAsiaTheme="minorEastAsia" w:cstheme="minorEastAsia"/>
                <w:color w:val="auto"/>
                <w:sz w:val="18"/>
                <w:szCs w:val="18"/>
                <w:highlight w:val="none"/>
                <w:lang w:eastAsia="zh-CN"/>
              </w:rPr>
            </w:pPr>
            <w:r>
              <w:rPr>
                <w:rFonts w:hint="eastAsia" w:asciiTheme="minorEastAsia" w:hAnsiTheme="minorEastAsia" w:eastAsiaTheme="minorEastAsia" w:cstheme="minorEastAsia"/>
                <w:color w:val="auto"/>
                <w:sz w:val="18"/>
                <w:szCs w:val="18"/>
                <w:highlight w:val="none"/>
                <w:lang w:val="en-US" w:eastAsia="zh-CN"/>
              </w:rPr>
              <w:t>2</w:t>
            </w:r>
          </w:p>
        </w:tc>
        <w:tc>
          <w:tcPr>
            <w:tcW w:w="2267" w:type="dxa"/>
            <w:tcBorders>
              <w:left w:val="single" w:color="auto" w:sz="2" w:space="0"/>
            </w:tcBorders>
            <w:vAlign w:val="center"/>
          </w:tcPr>
          <w:p>
            <w:pPr>
              <w:adjustRightInd w:val="0"/>
              <w:snapToGrid w:val="0"/>
              <w:jc w:val="center"/>
              <w:rPr>
                <w:rFonts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 w:val="18"/>
                <w:szCs w:val="18"/>
                <w:highlight w:val="none"/>
              </w:rPr>
              <w:t>包1</w:t>
            </w:r>
            <w:r>
              <w:rPr>
                <w:rFonts w:hint="eastAsia" w:ascii="微软雅黑" w:hAnsi="微软雅黑" w:eastAsia="微软雅黑" w:cs="微软雅黑"/>
                <w:color w:val="auto"/>
                <w:sz w:val="18"/>
                <w:szCs w:val="18"/>
                <w:highlight w:val="none"/>
                <w:lang w:val="en-US" w:eastAsia="zh-CN"/>
              </w:rPr>
              <w:t>-</w:t>
            </w:r>
            <w:r>
              <w:rPr>
                <w:rFonts w:hint="eastAsia" w:asciiTheme="minorEastAsia" w:hAnsiTheme="minorEastAsia" w:eastAsiaTheme="minorEastAsia" w:cstheme="minorEastAsia"/>
                <w:color w:val="auto"/>
                <w:sz w:val="18"/>
                <w:szCs w:val="18"/>
                <w:highlight w:val="none"/>
              </w:rPr>
              <w:t>包</w:t>
            </w:r>
            <w:r>
              <w:rPr>
                <w:rFonts w:hint="eastAsia" w:asciiTheme="minorEastAsia" w:hAnsiTheme="minorEastAsia" w:eastAsiaTheme="minorEastAsia" w:cstheme="minorEastAsia"/>
                <w:color w:val="auto"/>
                <w:sz w:val="18"/>
                <w:szCs w:val="18"/>
                <w:highlight w:val="none"/>
                <w:lang w:val="en-US" w:eastAsia="zh-CN"/>
              </w:rPr>
              <w:t>2</w:t>
            </w:r>
          </w:p>
        </w:tc>
      </w:tr>
    </w:tbl>
    <w:p>
      <w:pPr>
        <w:keepNext w:val="0"/>
        <w:keepLines w:val="0"/>
        <w:pageBreakBefore w:val="0"/>
        <w:widowControl w:val="0"/>
        <w:tabs>
          <w:tab w:val="left" w:pos="620"/>
        </w:tabs>
        <w:kinsoku/>
        <w:wordWrap/>
        <w:overflowPunct/>
        <w:topLinePunct w:val="0"/>
        <w:autoSpaceDE/>
        <w:autoSpaceDN/>
        <w:bidi w:val="0"/>
        <w:adjustRightInd/>
        <w:snapToGrid/>
        <w:spacing w:line="391" w:lineRule="exact"/>
        <w:ind w:right="0" w:rightChars="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 </w:t>
      </w:r>
      <w:bookmarkStart w:id="17" w:name="_Toc283728219"/>
      <w:bookmarkStart w:id="18" w:name="_Toc304211777"/>
      <w:r>
        <w:rPr>
          <w:rFonts w:hint="eastAsia" w:ascii="宋体" w:hAnsi="宋体" w:eastAsia="宋体" w:cs="宋体"/>
          <w:color w:val="auto"/>
          <w:sz w:val="21"/>
          <w:szCs w:val="21"/>
          <w:highlight w:val="none"/>
          <w:lang w:eastAsia="zh-CN"/>
        </w:rPr>
        <w:t>2.2应答保证金</w:t>
      </w:r>
    </w:p>
    <w:p>
      <w:pPr>
        <w:keepNext w:val="0"/>
        <w:keepLines w:val="0"/>
        <w:pageBreakBefore w:val="0"/>
        <w:widowControl w:val="0"/>
        <w:tabs>
          <w:tab w:val="left" w:pos="620"/>
        </w:tabs>
        <w:kinsoku/>
        <w:wordWrap/>
        <w:overflowPunct/>
        <w:topLinePunct w:val="0"/>
        <w:autoSpaceDE/>
        <w:autoSpaceDN/>
        <w:bidi w:val="0"/>
        <w:adjustRightInd/>
        <w:snapToGrid/>
        <w:spacing w:line="391" w:lineRule="exact"/>
        <w:ind w:left="0" w:leftChars="0" w:right="0" w:rightChars="0" w:firstLine="420" w:firstLineChars="20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供应商提交应答保证金时，应以单位名义，电汇或网银转账方式到达指定帐户，且须从单位的基本账户汇出（不接受银行汇票、商业汇票、转账支票等支付方式），不接受个人名义转账或现金缴款。同时，需在汇款备注栏明确注明购买批次、标段号。</w:t>
      </w:r>
    </w:p>
    <w:p>
      <w:pPr>
        <w:keepNext w:val="0"/>
        <w:keepLines w:val="0"/>
        <w:pageBreakBefore w:val="0"/>
        <w:widowControl w:val="0"/>
        <w:tabs>
          <w:tab w:val="left" w:pos="620"/>
        </w:tabs>
        <w:kinsoku/>
        <w:wordWrap/>
        <w:overflowPunct/>
        <w:topLinePunct w:val="0"/>
        <w:autoSpaceDE/>
        <w:autoSpaceDN/>
        <w:bidi w:val="0"/>
        <w:adjustRightInd/>
        <w:snapToGrid/>
        <w:spacing w:line="391" w:lineRule="exact"/>
        <w:ind w:left="0" w:leftChars="0" w:right="0" w:rightChars="0" w:firstLine="420" w:firstLineChars="20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户    名：青海省电力技术开发实业公司</w:t>
      </w:r>
    </w:p>
    <w:p>
      <w:pPr>
        <w:keepNext w:val="0"/>
        <w:keepLines w:val="0"/>
        <w:pageBreakBefore w:val="0"/>
        <w:widowControl w:val="0"/>
        <w:tabs>
          <w:tab w:val="left" w:pos="620"/>
        </w:tabs>
        <w:kinsoku/>
        <w:wordWrap/>
        <w:overflowPunct/>
        <w:topLinePunct w:val="0"/>
        <w:autoSpaceDE/>
        <w:autoSpaceDN/>
        <w:bidi w:val="0"/>
        <w:adjustRightInd/>
        <w:snapToGrid/>
        <w:spacing w:line="391" w:lineRule="exact"/>
        <w:ind w:left="0" w:leftChars="0" w:right="0" w:rightChars="0" w:firstLine="420" w:firstLineChars="20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帐    号：   2806026809100003950</w:t>
      </w:r>
    </w:p>
    <w:p>
      <w:pPr>
        <w:keepNext w:val="0"/>
        <w:keepLines w:val="0"/>
        <w:pageBreakBefore w:val="0"/>
        <w:widowControl w:val="0"/>
        <w:tabs>
          <w:tab w:val="left" w:pos="620"/>
        </w:tabs>
        <w:kinsoku/>
        <w:wordWrap/>
        <w:overflowPunct/>
        <w:topLinePunct w:val="0"/>
        <w:autoSpaceDE/>
        <w:autoSpaceDN/>
        <w:bidi w:val="0"/>
        <w:adjustRightInd/>
        <w:snapToGrid/>
        <w:spacing w:line="391" w:lineRule="exact"/>
        <w:ind w:left="0" w:leftChars="0" w:right="0" w:rightChars="0" w:firstLine="420" w:firstLineChars="20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开 户 行：中国工商银行股份有限公司西宁中心广场支行</w:t>
      </w:r>
    </w:p>
    <w:p>
      <w:pPr>
        <w:keepNext w:val="0"/>
        <w:keepLines w:val="0"/>
        <w:pageBreakBefore w:val="0"/>
        <w:widowControl w:val="0"/>
        <w:tabs>
          <w:tab w:val="left" w:pos="620"/>
        </w:tabs>
        <w:kinsoku/>
        <w:wordWrap/>
        <w:overflowPunct/>
        <w:topLinePunct w:val="0"/>
        <w:autoSpaceDE/>
        <w:autoSpaceDN/>
        <w:bidi w:val="0"/>
        <w:adjustRightInd/>
        <w:snapToGrid/>
        <w:spacing w:line="391" w:lineRule="exact"/>
        <w:ind w:left="0" w:leftChars="0" w:right="0" w:rightChars="0" w:firstLine="420" w:firstLineChars="200"/>
        <w:jc w:val="center"/>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供应商按下表规定的数量提交应答保证金：</w:t>
      </w:r>
    </w:p>
    <w:tbl>
      <w:tblPr>
        <w:tblStyle w:val="72"/>
        <w:tblW w:w="6877" w:type="dxa"/>
        <w:jc w:val="center"/>
        <w:tblInd w:w="0" w:type="dxa"/>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4288"/>
        <w:gridCol w:w="2589"/>
      </w:tblGrid>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blHeader/>
          <w:jc w:val="center"/>
        </w:trPr>
        <w:tc>
          <w:tcPr>
            <w:tcW w:w="4288" w:type="dxa"/>
            <w:shd w:val="clear" w:color="auto" w:fill="auto"/>
            <w:vAlign w:val="center"/>
          </w:tcPr>
          <w:p>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每包的应答价格</w:t>
            </w:r>
          </w:p>
        </w:tc>
        <w:tc>
          <w:tcPr>
            <w:tcW w:w="2589" w:type="dxa"/>
            <w:shd w:val="clear" w:color="auto" w:fill="auto"/>
            <w:vAlign w:val="center"/>
          </w:tcPr>
          <w:p>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每包的应答保证金（元）</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288" w:type="dxa"/>
            <w:shd w:val="clear" w:color="auto" w:fill="auto"/>
            <w:vAlign w:val="center"/>
          </w:tcPr>
          <w:p>
            <w:pPr>
              <w:widowControl/>
              <w:ind w:firstLine="235" w:firstLineChars="112"/>
              <w:jc w:val="left"/>
              <w:rPr>
                <w:rFonts w:hint="eastAsia" w:ascii="宋体" w:hAnsi="宋体" w:eastAsia="宋体" w:cs="宋体"/>
                <w:color w:val="auto"/>
                <w:kern w:val="0"/>
                <w:sz w:val="21"/>
                <w:szCs w:val="21"/>
                <w:highlight w:val="none"/>
              </w:rPr>
            </w:pPr>
            <w:r>
              <w:rPr>
                <w:rFonts w:hint="eastAsia" w:ascii="宋体" w:hAnsi="宋体" w:cs="宋体"/>
                <w:color w:val="auto"/>
                <w:kern w:val="0"/>
                <w:sz w:val="21"/>
                <w:szCs w:val="21"/>
                <w:highlight w:val="none"/>
                <w:lang w:val="en-US" w:eastAsia="zh-CN"/>
              </w:rPr>
              <w:t>5</w:t>
            </w:r>
            <w:r>
              <w:rPr>
                <w:rFonts w:hint="eastAsia" w:ascii="宋体" w:hAnsi="宋体" w:eastAsia="宋体" w:cs="宋体"/>
                <w:color w:val="auto"/>
                <w:kern w:val="0"/>
                <w:sz w:val="21"/>
                <w:szCs w:val="21"/>
                <w:highlight w:val="none"/>
              </w:rPr>
              <w:t>0万以下（不含</w:t>
            </w:r>
            <w:r>
              <w:rPr>
                <w:rFonts w:hint="eastAsia" w:ascii="宋体" w:hAnsi="宋体" w:cs="宋体"/>
                <w:color w:val="auto"/>
                <w:kern w:val="0"/>
                <w:sz w:val="21"/>
                <w:szCs w:val="21"/>
                <w:highlight w:val="none"/>
                <w:lang w:val="en-US" w:eastAsia="zh-CN"/>
              </w:rPr>
              <w:t>5</w:t>
            </w:r>
            <w:r>
              <w:rPr>
                <w:rFonts w:hint="eastAsia" w:ascii="宋体" w:hAnsi="宋体" w:eastAsia="宋体" w:cs="宋体"/>
                <w:color w:val="auto"/>
                <w:kern w:val="0"/>
                <w:sz w:val="21"/>
                <w:szCs w:val="21"/>
                <w:highlight w:val="none"/>
              </w:rPr>
              <w:t>0万）</w:t>
            </w:r>
          </w:p>
        </w:tc>
        <w:tc>
          <w:tcPr>
            <w:tcW w:w="2589" w:type="dxa"/>
            <w:shd w:val="clear" w:color="auto" w:fill="auto"/>
            <w:vAlign w:val="center"/>
          </w:tcPr>
          <w:p>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可免于提交应答保证金</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288" w:type="dxa"/>
            <w:shd w:val="clear" w:color="auto" w:fill="auto"/>
            <w:vAlign w:val="center"/>
          </w:tcPr>
          <w:p>
            <w:pPr>
              <w:widowControl/>
              <w:ind w:firstLine="235" w:firstLineChars="112"/>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50万－100万（含50万）</w:t>
            </w:r>
          </w:p>
        </w:tc>
        <w:tc>
          <w:tcPr>
            <w:tcW w:w="2589" w:type="dxa"/>
            <w:shd w:val="clear" w:color="auto" w:fill="auto"/>
            <w:vAlign w:val="center"/>
          </w:tcPr>
          <w:p>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10,000</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288" w:type="dxa"/>
            <w:shd w:val="clear" w:color="auto" w:fill="auto"/>
            <w:vAlign w:val="center"/>
          </w:tcPr>
          <w:p>
            <w:pPr>
              <w:widowControl/>
              <w:ind w:firstLine="235" w:firstLineChars="112"/>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100万－200万（含100万）</w:t>
            </w:r>
          </w:p>
        </w:tc>
        <w:tc>
          <w:tcPr>
            <w:tcW w:w="2589" w:type="dxa"/>
            <w:shd w:val="clear" w:color="auto" w:fill="auto"/>
            <w:vAlign w:val="center"/>
          </w:tcPr>
          <w:p>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20,000</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288" w:type="dxa"/>
            <w:shd w:val="clear" w:color="auto" w:fill="auto"/>
            <w:vAlign w:val="center"/>
          </w:tcPr>
          <w:p>
            <w:pPr>
              <w:widowControl/>
              <w:ind w:firstLine="235" w:firstLineChars="112"/>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200万－300万（含200万）</w:t>
            </w:r>
          </w:p>
        </w:tc>
        <w:tc>
          <w:tcPr>
            <w:tcW w:w="2589" w:type="dxa"/>
            <w:shd w:val="clear" w:color="auto" w:fill="auto"/>
            <w:vAlign w:val="center"/>
          </w:tcPr>
          <w:p>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40,000</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288" w:type="dxa"/>
            <w:shd w:val="clear" w:color="auto" w:fill="auto"/>
            <w:vAlign w:val="center"/>
          </w:tcPr>
          <w:p>
            <w:pPr>
              <w:widowControl/>
              <w:ind w:firstLine="235" w:firstLineChars="112"/>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300万－500万（含300万）</w:t>
            </w:r>
          </w:p>
        </w:tc>
        <w:tc>
          <w:tcPr>
            <w:tcW w:w="2589" w:type="dxa"/>
            <w:shd w:val="clear" w:color="auto" w:fill="auto"/>
            <w:vAlign w:val="center"/>
          </w:tcPr>
          <w:p>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60,000</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288" w:type="dxa"/>
            <w:shd w:val="clear" w:color="auto" w:fill="auto"/>
            <w:vAlign w:val="center"/>
          </w:tcPr>
          <w:p>
            <w:pPr>
              <w:widowControl/>
              <w:ind w:firstLine="235" w:firstLineChars="112"/>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500万－700万（含500万）</w:t>
            </w:r>
          </w:p>
        </w:tc>
        <w:tc>
          <w:tcPr>
            <w:tcW w:w="2589" w:type="dxa"/>
            <w:shd w:val="clear" w:color="auto" w:fill="auto"/>
            <w:vAlign w:val="center"/>
          </w:tcPr>
          <w:p>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100,000</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288" w:type="dxa"/>
            <w:shd w:val="clear" w:color="auto" w:fill="auto"/>
            <w:vAlign w:val="center"/>
          </w:tcPr>
          <w:p>
            <w:pPr>
              <w:widowControl/>
              <w:ind w:firstLine="235" w:firstLineChars="112"/>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700万－1000万（含700万）</w:t>
            </w:r>
          </w:p>
        </w:tc>
        <w:tc>
          <w:tcPr>
            <w:tcW w:w="2589" w:type="dxa"/>
            <w:shd w:val="clear" w:color="auto" w:fill="auto"/>
            <w:vAlign w:val="center"/>
          </w:tcPr>
          <w:p>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140,000</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288" w:type="dxa"/>
            <w:shd w:val="clear" w:color="auto" w:fill="auto"/>
            <w:vAlign w:val="center"/>
          </w:tcPr>
          <w:p>
            <w:pPr>
              <w:widowControl/>
              <w:ind w:firstLine="235" w:firstLineChars="112"/>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1000万－2000万（含1000万）</w:t>
            </w:r>
          </w:p>
        </w:tc>
        <w:tc>
          <w:tcPr>
            <w:tcW w:w="2589" w:type="dxa"/>
            <w:shd w:val="clear" w:color="auto" w:fill="auto"/>
            <w:vAlign w:val="center"/>
          </w:tcPr>
          <w:p>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200,000</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288" w:type="dxa"/>
            <w:shd w:val="clear" w:color="auto" w:fill="auto"/>
            <w:vAlign w:val="center"/>
          </w:tcPr>
          <w:p>
            <w:pPr>
              <w:widowControl/>
              <w:ind w:firstLine="235" w:firstLineChars="112"/>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2000万－3000万（含2000万）</w:t>
            </w:r>
          </w:p>
        </w:tc>
        <w:tc>
          <w:tcPr>
            <w:tcW w:w="2589" w:type="dxa"/>
            <w:shd w:val="clear" w:color="auto" w:fill="auto"/>
            <w:vAlign w:val="center"/>
          </w:tcPr>
          <w:p>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400,000</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288" w:type="dxa"/>
            <w:shd w:val="clear" w:color="auto" w:fill="auto"/>
            <w:vAlign w:val="center"/>
          </w:tcPr>
          <w:p>
            <w:pPr>
              <w:widowControl/>
              <w:ind w:firstLine="235" w:firstLineChars="112"/>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3000万－4000万（含3000万）</w:t>
            </w:r>
          </w:p>
        </w:tc>
        <w:tc>
          <w:tcPr>
            <w:tcW w:w="2589" w:type="dxa"/>
            <w:shd w:val="clear" w:color="auto" w:fill="auto"/>
            <w:vAlign w:val="center"/>
          </w:tcPr>
          <w:p>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600,000</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288" w:type="dxa"/>
            <w:shd w:val="clear" w:color="auto" w:fill="auto"/>
            <w:vAlign w:val="center"/>
          </w:tcPr>
          <w:p>
            <w:pPr>
              <w:widowControl/>
              <w:ind w:firstLine="235" w:firstLineChars="112"/>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4000万-6000万（含4000万）</w:t>
            </w:r>
          </w:p>
        </w:tc>
        <w:tc>
          <w:tcPr>
            <w:tcW w:w="2589" w:type="dxa"/>
            <w:shd w:val="clear" w:color="auto" w:fill="auto"/>
            <w:vAlign w:val="center"/>
          </w:tcPr>
          <w:p>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800,000</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288" w:type="dxa"/>
            <w:shd w:val="clear" w:color="auto" w:fill="auto"/>
            <w:vAlign w:val="center"/>
          </w:tcPr>
          <w:p>
            <w:pPr>
              <w:widowControl/>
              <w:ind w:firstLine="235" w:firstLineChars="112"/>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6000万及以上（含6000万）</w:t>
            </w:r>
          </w:p>
        </w:tc>
        <w:tc>
          <w:tcPr>
            <w:tcW w:w="2589" w:type="dxa"/>
            <w:shd w:val="clear" w:color="auto" w:fill="auto"/>
            <w:vAlign w:val="center"/>
          </w:tcPr>
          <w:p>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800,000</w:t>
            </w:r>
          </w:p>
        </w:tc>
      </w:tr>
    </w:tbl>
    <w:p>
      <w:pPr>
        <w:keepNext w:val="0"/>
        <w:keepLines w:val="0"/>
        <w:pageBreakBefore w:val="0"/>
        <w:widowControl w:val="0"/>
        <w:tabs>
          <w:tab w:val="left" w:pos="620"/>
        </w:tabs>
        <w:kinsoku/>
        <w:wordWrap/>
        <w:overflowPunct/>
        <w:topLinePunct w:val="0"/>
        <w:autoSpaceDE/>
        <w:autoSpaceDN/>
        <w:bidi w:val="0"/>
        <w:adjustRightInd/>
        <w:snapToGrid/>
        <w:spacing w:line="391" w:lineRule="exact"/>
        <w:ind w:left="0" w:leftChars="0" w:right="0" w:rightChars="0" w:firstLine="420" w:firstLineChars="20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注：所有应答标包开封文件中都必须附有应答保证金汇出凭据复印件，同批次投多个包其中只缴1个投标金额最大包的保证金。</w:t>
      </w:r>
    </w:p>
    <w:p>
      <w:pPr>
        <w:keepNext w:val="0"/>
        <w:keepLines w:val="0"/>
        <w:pageBreakBefore w:val="0"/>
        <w:widowControl w:val="0"/>
        <w:tabs>
          <w:tab w:val="left" w:pos="620"/>
        </w:tabs>
        <w:kinsoku/>
        <w:wordWrap/>
        <w:overflowPunct/>
        <w:topLinePunct w:val="0"/>
        <w:autoSpaceDE/>
        <w:autoSpaceDN/>
        <w:bidi w:val="0"/>
        <w:adjustRightInd/>
        <w:snapToGrid/>
        <w:spacing w:line="391" w:lineRule="exact"/>
        <w:ind w:right="0" w:rightChars="0"/>
        <w:jc w:val="both"/>
        <w:textAlignment w:val="auto"/>
        <w:outlineLvl w:val="9"/>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3   供应商资格要求</w:t>
      </w:r>
      <w:bookmarkEnd w:id="17"/>
      <w:bookmarkEnd w:id="18"/>
    </w:p>
    <w:p>
      <w:pPr>
        <w:keepNext w:val="0"/>
        <w:keepLines w:val="0"/>
        <w:pageBreakBefore w:val="0"/>
        <w:widowControl w:val="0"/>
        <w:tabs>
          <w:tab w:val="left" w:pos="620"/>
        </w:tabs>
        <w:kinsoku/>
        <w:wordWrap/>
        <w:overflowPunct/>
        <w:topLinePunct w:val="0"/>
        <w:autoSpaceDE/>
        <w:autoSpaceDN/>
        <w:bidi w:val="0"/>
        <w:adjustRightInd/>
        <w:snapToGrid/>
        <w:spacing w:line="391" w:lineRule="exact"/>
        <w:ind w:left="0" w:leftChars="0" w:right="0" w:rightChars="0" w:firstLine="420" w:firstLineChars="20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本次采购要求供应商须为中华人民共和国境内依法注册的法人或其他组织，须具备相应货物的制造能力，并在人员、设备、资金等方面具有保障如期交货等承担采购项目的能力。除特别注明外，这些资格、资质、业绩均系供应商本企业所拥有的权利权益。</w:t>
      </w:r>
    </w:p>
    <w:p>
      <w:pPr>
        <w:keepNext w:val="0"/>
        <w:keepLines w:val="0"/>
        <w:pageBreakBefore w:val="0"/>
        <w:widowControl w:val="0"/>
        <w:tabs>
          <w:tab w:val="left" w:pos="620"/>
        </w:tabs>
        <w:kinsoku/>
        <w:wordWrap/>
        <w:overflowPunct/>
        <w:topLinePunct w:val="0"/>
        <w:autoSpaceDE/>
        <w:autoSpaceDN/>
        <w:bidi w:val="0"/>
        <w:adjustRightInd/>
        <w:snapToGrid/>
        <w:spacing w:line="391" w:lineRule="exact"/>
        <w:ind w:left="0" w:leftChars="0" w:right="0" w:rightChars="0" w:firstLine="420" w:firstLineChars="20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代理商应答时，对供应商的资质要求包含对制造商的资质要求，对供应商的业绩要求包含对应答设备的业绩要求，其应答产品制造商须具备相应货物的制造能力，并在人员、设备、资金等方面具有保障如期交货等承担采购项目的能力。</w:t>
      </w:r>
    </w:p>
    <w:p>
      <w:pPr>
        <w:keepNext w:val="0"/>
        <w:keepLines w:val="0"/>
        <w:pageBreakBefore w:val="0"/>
        <w:widowControl w:val="0"/>
        <w:tabs>
          <w:tab w:val="left" w:pos="620"/>
        </w:tabs>
        <w:kinsoku/>
        <w:wordWrap/>
        <w:overflowPunct/>
        <w:topLinePunct w:val="0"/>
        <w:autoSpaceDE/>
        <w:autoSpaceDN/>
        <w:bidi w:val="0"/>
        <w:adjustRightInd/>
        <w:snapToGrid/>
        <w:spacing w:line="391" w:lineRule="exact"/>
        <w:ind w:right="0" w:rightChars="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3.1 通用资格要求：</w:t>
      </w:r>
    </w:p>
    <w:p>
      <w:pPr>
        <w:keepNext w:val="0"/>
        <w:keepLines w:val="0"/>
        <w:pageBreakBefore w:val="0"/>
        <w:widowControl w:val="0"/>
        <w:tabs>
          <w:tab w:val="left" w:pos="620"/>
        </w:tabs>
        <w:kinsoku/>
        <w:wordWrap/>
        <w:overflowPunct/>
        <w:topLinePunct w:val="0"/>
        <w:autoSpaceDE/>
        <w:autoSpaceDN/>
        <w:bidi w:val="0"/>
        <w:adjustRightInd/>
        <w:snapToGrid/>
        <w:spacing w:line="391" w:lineRule="exact"/>
        <w:ind w:left="0" w:leftChars="0" w:right="0" w:rightChars="0" w:firstLine="420" w:firstLineChars="20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若供应商为制造商，必须具有生产应答产品所需的生产场地、生产设备、生产人员、产品及元器件检测能力。</w:t>
      </w:r>
    </w:p>
    <w:p>
      <w:pPr>
        <w:keepNext w:val="0"/>
        <w:keepLines w:val="0"/>
        <w:pageBreakBefore w:val="0"/>
        <w:widowControl w:val="0"/>
        <w:tabs>
          <w:tab w:val="left" w:pos="620"/>
        </w:tabs>
        <w:kinsoku/>
        <w:wordWrap/>
        <w:overflowPunct/>
        <w:topLinePunct w:val="0"/>
        <w:autoSpaceDE/>
        <w:autoSpaceDN/>
        <w:bidi w:val="0"/>
        <w:adjustRightInd/>
        <w:snapToGrid/>
        <w:spacing w:line="391" w:lineRule="exact"/>
        <w:ind w:left="0" w:leftChars="0" w:right="0" w:rightChars="0" w:firstLine="420" w:firstLineChars="20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若供应商为制造商，设计制造过满足专用资质业绩要求的相同结构、相同型式、同等或同类型或以上技术规格的产品。在与规范相同或较规范更严格的条件下，该产品在采购文件规定年限内的供货数量满足采购文件的要求。</w:t>
      </w:r>
    </w:p>
    <w:p>
      <w:pPr>
        <w:keepNext w:val="0"/>
        <w:keepLines w:val="0"/>
        <w:pageBreakBefore w:val="0"/>
        <w:widowControl w:val="0"/>
        <w:tabs>
          <w:tab w:val="left" w:pos="620"/>
        </w:tabs>
        <w:kinsoku/>
        <w:wordWrap/>
        <w:overflowPunct/>
        <w:topLinePunct w:val="0"/>
        <w:autoSpaceDE/>
        <w:autoSpaceDN/>
        <w:bidi w:val="0"/>
        <w:adjustRightInd/>
        <w:snapToGrid/>
        <w:spacing w:line="391" w:lineRule="exact"/>
        <w:ind w:left="0" w:leftChars="0" w:right="0" w:rightChars="0" w:firstLine="420" w:firstLineChars="20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所应答产品须取得国家级专业检验检测机构出具的产品有效试验报告，且报告结论数据满足本次招标技术规范要求。各类试验报告均系针对具体型式规格产品的试验报告。</w:t>
      </w:r>
    </w:p>
    <w:p>
      <w:pPr>
        <w:keepNext w:val="0"/>
        <w:keepLines w:val="0"/>
        <w:pageBreakBefore w:val="0"/>
        <w:widowControl w:val="0"/>
        <w:tabs>
          <w:tab w:val="left" w:pos="620"/>
        </w:tabs>
        <w:kinsoku/>
        <w:wordWrap/>
        <w:overflowPunct/>
        <w:topLinePunct w:val="0"/>
        <w:autoSpaceDE/>
        <w:autoSpaceDN/>
        <w:bidi w:val="0"/>
        <w:adjustRightInd/>
        <w:snapToGrid/>
        <w:spacing w:line="391" w:lineRule="exact"/>
        <w:ind w:left="0" w:leftChars="0" w:right="0" w:rightChars="0" w:firstLine="420" w:firstLineChars="20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lang w:eastAsia="zh-CN"/>
        </w:rPr>
        <w:t>若供应商为制造商，外购外协原材料、配套元件和外部委托加工及进口散装的部件应符合本采购文件技术规范要求。同时，供应商应具备对上述材料、元件和部件进行进厂验收所需的检验制度、检测手段和能力，和由材料、元件和部件供应商提供的检测合格证明，并满足技术规范对外购外协组件材料第三人资质业绩和技术水平的要求。原材料组部件管理具有可追溯性。</w:t>
      </w:r>
    </w:p>
    <w:p>
      <w:pPr>
        <w:keepNext w:val="0"/>
        <w:keepLines w:val="0"/>
        <w:pageBreakBefore w:val="0"/>
        <w:widowControl w:val="0"/>
        <w:tabs>
          <w:tab w:val="left" w:pos="620"/>
        </w:tabs>
        <w:kinsoku/>
        <w:wordWrap/>
        <w:overflowPunct/>
        <w:topLinePunct w:val="0"/>
        <w:autoSpaceDE/>
        <w:autoSpaceDN/>
        <w:bidi w:val="0"/>
        <w:adjustRightInd/>
        <w:snapToGrid/>
        <w:spacing w:line="391" w:lineRule="exact"/>
        <w:ind w:left="0" w:leftChars="0" w:right="0" w:rightChars="0" w:firstLine="420" w:firstLineChars="20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lang w:eastAsia="zh-CN"/>
        </w:rPr>
        <w:t>取得国家法律、法规、部门规章及规范标准规定的有效许可证。取得采购文件要求的有效认证证书。</w:t>
      </w:r>
    </w:p>
    <w:p>
      <w:pPr>
        <w:keepNext w:val="0"/>
        <w:keepLines w:val="0"/>
        <w:pageBreakBefore w:val="0"/>
        <w:widowControl w:val="0"/>
        <w:tabs>
          <w:tab w:val="left" w:pos="620"/>
        </w:tabs>
        <w:kinsoku/>
        <w:wordWrap/>
        <w:overflowPunct/>
        <w:topLinePunct w:val="0"/>
        <w:autoSpaceDE/>
        <w:autoSpaceDN/>
        <w:bidi w:val="0"/>
        <w:adjustRightInd/>
        <w:snapToGrid/>
        <w:spacing w:line="391" w:lineRule="exact"/>
        <w:ind w:left="0" w:leftChars="0" w:right="0" w:rightChars="0" w:firstLine="420" w:firstLineChars="20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lang w:eastAsia="zh-CN"/>
        </w:rPr>
        <w:t>应有良好的财务状况和商业信用，不得被工商行政管理等市场监管部门列入并公示为"经营异常"名录。供应商被国家机关列为违法失信人的，该供应商参与本项目的应答将被否决。</w:t>
      </w:r>
    </w:p>
    <w:p>
      <w:pPr>
        <w:keepNext w:val="0"/>
        <w:keepLines w:val="0"/>
        <w:pageBreakBefore w:val="0"/>
        <w:widowControl w:val="0"/>
        <w:tabs>
          <w:tab w:val="left" w:pos="620"/>
        </w:tabs>
        <w:kinsoku/>
        <w:wordWrap/>
        <w:overflowPunct/>
        <w:topLinePunct w:val="0"/>
        <w:autoSpaceDE/>
        <w:autoSpaceDN/>
        <w:bidi w:val="0"/>
        <w:adjustRightInd/>
        <w:snapToGrid/>
        <w:spacing w:line="391" w:lineRule="exact"/>
        <w:ind w:left="0" w:leftChars="0" w:right="0" w:rightChars="0" w:firstLine="420" w:firstLineChars="20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(7)</w:t>
      </w:r>
      <w:r>
        <w:rPr>
          <w:rFonts w:hint="eastAsia" w:ascii="宋体" w:hAnsi="宋体" w:eastAsia="宋体" w:cs="宋体"/>
          <w:color w:val="auto"/>
          <w:sz w:val="21"/>
          <w:szCs w:val="21"/>
          <w:highlight w:val="none"/>
          <w:lang w:eastAsia="zh-CN"/>
        </w:rPr>
        <w:t>法定代表人或单位负责人为同一人或者存在控股、管理关系的不同单位，不得参加同一标包应答或者未划分标包的同一采购项目应答。</w:t>
      </w:r>
    </w:p>
    <w:p>
      <w:pPr>
        <w:keepNext w:val="0"/>
        <w:keepLines w:val="0"/>
        <w:pageBreakBefore w:val="0"/>
        <w:widowControl w:val="0"/>
        <w:tabs>
          <w:tab w:val="left" w:pos="620"/>
        </w:tabs>
        <w:kinsoku/>
        <w:wordWrap/>
        <w:overflowPunct/>
        <w:topLinePunct w:val="0"/>
        <w:autoSpaceDE/>
        <w:autoSpaceDN/>
        <w:bidi w:val="0"/>
        <w:adjustRightInd/>
        <w:snapToGrid/>
        <w:spacing w:line="391" w:lineRule="exact"/>
        <w:ind w:left="0" w:leftChars="0" w:right="0" w:rightChars="0" w:firstLine="420" w:firstLineChars="20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lang w:eastAsia="zh-CN"/>
        </w:rPr>
        <w:t>若供应商为制造商，必须具有生产应答产品所需工序的工艺文件、作业指导书，且能保证产品生产的需要。各个工序按工艺文件执行，并具有可追溯性。</w:t>
      </w:r>
    </w:p>
    <w:p>
      <w:pPr>
        <w:keepNext w:val="0"/>
        <w:keepLines w:val="0"/>
        <w:pageBreakBefore w:val="0"/>
        <w:widowControl w:val="0"/>
        <w:tabs>
          <w:tab w:val="left" w:pos="620"/>
        </w:tabs>
        <w:kinsoku/>
        <w:wordWrap/>
        <w:overflowPunct/>
        <w:topLinePunct w:val="0"/>
        <w:autoSpaceDE/>
        <w:autoSpaceDN/>
        <w:bidi w:val="0"/>
        <w:adjustRightInd/>
        <w:snapToGrid/>
        <w:spacing w:line="391" w:lineRule="exact"/>
        <w:ind w:left="0" w:leftChars="0" w:right="0" w:rightChars="0" w:firstLine="420" w:firstLineChars="20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(9)</w:t>
      </w:r>
      <w:r>
        <w:rPr>
          <w:rFonts w:hint="eastAsia" w:ascii="宋体" w:hAnsi="宋体" w:eastAsia="宋体" w:cs="宋体"/>
          <w:color w:val="auto"/>
          <w:sz w:val="21"/>
          <w:szCs w:val="21"/>
          <w:highlight w:val="none"/>
          <w:lang w:eastAsia="zh-CN"/>
        </w:rPr>
        <w:t>必须具有生产应答产品所需的出厂检测能力，包括试验场地、试验设备和试验人员。</w:t>
      </w:r>
    </w:p>
    <w:p>
      <w:pPr>
        <w:keepNext w:val="0"/>
        <w:keepLines w:val="0"/>
        <w:pageBreakBefore w:val="0"/>
        <w:widowControl w:val="0"/>
        <w:tabs>
          <w:tab w:val="left" w:pos="620"/>
        </w:tabs>
        <w:kinsoku/>
        <w:wordWrap/>
        <w:overflowPunct/>
        <w:topLinePunct w:val="0"/>
        <w:autoSpaceDE/>
        <w:autoSpaceDN/>
        <w:bidi w:val="0"/>
        <w:adjustRightInd/>
        <w:snapToGrid/>
        <w:spacing w:line="391" w:lineRule="exact"/>
        <w:ind w:left="0" w:leftChars="0" w:right="0" w:rightChars="0" w:firstLine="420" w:firstLineChars="20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(10)</w:t>
      </w:r>
      <w:r>
        <w:rPr>
          <w:rFonts w:hint="eastAsia" w:ascii="宋体" w:hAnsi="宋体" w:eastAsia="宋体" w:cs="宋体"/>
          <w:color w:val="auto"/>
          <w:sz w:val="21"/>
          <w:szCs w:val="21"/>
          <w:highlight w:val="none"/>
          <w:lang w:eastAsia="zh-CN"/>
        </w:rPr>
        <w:t>根据《国家电网公司供应商不良行为处理管理细则》的规定，供应商存在导致其被暂停中标资格或取消中标资格的不良行为，且在处理有效期内的，不得参加相应项目的应答。</w:t>
      </w:r>
    </w:p>
    <w:p>
      <w:pPr>
        <w:keepNext w:val="0"/>
        <w:keepLines w:val="0"/>
        <w:pageBreakBefore w:val="0"/>
        <w:widowControl w:val="0"/>
        <w:tabs>
          <w:tab w:val="left" w:pos="620"/>
        </w:tabs>
        <w:kinsoku/>
        <w:wordWrap/>
        <w:overflowPunct/>
        <w:topLinePunct w:val="0"/>
        <w:autoSpaceDE/>
        <w:autoSpaceDN/>
        <w:bidi w:val="0"/>
        <w:adjustRightInd/>
        <w:snapToGrid/>
        <w:spacing w:line="391" w:lineRule="exact"/>
        <w:ind w:left="0" w:leftChars="0" w:right="0" w:rightChars="0" w:firstLine="420" w:firstLineChars="20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(11)</w:t>
      </w:r>
      <w:r>
        <w:rPr>
          <w:rFonts w:hint="eastAsia" w:ascii="宋体" w:hAnsi="宋体" w:eastAsia="宋体" w:cs="宋体"/>
          <w:color w:val="auto"/>
          <w:sz w:val="21"/>
          <w:szCs w:val="21"/>
          <w:highlight w:val="none"/>
          <w:lang w:eastAsia="zh-CN"/>
        </w:rPr>
        <w:t>需同时提供在国家企业信用信息公示系统（www.gsxt.gov.cn）查询的，包含“列入严重违法失信企业名单（黑名单）”、“列入经营异常名录信息”的查询结果（查询日期应在投标截止日前20天内，查询结果应为网站自动生成的PDF文件）。未提供有效国家企业信用信息公示系统（www.gsxt.gov.cn）查询结果的，其应答文件作否决应答处理。</w:t>
      </w:r>
    </w:p>
    <w:p>
      <w:pPr>
        <w:keepNext w:val="0"/>
        <w:keepLines w:val="0"/>
        <w:pageBreakBefore w:val="0"/>
        <w:widowControl w:val="0"/>
        <w:tabs>
          <w:tab w:val="left" w:pos="620"/>
        </w:tabs>
        <w:kinsoku/>
        <w:wordWrap/>
        <w:overflowPunct/>
        <w:topLinePunct w:val="0"/>
        <w:autoSpaceDE/>
        <w:autoSpaceDN/>
        <w:bidi w:val="0"/>
        <w:adjustRightInd/>
        <w:snapToGrid/>
        <w:spacing w:line="391" w:lineRule="exact"/>
        <w:ind w:left="0" w:leftChars="0" w:right="0" w:rightChars="0" w:firstLine="420" w:firstLineChars="20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(12)</w:t>
      </w:r>
      <w:r>
        <w:rPr>
          <w:rFonts w:hint="eastAsia" w:ascii="宋体" w:hAnsi="宋体" w:eastAsia="宋体" w:cs="宋体"/>
          <w:color w:val="auto"/>
          <w:sz w:val="21"/>
          <w:szCs w:val="21"/>
          <w:highlight w:val="none"/>
          <w:lang w:eastAsia="zh-CN"/>
        </w:rPr>
        <w:t>违反“重法纪、讲诚信”承诺，在人民法院生效的判决书中被认定在采购人采购活动中存在行贿行为情节严重的，该供应商参与本项目的应答将被否决。</w:t>
      </w:r>
    </w:p>
    <w:p>
      <w:pPr>
        <w:keepNext w:val="0"/>
        <w:keepLines w:val="0"/>
        <w:pageBreakBefore w:val="0"/>
        <w:widowControl w:val="0"/>
        <w:tabs>
          <w:tab w:val="left" w:pos="620"/>
        </w:tabs>
        <w:kinsoku/>
        <w:wordWrap/>
        <w:overflowPunct/>
        <w:topLinePunct w:val="0"/>
        <w:autoSpaceDE/>
        <w:autoSpaceDN/>
        <w:bidi w:val="0"/>
        <w:adjustRightInd/>
        <w:snapToGrid/>
        <w:spacing w:line="391" w:lineRule="exact"/>
        <w:ind w:left="0" w:leftChars="0" w:right="0" w:rightChars="0" w:firstLine="420" w:firstLineChars="20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(13)</w:t>
      </w:r>
      <w:r>
        <w:rPr>
          <w:rFonts w:hint="eastAsia" w:ascii="宋体" w:hAnsi="宋体" w:eastAsia="宋体" w:cs="宋体"/>
          <w:color w:val="auto"/>
          <w:sz w:val="21"/>
          <w:szCs w:val="21"/>
          <w:highlight w:val="none"/>
          <w:lang w:eastAsia="zh-CN"/>
        </w:rPr>
        <w:t>对于在应答文件中未提供有效《年度财务审核证明文件》的供应商，且供应商未提供有效公证证明的，采购人将视该供应商应答文件内容不全，该供应商参与相应产品的应答将被否决。</w:t>
      </w:r>
    </w:p>
    <w:p>
      <w:pPr>
        <w:keepNext w:val="0"/>
        <w:keepLines w:val="0"/>
        <w:pageBreakBefore w:val="0"/>
        <w:widowControl w:val="0"/>
        <w:tabs>
          <w:tab w:val="left" w:pos="620"/>
        </w:tabs>
        <w:kinsoku/>
        <w:wordWrap/>
        <w:overflowPunct/>
        <w:topLinePunct w:val="0"/>
        <w:autoSpaceDE/>
        <w:autoSpaceDN/>
        <w:bidi w:val="0"/>
        <w:adjustRightInd/>
        <w:snapToGrid/>
        <w:spacing w:line="391" w:lineRule="exact"/>
        <w:ind w:left="0" w:leftChars="0" w:right="0" w:rightChars="0" w:firstLine="420" w:firstLineChars="20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(14)</w:t>
      </w:r>
      <w:r>
        <w:rPr>
          <w:rFonts w:hint="eastAsia" w:ascii="宋体" w:hAnsi="宋体" w:eastAsia="宋体" w:cs="宋体"/>
          <w:color w:val="auto"/>
          <w:sz w:val="21"/>
          <w:szCs w:val="21"/>
          <w:highlight w:val="none"/>
          <w:lang w:eastAsia="zh-CN"/>
        </w:rPr>
        <w:t>供应商不得存在下列情形之一：</w:t>
      </w:r>
    </w:p>
    <w:p>
      <w:pPr>
        <w:keepNext w:val="0"/>
        <w:keepLines w:val="0"/>
        <w:pageBreakBefore w:val="0"/>
        <w:widowControl w:val="0"/>
        <w:tabs>
          <w:tab w:val="left" w:pos="620"/>
        </w:tabs>
        <w:kinsoku/>
        <w:wordWrap/>
        <w:overflowPunct/>
        <w:topLinePunct w:val="0"/>
        <w:autoSpaceDE/>
        <w:autoSpaceDN/>
        <w:bidi w:val="0"/>
        <w:adjustRightInd/>
        <w:snapToGrid/>
        <w:spacing w:line="391" w:lineRule="exact"/>
        <w:ind w:left="0" w:leftChars="0" w:right="0" w:rightChars="0" w:firstLine="420" w:firstLineChars="20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●为招标人不具备独立法人资格的附属机构（单位）；</w:t>
      </w:r>
    </w:p>
    <w:p>
      <w:pPr>
        <w:keepNext w:val="0"/>
        <w:keepLines w:val="0"/>
        <w:pageBreakBefore w:val="0"/>
        <w:widowControl w:val="0"/>
        <w:tabs>
          <w:tab w:val="left" w:pos="620"/>
        </w:tabs>
        <w:kinsoku/>
        <w:wordWrap/>
        <w:overflowPunct/>
        <w:topLinePunct w:val="0"/>
        <w:autoSpaceDE/>
        <w:autoSpaceDN/>
        <w:bidi w:val="0"/>
        <w:adjustRightInd/>
        <w:snapToGrid/>
        <w:spacing w:line="391" w:lineRule="exact"/>
        <w:ind w:left="0" w:leftChars="0" w:right="0" w:rightChars="0" w:firstLine="420" w:firstLineChars="20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●为相应标包前期提供设计或咨询的，但设计施工总承包除外；</w:t>
      </w:r>
    </w:p>
    <w:p>
      <w:pPr>
        <w:keepNext w:val="0"/>
        <w:keepLines w:val="0"/>
        <w:pageBreakBefore w:val="0"/>
        <w:widowControl w:val="0"/>
        <w:tabs>
          <w:tab w:val="left" w:pos="620"/>
        </w:tabs>
        <w:kinsoku/>
        <w:wordWrap/>
        <w:overflowPunct/>
        <w:topLinePunct w:val="0"/>
        <w:autoSpaceDE/>
        <w:autoSpaceDN/>
        <w:bidi w:val="0"/>
        <w:adjustRightInd/>
        <w:snapToGrid/>
        <w:spacing w:line="391" w:lineRule="exact"/>
        <w:ind w:left="0" w:leftChars="0" w:right="0" w:rightChars="0" w:firstLine="420" w:firstLineChars="20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●为本（批）次招标提供招标代理服务的；</w:t>
      </w:r>
    </w:p>
    <w:p>
      <w:pPr>
        <w:keepNext w:val="0"/>
        <w:keepLines w:val="0"/>
        <w:pageBreakBefore w:val="0"/>
        <w:widowControl w:val="0"/>
        <w:tabs>
          <w:tab w:val="left" w:pos="620"/>
        </w:tabs>
        <w:kinsoku/>
        <w:wordWrap/>
        <w:overflowPunct/>
        <w:topLinePunct w:val="0"/>
        <w:autoSpaceDE/>
        <w:autoSpaceDN/>
        <w:bidi w:val="0"/>
        <w:adjustRightInd/>
        <w:snapToGrid/>
        <w:spacing w:line="391" w:lineRule="exact"/>
        <w:ind w:left="0" w:leftChars="0" w:right="0" w:rightChars="0" w:firstLine="420" w:firstLineChars="20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●法定代表人或单位负责人为同一人或者存在控股、管理关系的不同单位，参加同一包货物投标的；</w:t>
      </w:r>
    </w:p>
    <w:p>
      <w:pPr>
        <w:keepNext w:val="0"/>
        <w:keepLines w:val="0"/>
        <w:pageBreakBefore w:val="0"/>
        <w:widowControl w:val="0"/>
        <w:tabs>
          <w:tab w:val="left" w:pos="620"/>
        </w:tabs>
        <w:kinsoku/>
        <w:wordWrap/>
        <w:overflowPunct/>
        <w:topLinePunct w:val="0"/>
        <w:autoSpaceDE/>
        <w:autoSpaceDN/>
        <w:bidi w:val="0"/>
        <w:adjustRightInd/>
        <w:snapToGrid/>
        <w:spacing w:line="391" w:lineRule="exact"/>
        <w:ind w:left="0" w:leftChars="0" w:right="0" w:rightChars="0" w:firstLine="420" w:firstLineChars="20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●对于接受代理商投标的项目，一个制造商对同一品牌同一型号的货物委托两个及以上个代理商参加投标的；</w:t>
      </w:r>
    </w:p>
    <w:p>
      <w:pPr>
        <w:keepNext w:val="0"/>
        <w:keepLines w:val="0"/>
        <w:pageBreakBefore w:val="0"/>
        <w:widowControl w:val="0"/>
        <w:tabs>
          <w:tab w:val="left" w:pos="620"/>
        </w:tabs>
        <w:kinsoku/>
        <w:wordWrap/>
        <w:overflowPunct/>
        <w:topLinePunct w:val="0"/>
        <w:autoSpaceDE/>
        <w:autoSpaceDN/>
        <w:bidi w:val="0"/>
        <w:adjustRightInd/>
        <w:snapToGrid/>
        <w:spacing w:line="391" w:lineRule="exact"/>
        <w:ind w:left="0" w:leftChars="0" w:right="0" w:rightChars="0" w:firstLine="420" w:firstLineChars="20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●被责令停业的；</w:t>
      </w:r>
    </w:p>
    <w:p>
      <w:pPr>
        <w:keepNext w:val="0"/>
        <w:keepLines w:val="0"/>
        <w:pageBreakBefore w:val="0"/>
        <w:widowControl w:val="0"/>
        <w:tabs>
          <w:tab w:val="left" w:pos="620"/>
        </w:tabs>
        <w:kinsoku/>
        <w:wordWrap/>
        <w:overflowPunct/>
        <w:topLinePunct w:val="0"/>
        <w:autoSpaceDE/>
        <w:autoSpaceDN/>
        <w:bidi w:val="0"/>
        <w:adjustRightInd/>
        <w:snapToGrid/>
        <w:spacing w:line="391" w:lineRule="exact"/>
        <w:ind w:left="0" w:leftChars="0" w:right="0" w:rightChars="0" w:firstLine="420" w:firstLineChars="20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●被暂停或取消投标资格的；</w:t>
      </w:r>
    </w:p>
    <w:p>
      <w:pPr>
        <w:keepNext w:val="0"/>
        <w:keepLines w:val="0"/>
        <w:pageBreakBefore w:val="0"/>
        <w:widowControl w:val="0"/>
        <w:tabs>
          <w:tab w:val="left" w:pos="620"/>
        </w:tabs>
        <w:kinsoku/>
        <w:wordWrap/>
        <w:overflowPunct/>
        <w:topLinePunct w:val="0"/>
        <w:autoSpaceDE/>
        <w:autoSpaceDN/>
        <w:bidi w:val="0"/>
        <w:adjustRightInd/>
        <w:snapToGrid/>
        <w:spacing w:line="391" w:lineRule="exact"/>
        <w:ind w:left="0" w:leftChars="0" w:right="0" w:rightChars="0" w:firstLine="420" w:firstLineChars="20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●财产被接管或冻结的； </w:t>
      </w:r>
    </w:p>
    <w:p>
      <w:pPr>
        <w:keepNext w:val="0"/>
        <w:keepLines w:val="0"/>
        <w:pageBreakBefore w:val="0"/>
        <w:widowControl w:val="0"/>
        <w:tabs>
          <w:tab w:val="left" w:pos="620"/>
        </w:tabs>
        <w:kinsoku/>
        <w:wordWrap/>
        <w:overflowPunct/>
        <w:topLinePunct w:val="0"/>
        <w:autoSpaceDE/>
        <w:autoSpaceDN/>
        <w:bidi w:val="0"/>
        <w:adjustRightInd/>
        <w:snapToGrid/>
        <w:spacing w:line="391" w:lineRule="exact"/>
        <w:ind w:left="0" w:leftChars="0" w:right="0" w:rightChars="0" w:firstLine="420" w:firstLineChars="20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●在最近三年内有骗取中标或严重违约或重大产品质量问题责任整改措施未全面落实的。</w:t>
      </w:r>
    </w:p>
    <w:p>
      <w:pPr>
        <w:keepNext w:val="0"/>
        <w:keepLines w:val="0"/>
        <w:pageBreakBefore w:val="0"/>
        <w:widowControl w:val="0"/>
        <w:tabs>
          <w:tab w:val="left" w:pos="620"/>
        </w:tabs>
        <w:kinsoku/>
        <w:wordWrap/>
        <w:overflowPunct/>
        <w:topLinePunct w:val="0"/>
        <w:autoSpaceDE/>
        <w:autoSpaceDN/>
        <w:bidi w:val="0"/>
        <w:adjustRightInd/>
        <w:snapToGrid/>
        <w:spacing w:line="391" w:lineRule="exact"/>
        <w:ind w:left="0" w:leftChars="0" w:right="0" w:rightChars="0" w:firstLine="420" w:firstLineChars="20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●被工商行政管理机关在全国企业信用信息公示系统中列入严重违法失信企业名单；</w:t>
      </w:r>
    </w:p>
    <w:p>
      <w:pPr>
        <w:keepNext w:val="0"/>
        <w:keepLines w:val="0"/>
        <w:pageBreakBefore w:val="0"/>
        <w:widowControl w:val="0"/>
        <w:tabs>
          <w:tab w:val="left" w:pos="620"/>
        </w:tabs>
        <w:kinsoku/>
        <w:wordWrap/>
        <w:overflowPunct/>
        <w:topLinePunct w:val="0"/>
        <w:autoSpaceDE/>
        <w:autoSpaceDN/>
        <w:bidi w:val="0"/>
        <w:adjustRightInd/>
        <w:snapToGrid/>
        <w:spacing w:line="391" w:lineRule="exact"/>
        <w:ind w:left="0" w:leftChars="0" w:right="0" w:rightChars="0" w:firstLine="420" w:firstLineChars="20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●被最高人民法院在“信用中国”网站（www.creditchina.gov.cn）或各级信用信息共享平台中列入失信被执行人名单；</w:t>
      </w:r>
    </w:p>
    <w:p>
      <w:pPr>
        <w:keepNext w:val="0"/>
        <w:keepLines w:val="0"/>
        <w:pageBreakBefore w:val="0"/>
        <w:widowControl w:val="0"/>
        <w:tabs>
          <w:tab w:val="left" w:pos="620"/>
        </w:tabs>
        <w:kinsoku/>
        <w:wordWrap/>
        <w:overflowPunct/>
        <w:topLinePunct w:val="0"/>
        <w:autoSpaceDE/>
        <w:autoSpaceDN/>
        <w:bidi w:val="0"/>
        <w:adjustRightInd/>
        <w:snapToGrid/>
        <w:spacing w:line="391" w:lineRule="exact"/>
        <w:ind w:left="0" w:leftChars="0" w:right="0" w:rightChars="0" w:firstLine="420" w:firstLineChars="20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●法律法规或供应商须知前附表规定的其他情形。</w:t>
      </w:r>
    </w:p>
    <w:p>
      <w:pPr>
        <w:keepNext w:val="0"/>
        <w:keepLines w:val="0"/>
        <w:pageBreakBefore w:val="0"/>
        <w:widowControl w:val="0"/>
        <w:tabs>
          <w:tab w:val="left" w:pos="620"/>
        </w:tabs>
        <w:kinsoku/>
        <w:wordWrap/>
        <w:overflowPunct/>
        <w:topLinePunct w:val="0"/>
        <w:autoSpaceDE/>
        <w:autoSpaceDN/>
        <w:bidi w:val="0"/>
        <w:adjustRightInd/>
        <w:snapToGrid/>
        <w:spacing w:line="391" w:lineRule="exact"/>
        <w:ind w:left="0" w:leftChars="0" w:right="0" w:rightChars="0" w:firstLine="420" w:firstLineChars="200"/>
        <w:jc w:val="both"/>
        <w:textAlignment w:val="auto"/>
        <w:outlineLvl w:val="9"/>
        <w:rPr>
          <w:color w:val="auto"/>
          <w:sz w:val="20"/>
          <w:szCs w:val="20"/>
          <w:highlight w:val="none"/>
        </w:rPr>
      </w:pPr>
      <w:r>
        <w:rPr>
          <w:rFonts w:hint="eastAsia" w:ascii="宋体" w:hAnsi="宋体" w:eastAsia="宋体" w:cs="宋体"/>
          <w:color w:val="auto"/>
          <w:sz w:val="21"/>
          <w:szCs w:val="21"/>
          <w:highlight w:val="none"/>
          <w:lang w:eastAsia="zh-CN"/>
        </w:rPr>
        <w:t>3.2供应商及其应答产品须满足相应招标货物的专门资质业绩要求，各类货物专门具体资质业绩要求事项及其数据、状态</w:t>
      </w:r>
      <w:r>
        <w:rPr>
          <w:rFonts w:hint="eastAsia" w:ascii="宋体" w:hAnsi="宋体" w:cs="宋体"/>
          <w:color w:val="auto"/>
          <w:sz w:val="21"/>
          <w:szCs w:val="21"/>
          <w:highlight w:val="none"/>
          <w:lang w:eastAsia="zh-CN"/>
        </w:rPr>
        <w:t>详见附件</w:t>
      </w:r>
      <w:r>
        <w:rPr>
          <w:rFonts w:hint="eastAsia" w:ascii="宋体" w:hAnsi="宋体" w:cs="宋体"/>
          <w:color w:val="auto"/>
          <w:sz w:val="21"/>
          <w:szCs w:val="21"/>
          <w:highlight w:val="none"/>
          <w:lang w:val="en-US" w:eastAsia="zh-CN"/>
        </w:rPr>
        <w:t>1“采购需求一览表”</w:t>
      </w:r>
      <w:r>
        <w:rPr>
          <w:rFonts w:hint="eastAsia" w:ascii="宋体" w:hAnsi="宋体" w:cs="宋体"/>
          <w:color w:val="auto"/>
          <w:sz w:val="21"/>
          <w:szCs w:val="21"/>
          <w:highlight w:val="none"/>
          <w:lang w:eastAsia="zh-CN"/>
        </w:rPr>
        <w:t>。</w:t>
      </w:r>
    </w:p>
    <w:p>
      <w:pPr>
        <w:keepNext w:val="0"/>
        <w:keepLines w:val="0"/>
        <w:pageBreakBefore w:val="0"/>
        <w:widowControl w:val="0"/>
        <w:tabs>
          <w:tab w:val="left" w:pos="620"/>
        </w:tabs>
        <w:kinsoku/>
        <w:wordWrap/>
        <w:overflowPunct/>
        <w:topLinePunct w:val="0"/>
        <w:autoSpaceDE/>
        <w:autoSpaceDN/>
        <w:bidi w:val="0"/>
        <w:adjustRightInd/>
        <w:snapToGrid/>
        <w:spacing w:line="391" w:lineRule="exact"/>
        <w:ind w:right="0" w:rightChars="0" w:firstLine="420" w:firstLineChars="200"/>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3.3本次采购不接受联合体应答。</w:t>
      </w:r>
    </w:p>
    <w:p>
      <w:pPr>
        <w:keepNext w:val="0"/>
        <w:keepLines w:val="0"/>
        <w:pageBreakBefore w:val="0"/>
        <w:widowControl w:val="0"/>
        <w:tabs>
          <w:tab w:val="left" w:pos="620"/>
        </w:tabs>
        <w:kinsoku/>
        <w:wordWrap/>
        <w:overflowPunct/>
        <w:topLinePunct w:val="0"/>
        <w:autoSpaceDE/>
        <w:autoSpaceDN/>
        <w:bidi w:val="0"/>
        <w:adjustRightInd/>
        <w:snapToGrid/>
        <w:spacing w:line="391" w:lineRule="exact"/>
        <w:ind w:left="0" w:leftChars="0" w:right="0" w:rightChars="0" w:firstLine="420" w:firstLineChars="200"/>
        <w:jc w:val="both"/>
        <w:textAlignment w:val="auto"/>
        <w:outlineLvl w:val="9"/>
        <w:rPr>
          <w:color w:val="auto"/>
          <w:sz w:val="20"/>
          <w:szCs w:val="20"/>
          <w:highlight w:val="none"/>
        </w:rPr>
      </w:pPr>
      <w:r>
        <w:rPr>
          <w:rFonts w:hint="eastAsia" w:ascii="宋体" w:hAnsi="宋体" w:eastAsia="宋体" w:cs="宋体"/>
          <w:color w:val="auto"/>
          <w:sz w:val="21"/>
          <w:szCs w:val="21"/>
          <w:highlight w:val="none"/>
          <w:lang w:eastAsia="zh-CN"/>
        </w:rPr>
        <w:t>3.4各供应商均可就本次采购的部分或全部标包应答。</w:t>
      </w:r>
    </w:p>
    <w:p>
      <w:pPr>
        <w:keepNext w:val="0"/>
        <w:keepLines w:val="0"/>
        <w:pageBreakBefore w:val="0"/>
        <w:widowControl w:val="0"/>
        <w:tabs>
          <w:tab w:val="left" w:pos="620"/>
        </w:tabs>
        <w:kinsoku/>
        <w:wordWrap/>
        <w:overflowPunct/>
        <w:topLinePunct w:val="0"/>
        <w:autoSpaceDE/>
        <w:autoSpaceDN/>
        <w:bidi w:val="0"/>
        <w:adjustRightInd/>
        <w:snapToGrid/>
        <w:spacing w:line="391" w:lineRule="exact"/>
        <w:ind w:right="0" w:rightChars="0"/>
        <w:jc w:val="both"/>
        <w:textAlignment w:val="auto"/>
        <w:outlineLvl w:val="9"/>
        <w:rPr>
          <w:rFonts w:hint="eastAsia" w:ascii="宋体" w:hAnsi="宋体" w:eastAsia="宋体" w:cs="宋体"/>
          <w:b/>
          <w:bCs/>
          <w:color w:val="auto"/>
          <w:sz w:val="21"/>
          <w:szCs w:val="21"/>
          <w:highlight w:val="none"/>
          <w:lang w:eastAsia="zh-CN"/>
        </w:rPr>
      </w:pPr>
      <w:bookmarkStart w:id="19" w:name="_Toc286333065"/>
      <w:r>
        <w:rPr>
          <w:rFonts w:hint="eastAsia" w:ascii="宋体" w:hAnsi="宋体" w:eastAsia="宋体" w:cs="宋体"/>
          <w:b/>
          <w:bCs/>
          <w:color w:val="auto"/>
          <w:sz w:val="21"/>
          <w:szCs w:val="21"/>
          <w:highlight w:val="none"/>
          <w:lang w:eastAsia="zh-CN"/>
        </w:rPr>
        <w:t>4　采购文件的获取、截止、标书费支付、发票开取及领取的说明及要求</w:t>
      </w:r>
    </w:p>
    <w:p>
      <w:pPr>
        <w:keepNext w:val="0"/>
        <w:keepLines w:val="0"/>
        <w:pageBreakBefore w:val="0"/>
        <w:kinsoku/>
        <w:wordWrap/>
        <w:overflowPunct/>
        <w:topLinePunct w:val="0"/>
        <w:bidi w:val="0"/>
        <w:adjustRightInd w:val="0"/>
        <w:snapToGrid/>
        <w:spacing w:line="391" w:lineRule="exact"/>
        <w:ind w:left="0" w:leftChars="0" w:right="0" w:rightChars="0"/>
        <w:textAlignment w:val="auto"/>
        <w:outlineLvl w:val="9"/>
        <w:rPr>
          <w:rFonts w:hint="eastAsia"/>
          <w:color w:val="auto"/>
          <w:highlight w:val="none"/>
        </w:rPr>
      </w:pPr>
      <w:r>
        <w:rPr>
          <w:rFonts w:hint="eastAsia"/>
          <w:color w:val="auto"/>
          <w:highlight w:val="none"/>
        </w:rPr>
        <w:t>4.1　采购文件购买时间：2019年</w:t>
      </w:r>
      <w:r>
        <w:rPr>
          <w:rFonts w:hint="eastAsia"/>
          <w:color w:val="auto"/>
          <w:highlight w:val="none"/>
          <w:lang w:val="en-US" w:eastAsia="zh-CN"/>
        </w:rPr>
        <w:t>7</w:t>
      </w:r>
      <w:r>
        <w:rPr>
          <w:rFonts w:hint="eastAsia"/>
          <w:color w:val="auto"/>
          <w:highlight w:val="none"/>
        </w:rPr>
        <w:t>月</w:t>
      </w:r>
      <w:r>
        <w:rPr>
          <w:rFonts w:hint="eastAsia"/>
          <w:color w:val="auto"/>
          <w:highlight w:val="none"/>
          <w:lang w:val="en-US" w:eastAsia="zh-CN"/>
        </w:rPr>
        <w:t>24</w:t>
      </w:r>
      <w:r>
        <w:rPr>
          <w:rFonts w:hint="eastAsia"/>
          <w:color w:val="auto"/>
          <w:highlight w:val="none"/>
        </w:rPr>
        <w:t>日至2019年</w:t>
      </w:r>
      <w:r>
        <w:rPr>
          <w:rFonts w:hint="eastAsia"/>
          <w:color w:val="auto"/>
          <w:highlight w:val="none"/>
          <w:lang w:val="en-US" w:eastAsia="zh-CN"/>
        </w:rPr>
        <w:t>7</w:t>
      </w:r>
      <w:r>
        <w:rPr>
          <w:rFonts w:hint="eastAsia"/>
          <w:color w:val="auto"/>
          <w:highlight w:val="none"/>
        </w:rPr>
        <w:t>月</w:t>
      </w:r>
      <w:r>
        <w:rPr>
          <w:rFonts w:hint="eastAsia"/>
          <w:color w:val="auto"/>
          <w:highlight w:val="none"/>
          <w:lang w:val="en-US" w:eastAsia="zh-CN"/>
        </w:rPr>
        <w:t>26</w:t>
      </w:r>
      <w:r>
        <w:rPr>
          <w:rFonts w:hint="eastAsia"/>
          <w:color w:val="auto"/>
          <w:highlight w:val="none"/>
        </w:rPr>
        <w:t>日1</w:t>
      </w:r>
      <w:r>
        <w:rPr>
          <w:rFonts w:hint="eastAsia"/>
          <w:color w:val="auto"/>
          <w:highlight w:val="none"/>
          <w:lang w:val="en-US" w:eastAsia="zh-CN"/>
        </w:rPr>
        <w:t>7</w:t>
      </w:r>
      <w:r>
        <w:rPr>
          <w:rFonts w:hint="eastAsia"/>
          <w:color w:val="auto"/>
          <w:highlight w:val="none"/>
        </w:rPr>
        <w:t>时00分前（北京时间、节假日休息）购买采购文件，采购文件发售购买截止时间：2019年</w:t>
      </w:r>
      <w:r>
        <w:rPr>
          <w:rFonts w:hint="eastAsia"/>
          <w:color w:val="auto"/>
          <w:highlight w:val="none"/>
          <w:lang w:val="en-US" w:eastAsia="zh-CN"/>
        </w:rPr>
        <w:t>7</w:t>
      </w:r>
      <w:r>
        <w:rPr>
          <w:rFonts w:hint="eastAsia"/>
          <w:color w:val="auto"/>
          <w:highlight w:val="none"/>
        </w:rPr>
        <w:t>月</w:t>
      </w:r>
      <w:r>
        <w:rPr>
          <w:rFonts w:hint="eastAsia"/>
          <w:color w:val="auto"/>
          <w:highlight w:val="none"/>
          <w:lang w:val="en-US" w:eastAsia="zh-CN"/>
        </w:rPr>
        <w:t>26</w:t>
      </w:r>
      <w:r>
        <w:rPr>
          <w:rFonts w:hint="eastAsia"/>
          <w:color w:val="auto"/>
          <w:highlight w:val="none"/>
        </w:rPr>
        <w:t>日1</w:t>
      </w:r>
      <w:r>
        <w:rPr>
          <w:rFonts w:hint="eastAsia"/>
          <w:color w:val="auto"/>
          <w:highlight w:val="none"/>
          <w:lang w:val="en-US" w:eastAsia="zh-CN"/>
        </w:rPr>
        <w:t>7</w:t>
      </w:r>
      <w:r>
        <w:rPr>
          <w:rFonts w:hint="eastAsia"/>
          <w:color w:val="auto"/>
          <w:highlight w:val="none"/>
        </w:rPr>
        <w:t>时00分（北京时间、节假日休息）；采购文件购买地点：青海省西宁市生物科技产业园经四路3号1号楼3单元13</w:t>
      </w:r>
      <w:r>
        <w:rPr>
          <w:rFonts w:hint="eastAsia"/>
          <w:color w:val="auto"/>
          <w:highlight w:val="none"/>
          <w:lang w:val="en-US" w:eastAsia="zh-CN"/>
        </w:rPr>
        <w:t>6</w:t>
      </w:r>
      <w:r>
        <w:rPr>
          <w:rFonts w:hint="eastAsia"/>
          <w:color w:val="auto"/>
          <w:highlight w:val="none"/>
        </w:rPr>
        <w:t>1室（黄河嘉酿啤酒有限公司斜对面）青海省电力技术开发实业公司。</w:t>
      </w:r>
    </w:p>
    <w:p>
      <w:pPr>
        <w:keepNext w:val="0"/>
        <w:keepLines w:val="0"/>
        <w:pageBreakBefore w:val="0"/>
        <w:kinsoku/>
        <w:wordWrap/>
        <w:overflowPunct/>
        <w:topLinePunct w:val="0"/>
        <w:bidi w:val="0"/>
        <w:adjustRightInd w:val="0"/>
        <w:snapToGrid/>
        <w:spacing w:line="391" w:lineRule="exact"/>
        <w:ind w:left="0" w:leftChars="0" w:right="0" w:rightChars="0"/>
        <w:textAlignment w:val="auto"/>
        <w:outlineLvl w:val="9"/>
        <w:rPr>
          <w:rFonts w:hint="eastAsia"/>
          <w:color w:val="auto"/>
          <w:highlight w:val="none"/>
        </w:rPr>
      </w:pPr>
      <w:r>
        <w:rPr>
          <w:rFonts w:hint="eastAsia"/>
          <w:color w:val="auto"/>
          <w:highlight w:val="none"/>
        </w:rPr>
        <w:t>4.2　采购文件包</w:t>
      </w:r>
      <w:r>
        <w:rPr>
          <w:rFonts w:hint="eastAsia"/>
          <w:color w:val="auto"/>
          <w:highlight w:val="none"/>
          <w:lang w:val="en-US" w:eastAsia="zh-CN"/>
        </w:rPr>
        <w:t>1</w:t>
      </w:r>
      <w:r>
        <w:rPr>
          <w:rFonts w:hint="eastAsia"/>
          <w:color w:val="auto"/>
          <w:highlight w:val="none"/>
        </w:rPr>
        <w:t>售价</w:t>
      </w:r>
      <w:r>
        <w:rPr>
          <w:rFonts w:hint="eastAsia"/>
          <w:color w:val="auto"/>
          <w:highlight w:val="none"/>
          <w:u w:val="single"/>
          <w:lang w:val="en-US" w:eastAsia="zh-CN"/>
        </w:rPr>
        <w:t>200</w:t>
      </w:r>
      <w:r>
        <w:rPr>
          <w:rFonts w:hint="eastAsia"/>
          <w:color w:val="auto"/>
          <w:highlight w:val="none"/>
          <w:lang w:val="en-US" w:eastAsia="zh-CN"/>
        </w:rPr>
        <w:t>元</w:t>
      </w:r>
      <w:r>
        <w:rPr>
          <w:rFonts w:hint="eastAsia"/>
          <w:color w:val="auto"/>
          <w:highlight w:val="none"/>
        </w:rPr>
        <w:t>，</w:t>
      </w:r>
      <w:r>
        <w:rPr>
          <w:rFonts w:hint="eastAsia"/>
          <w:color w:val="auto"/>
          <w:highlight w:val="none"/>
          <w:lang w:val="en-US" w:eastAsia="zh-CN"/>
        </w:rPr>
        <w:t>包2售价</w:t>
      </w:r>
      <w:r>
        <w:rPr>
          <w:rFonts w:hint="eastAsia"/>
          <w:color w:val="auto"/>
          <w:highlight w:val="none"/>
          <w:u w:val="single"/>
          <w:lang w:val="en-US" w:eastAsia="zh-CN"/>
        </w:rPr>
        <w:t xml:space="preserve">  </w:t>
      </w:r>
      <w:r>
        <w:rPr>
          <w:rFonts w:hint="eastAsia"/>
          <w:color w:val="auto"/>
          <w:highlight w:val="none"/>
          <w:u w:val="single"/>
          <w:lang w:val="en-US" w:eastAsia="zh-CN"/>
        </w:rPr>
        <w:t xml:space="preserve">0  </w:t>
      </w:r>
      <w:r>
        <w:rPr>
          <w:rFonts w:hint="eastAsia"/>
          <w:color w:val="auto"/>
          <w:highlight w:val="none"/>
          <w:lang w:val="en-US" w:eastAsia="zh-CN"/>
        </w:rPr>
        <w:t>元，</w:t>
      </w:r>
      <w:r>
        <w:rPr>
          <w:rFonts w:hint="eastAsia"/>
          <w:color w:val="auto"/>
          <w:highlight w:val="none"/>
        </w:rPr>
        <w:t>采购文件售后不退。</w:t>
      </w:r>
    </w:p>
    <w:p>
      <w:pPr>
        <w:keepNext w:val="0"/>
        <w:keepLines w:val="0"/>
        <w:pageBreakBefore w:val="0"/>
        <w:kinsoku/>
        <w:wordWrap/>
        <w:overflowPunct/>
        <w:topLinePunct w:val="0"/>
        <w:bidi w:val="0"/>
        <w:adjustRightInd w:val="0"/>
        <w:snapToGrid/>
        <w:spacing w:line="391" w:lineRule="exact"/>
        <w:ind w:left="0" w:leftChars="0" w:right="0" w:rightChars="0"/>
        <w:textAlignment w:val="auto"/>
        <w:outlineLvl w:val="9"/>
        <w:rPr>
          <w:rFonts w:hint="eastAsia"/>
          <w:color w:val="auto"/>
          <w:highlight w:val="none"/>
        </w:rPr>
      </w:pPr>
      <w:r>
        <w:rPr>
          <w:rFonts w:hint="eastAsia"/>
          <w:color w:val="auto"/>
          <w:highlight w:val="none"/>
        </w:rPr>
        <w:t>4.3　采购文件购买方式</w:t>
      </w:r>
      <w:r>
        <w:rPr>
          <w:rFonts w:hint="eastAsia"/>
          <w:color w:val="auto"/>
          <w:highlight w:val="none"/>
          <w:lang w:val="en-US" w:eastAsia="zh-CN"/>
        </w:rPr>
        <w:t>售价</w:t>
      </w:r>
    </w:p>
    <w:p>
      <w:pPr>
        <w:keepNext w:val="0"/>
        <w:keepLines w:val="0"/>
        <w:pageBreakBefore w:val="0"/>
        <w:kinsoku/>
        <w:wordWrap/>
        <w:overflowPunct/>
        <w:topLinePunct w:val="0"/>
        <w:bidi w:val="0"/>
        <w:adjustRightInd w:val="0"/>
        <w:snapToGrid/>
        <w:spacing w:line="391" w:lineRule="exact"/>
        <w:ind w:left="0" w:leftChars="0" w:right="0" w:rightChars="0" w:firstLine="420" w:firstLineChars="200"/>
        <w:textAlignment w:val="auto"/>
        <w:outlineLvl w:val="9"/>
        <w:rPr>
          <w:color w:val="auto"/>
          <w:highlight w:val="none"/>
        </w:rPr>
      </w:pPr>
      <w:r>
        <w:rPr>
          <w:rFonts w:hint="eastAsia"/>
          <w:color w:val="auto"/>
          <w:highlight w:val="none"/>
        </w:rPr>
        <w:t>（1）电子邮件获取购买：</w:t>
      </w:r>
      <w:bookmarkStart w:id="51" w:name="_GoBack"/>
      <w:bookmarkEnd w:id="51"/>
    </w:p>
    <w:p>
      <w:pPr>
        <w:keepNext w:val="0"/>
        <w:keepLines w:val="0"/>
        <w:pageBreakBefore w:val="0"/>
        <w:kinsoku/>
        <w:wordWrap/>
        <w:overflowPunct/>
        <w:topLinePunct w:val="0"/>
        <w:bidi w:val="0"/>
        <w:adjustRightInd w:val="0"/>
        <w:snapToGrid/>
        <w:spacing w:line="391" w:lineRule="exact"/>
        <w:ind w:left="0" w:leftChars="0" w:right="0" w:rightChars="0" w:firstLine="420" w:firstLineChars="200"/>
        <w:textAlignment w:val="auto"/>
        <w:outlineLvl w:val="9"/>
        <w:rPr>
          <w:rFonts w:hint="eastAsia"/>
          <w:color w:val="auto"/>
          <w:highlight w:val="none"/>
        </w:rPr>
      </w:pPr>
      <w:r>
        <w:rPr>
          <w:rFonts w:hint="eastAsia"/>
          <w:color w:val="auto"/>
          <w:highlight w:val="none"/>
        </w:rPr>
        <w:t>资格自审合格的潜在供应商需按照附件2格式完整填写并加盖公章的报名表</w:t>
      </w:r>
      <w:r>
        <w:rPr>
          <w:rFonts w:hint="eastAsia"/>
          <w:b/>
          <w:bCs/>
          <w:color w:val="auto"/>
          <w:highlight w:val="none"/>
        </w:rPr>
        <w:t>（加盖公章扫描件1份、不加盖公章电子版1份）</w:t>
      </w:r>
      <w:r>
        <w:rPr>
          <w:rFonts w:hint="eastAsia"/>
          <w:color w:val="auto"/>
          <w:highlight w:val="none"/>
        </w:rPr>
        <w:t>、标书费支付公司名义对公转账或汇款银行受理回单及本企业三证（企业营业执照、组织机构代码证、税务登记证）、法定代表人授权书及企业资质等级证书扫描件发送至邮箱号：</w:t>
      </w:r>
      <w:r>
        <w:rPr>
          <w:rFonts w:hint="eastAsia"/>
          <w:b/>
          <w:bCs/>
          <w:color w:val="auto"/>
          <w:highlight w:val="none"/>
          <w:lang w:val="en-US" w:eastAsia="zh-CN"/>
        </w:rPr>
        <w:t>1035007399</w:t>
      </w:r>
      <w:r>
        <w:rPr>
          <w:rFonts w:hint="eastAsia"/>
          <w:b/>
          <w:bCs/>
          <w:color w:val="auto"/>
          <w:highlight w:val="none"/>
        </w:rPr>
        <w:t>@qq.com（注： 邮件发送完毕后向招标代理公司项目联系人确认是否收到，联系电话：0971-</w:t>
      </w:r>
      <w:r>
        <w:rPr>
          <w:rFonts w:hint="eastAsia"/>
          <w:b/>
          <w:bCs/>
          <w:color w:val="auto"/>
          <w:highlight w:val="none"/>
          <w:lang w:eastAsia="zh-CN"/>
        </w:rPr>
        <w:t>6073405</w:t>
      </w:r>
      <w:r>
        <w:rPr>
          <w:rFonts w:hint="eastAsia"/>
          <w:b/>
          <w:bCs/>
          <w:color w:val="auto"/>
          <w:highlight w:val="none"/>
        </w:rPr>
        <w:t>）</w:t>
      </w:r>
      <w:r>
        <w:rPr>
          <w:rFonts w:hint="eastAsia"/>
          <w:color w:val="auto"/>
          <w:highlight w:val="none"/>
        </w:rPr>
        <w:t>，招标代理公司项目经理向供应商邮箱发送采购文件。</w:t>
      </w:r>
    </w:p>
    <w:p>
      <w:pPr>
        <w:keepNext w:val="0"/>
        <w:keepLines w:val="0"/>
        <w:pageBreakBefore w:val="0"/>
        <w:kinsoku/>
        <w:wordWrap/>
        <w:overflowPunct/>
        <w:topLinePunct w:val="0"/>
        <w:bidi w:val="0"/>
        <w:adjustRightInd w:val="0"/>
        <w:snapToGrid/>
        <w:spacing w:line="391" w:lineRule="exact"/>
        <w:ind w:left="0" w:leftChars="0" w:right="0" w:rightChars="0"/>
        <w:textAlignment w:val="auto"/>
        <w:outlineLvl w:val="9"/>
        <w:rPr>
          <w:color w:val="auto"/>
          <w:highlight w:val="none"/>
        </w:rPr>
      </w:pPr>
      <w:r>
        <w:rPr>
          <w:rFonts w:hint="eastAsia"/>
          <w:color w:val="auto"/>
          <w:highlight w:val="none"/>
        </w:rPr>
        <w:t>购买款应通过潜在供应商公司名义对公转账或汇款，不接受个人汇款。</w:t>
      </w:r>
    </w:p>
    <w:p>
      <w:pPr>
        <w:keepNext w:val="0"/>
        <w:keepLines w:val="0"/>
        <w:pageBreakBefore w:val="0"/>
        <w:kinsoku/>
        <w:wordWrap/>
        <w:overflowPunct/>
        <w:topLinePunct w:val="0"/>
        <w:bidi w:val="0"/>
        <w:adjustRightInd w:val="0"/>
        <w:snapToGrid/>
        <w:spacing w:line="391" w:lineRule="exact"/>
        <w:ind w:left="0" w:leftChars="0" w:right="0" w:rightChars="0"/>
        <w:textAlignment w:val="auto"/>
        <w:outlineLvl w:val="9"/>
        <w:rPr>
          <w:rFonts w:hint="eastAsia"/>
          <w:color w:val="auto"/>
          <w:highlight w:val="none"/>
        </w:rPr>
      </w:pPr>
      <w:r>
        <w:rPr>
          <w:rFonts w:hint="eastAsia"/>
          <w:color w:val="auto"/>
          <w:highlight w:val="none"/>
        </w:rPr>
        <w:t>4.4　关于标书费支付的说明及要求：</w:t>
      </w:r>
    </w:p>
    <w:p>
      <w:pPr>
        <w:keepNext w:val="0"/>
        <w:keepLines w:val="0"/>
        <w:pageBreakBefore w:val="0"/>
        <w:kinsoku/>
        <w:wordWrap/>
        <w:overflowPunct/>
        <w:topLinePunct w:val="0"/>
        <w:bidi w:val="0"/>
        <w:adjustRightInd w:val="0"/>
        <w:snapToGrid/>
        <w:spacing w:line="391" w:lineRule="exact"/>
        <w:ind w:left="0" w:leftChars="0" w:right="0" w:rightChars="0"/>
        <w:textAlignment w:val="auto"/>
        <w:outlineLvl w:val="9"/>
        <w:rPr>
          <w:rFonts w:hint="eastAsia"/>
          <w:color w:val="auto"/>
          <w:highlight w:val="none"/>
        </w:rPr>
      </w:pPr>
      <w:r>
        <w:rPr>
          <w:rFonts w:hint="eastAsia"/>
          <w:color w:val="auto"/>
          <w:highlight w:val="none"/>
        </w:rPr>
        <w:t>（1）各潜在供应商以转账形式支付“标书费”的，应在汇款用途栏写明“采购项目标书费”及采购编号、标号、包号（购买款应通过潜在供应商公司名义对公转账或汇款，不接受个人汇款）。标书费支付的汇出时间视为供应商报名时间，如超过标书发售购买截止时间汇出的将不予受理。</w:t>
      </w:r>
    </w:p>
    <w:p>
      <w:pPr>
        <w:keepNext w:val="0"/>
        <w:keepLines w:val="0"/>
        <w:pageBreakBefore w:val="0"/>
        <w:kinsoku/>
        <w:wordWrap/>
        <w:overflowPunct/>
        <w:topLinePunct w:val="0"/>
        <w:bidi w:val="0"/>
        <w:adjustRightInd w:val="0"/>
        <w:snapToGrid/>
        <w:spacing w:line="391" w:lineRule="exact"/>
        <w:ind w:left="0" w:leftChars="0" w:right="0" w:rightChars="0"/>
        <w:textAlignment w:val="auto"/>
        <w:outlineLvl w:val="9"/>
        <w:rPr>
          <w:rFonts w:hint="eastAsia"/>
          <w:color w:val="auto"/>
          <w:highlight w:val="none"/>
        </w:rPr>
      </w:pPr>
      <w:r>
        <w:rPr>
          <w:rFonts w:hint="eastAsia"/>
          <w:color w:val="auto"/>
          <w:highlight w:val="none"/>
        </w:rPr>
        <w:t>4.5发票开取及领取</w:t>
      </w:r>
    </w:p>
    <w:p>
      <w:pPr>
        <w:keepNext w:val="0"/>
        <w:keepLines w:val="0"/>
        <w:pageBreakBefore w:val="0"/>
        <w:kinsoku/>
        <w:wordWrap/>
        <w:overflowPunct/>
        <w:topLinePunct w:val="0"/>
        <w:bidi w:val="0"/>
        <w:adjustRightInd w:val="0"/>
        <w:snapToGrid/>
        <w:spacing w:line="391" w:lineRule="exact"/>
        <w:ind w:left="0" w:leftChars="0" w:right="0" w:rightChars="0"/>
        <w:textAlignment w:val="auto"/>
        <w:outlineLvl w:val="9"/>
        <w:rPr>
          <w:rFonts w:hint="eastAsia"/>
          <w:color w:val="auto"/>
          <w:highlight w:val="none"/>
        </w:rPr>
      </w:pPr>
      <w:r>
        <w:rPr>
          <w:rFonts w:hint="eastAsia"/>
          <w:color w:val="auto"/>
          <w:highlight w:val="none"/>
        </w:rPr>
        <w:t>附件2格式完整填写发票开取信息，标书发售购买发票在标书递交现场领取。</w:t>
      </w:r>
    </w:p>
    <w:p>
      <w:pPr>
        <w:keepNext w:val="0"/>
        <w:keepLines w:val="0"/>
        <w:pageBreakBefore w:val="0"/>
        <w:kinsoku/>
        <w:wordWrap/>
        <w:overflowPunct/>
        <w:topLinePunct w:val="0"/>
        <w:bidi w:val="0"/>
        <w:adjustRightInd w:val="0"/>
        <w:snapToGrid/>
        <w:spacing w:line="391" w:lineRule="exact"/>
        <w:ind w:left="0" w:leftChars="0" w:right="0" w:rightChars="0"/>
        <w:textAlignment w:val="auto"/>
        <w:outlineLvl w:val="9"/>
        <w:rPr>
          <w:rFonts w:hint="eastAsia"/>
          <w:color w:val="auto"/>
          <w:highlight w:val="none"/>
        </w:rPr>
      </w:pPr>
      <w:r>
        <w:rPr>
          <w:rFonts w:hint="eastAsia"/>
          <w:color w:val="auto"/>
          <w:highlight w:val="none"/>
        </w:rPr>
        <w:t>4.6请潜在供应商注意的其他事项</w:t>
      </w:r>
      <w:r>
        <w:rPr>
          <w:rFonts w:hint="eastAsia"/>
          <w:color w:val="auto"/>
          <w:highlight w:val="none"/>
          <w:lang w:val="en-US" w:eastAsia="zh-CN"/>
        </w:rPr>
        <w:t>:无</w:t>
      </w:r>
    </w:p>
    <w:p>
      <w:pPr>
        <w:keepNext w:val="0"/>
        <w:keepLines w:val="0"/>
        <w:pageBreakBefore w:val="0"/>
        <w:kinsoku/>
        <w:wordWrap/>
        <w:overflowPunct/>
        <w:topLinePunct w:val="0"/>
        <w:bidi w:val="0"/>
        <w:adjustRightInd w:val="0"/>
        <w:snapToGrid/>
        <w:spacing w:line="391" w:lineRule="exact"/>
        <w:ind w:left="0" w:leftChars="0" w:right="0" w:rightChars="0"/>
        <w:textAlignment w:val="auto"/>
        <w:outlineLvl w:val="9"/>
        <w:rPr>
          <w:rFonts w:hint="eastAsia"/>
          <w:b/>
          <w:bCs/>
          <w:color w:val="auto"/>
          <w:highlight w:val="none"/>
        </w:rPr>
      </w:pPr>
      <w:r>
        <w:rPr>
          <w:rFonts w:hint="eastAsia"/>
          <w:b/>
          <w:bCs/>
          <w:color w:val="auto"/>
          <w:highlight w:val="none"/>
          <w:lang w:val="en-US"/>
        </w:rPr>
        <w:t>5　应答文件的递交</w:t>
      </w:r>
    </w:p>
    <w:p>
      <w:pPr>
        <w:keepNext w:val="0"/>
        <w:keepLines w:val="0"/>
        <w:pageBreakBefore w:val="0"/>
        <w:kinsoku/>
        <w:wordWrap/>
        <w:overflowPunct/>
        <w:topLinePunct w:val="0"/>
        <w:bidi w:val="0"/>
        <w:adjustRightInd w:val="0"/>
        <w:snapToGrid/>
        <w:spacing w:line="391" w:lineRule="exact"/>
        <w:ind w:left="0" w:leftChars="0" w:right="0" w:rightChars="0"/>
        <w:textAlignment w:val="auto"/>
        <w:outlineLvl w:val="9"/>
        <w:rPr>
          <w:rFonts w:hint="eastAsia"/>
          <w:color w:val="auto"/>
          <w:highlight w:val="none"/>
        </w:rPr>
      </w:pPr>
      <w:r>
        <w:rPr>
          <w:rFonts w:hint="eastAsia"/>
          <w:color w:val="auto"/>
          <w:highlight w:val="none"/>
        </w:rPr>
        <w:t>5.1　应答文件递交时间为：2019年</w:t>
      </w:r>
      <w:r>
        <w:rPr>
          <w:rFonts w:hint="eastAsia"/>
          <w:color w:val="auto"/>
          <w:highlight w:val="none"/>
          <w:lang w:val="en-US" w:eastAsia="zh-CN"/>
        </w:rPr>
        <w:t>8</w:t>
      </w:r>
      <w:r>
        <w:rPr>
          <w:rFonts w:hint="eastAsia"/>
          <w:color w:val="auto"/>
          <w:highlight w:val="none"/>
        </w:rPr>
        <w:t>月</w:t>
      </w:r>
      <w:r>
        <w:rPr>
          <w:rFonts w:hint="eastAsia"/>
          <w:color w:val="auto"/>
          <w:highlight w:val="none"/>
          <w:lang w:val="en-US" w:eastAsia="zh-CN"/>
        </w:rPr>
        <w:t>1</w:t>
      </w:r>
      <w:r>
        <w:rPr>
          <w:rFonts w:hint="eastAsia"/>
          <w:color w:val="auto"/>
          <w:highlight w:val="none"/>
        </w:rPr>
        <w:t>日08时30分～10时00分（北京时间），纸质应答文件递交的截止时间为：2019年</w:t>
      </w:r>
      <w:r>
        <w:rPr>
          <w:rFonts w:hint="eastAsia"/>
          <w:color w:val="auto"/>
          <w:highlight w:val="none"/>
          <w:lang w:val="en-US" w:eastAsia="zh-CN"/>
        </w:rPr>
        <w:t>8</w:t>
      </w:r>
      <w:r>
        <w:rPr>
          <w:rFonts w:hint="eastAsia"/>
          <w:color w:val="auto"/>
          <w:highlight w:val="none"/>
        </w:rPr>
        <w:t>月</w:t>
      </w:r>
      <w:r>
        <w:rPr>
          <w:rFonts w:hint="eastAsia"/>
          <w:color w:val="auto"/>
          <w:highlight w:val="none"/>
          <w:lang w:val="en-US" w:eastAsia="zh-CN"/>
        </w:rPr>
        <w:t>1</w:t>
      </w:r>
      <w:r>
        <w:rPr>
          <w:rFonts w:hint="eastAsia"/>
          <w:color w:val="auto"/>
          <w:highlight w:val="none"/>
        </w:rPr>
        <w:t>日10时00分（北京时间），地点为：青海省西宁市生物科技产业园经四路3号1号楼3单元134</w:t>
      </w:r>
      <w:r>
        <w:rPr>
          <w:rFonts w:hint="eastAsia"/>
          <w:color w:val="auto"/>
          <w:highlight w:val="none"/>
          <w:lang w:val="en-US" w:eastAsia="zh-CN"/>
        </w:rPr>
        <w:t>2</w:t>
      </w:r>
      <w:r>
        <w:rPr>
          <w:rFonts w:hint="eastAsia"/>
          <w:color w:val="auto"/>
          <w:highlight w:val="none"/>
        </w:rPr>
        <w:t>室（黄河嘉酿啤酒有限公司斜对面）青海省电力技术开发实业公司。</w:t>
      </w:r>
    </w:p>
    <w:p>
      <w:pPr>
        <w:keepNext w:val="0"/>
        <w:keepLines w:val="0"/>
        <w:pageBreakBefore w:val="0"/>
        <w:kinsoku/>
        <w:wordWrap/>
        <w:overflowPunct/>
        <w:topLinePunct w:val="0"/>
        <w:bidi w:val="0"/>
        <w:adjustRightInd w:val="0"/>
        <w:snapToGrid/>
        <w:spacing w:line="391" w:lineRule="exact"/>
        <w:ind w:left="0" w:leftChars="0" w:right="0" w:rightChars="0"/>
        <w:textAlignment w:val="auto"/>
        <w:outlineLvl w:val="9"/>
        <w:rPr>
          <w:rFonts w:hint="eastAsia"/>
          <w:color w:val="auto"/>
          <w:highlight w:val="none"/>
        </w:rPr>
      </w:pPr>
      <w:r>
        <w:rPr>
          <w:rFonts w:hint="eastAsia"/>
          <w:color w:val="auto"/>
          <w:highlight w:val="none"/>
        </w:rPr>
        <w:t>5.2　应答截止时间之后送达或者未送达指定地点的应答文件，应答截止时间之后提交的应答文件，采购人不予受理。不接受邮寄方式提交应答文件及应答文件的修改文件。</w:t>
      </w:r>
    </w:p>
    <w:p>
      <w:pPr>
        <w:keepNext w:val="0"/>
        <w:keepLines w:val="0"/>
        <w:pageBreakBefore w:val="0"/>
        <w:kinsoku/>
        <w:wordWrap/>
        <w:overflowPunct/>
        <w:topLinePunct w:val="0"/>
        <w:bidi w:val="0"/>
        <w:adjustRightInd w:val="0"/>
        <w:snapToGrid/>
        <w:spacing w:line="391" w:lineRule="exact"/>
        <w:ind w:left="0" w:leftChars="0" w:right="0" w:rightChars="0"/>
        <w:textAlignment w:val="auto"/>
        <w:outlineLvl w:val="9"/>
        <w:rPr>
          <w:rFonts w:hint="eastAsia"/>
          <w:color w:val="auto"/>
          <w:highlight w:val="none"/>
        </w:rPr>
      </w:pPr>
      <w:r>
        <w:rPr>
          <w:rFonts w:hint="eastAsia"/>
          <w:color w:val="auto"/>
          <w:highlight w:val="none"/>
        </w:rPr>
        <w:t>5.3　未按本公告要求购买采购文件的应答，采购人不予受理。</w:t>
      </w:r>
    </w:p>
    <w:p>
      <w:pPr>
        <w:keepNext w:val="0"/>
        <w:keepLines w:val="0"/>
        <w:pageBreakBefore w:val="0"/>
        <w:kinsoku/>
        <w:wordWrap/>
        <w:overflowPunct/>
        <w:topLinePunct w:val="0"/>
        <w:bidi w:val="0"/>
        <w:adjustRightInd w:val="0"/>
        <w:snapToGrid/>
        <w:spacing w:line="391" w:lineRule="exact"/>
        <w:ind w:left="0" w:leftChars="0" w:right="0" w:rightChars="0"/>
        <w:textAlignment w:val="auto"/>
        <w:outlineLvl w:val="9"/>
        <w:rPr>
          <w:rFonts w:hint="eastAsia"/>
          <w:color w:val="auto"/>
          <w:highlight w:val="none"/>
        </w:rPr>
      </w:pPr>
      <w:r>
        <w:rPr>
          <w:rFonts w:hint="eastAsia"/>
          <w:color w:val="auto"/>
          <w:highlight w:val="none"/>
        </w:rPr>
        <w:t>5.4  请潜在供应商注意的其他事项：</w:t>
      </w:r>
      <w:r>
        <w:rPr>
          <w:rFonts w:hint="eastAsia"/>
          <w:color w:val="auto"/>
          <w:highlight w:val="none"/>
          <w:lang w:eastAsia="zh-CN"/>
        </w:rPr>
        <w:t>无</w:t>
      </w:r>
    </w:p>
    <w:p>
      <w:pPr>
        <w:keepNext w:val="0"/>
        <w:keepLines w:val="0"/>
        <w:pageBreakBefore w:val="0"/>
        <w:kinsoku/>
        <w:wordWrap/>
        <w:overflowPunct/>
        <w:topLinePunct w:val="0"/>
        <w:bidi w:val="0"/>
        <w:adjustRightInd w:val="0"/>
        <w:snapToGrid/>
        <w:spacing w:line="391" w:lineRule="exact"/>
        <w:ind w:left="0" w:leftChars="0" w:right="0" w:rightChars="0"/>
        <w:textAlignment w:val="auto"/>
        <w:outlineLvl w:val="9"/>
        <w:rPr>
          <w:rFonts w:hint="eastAsia"/>
          <w:b/>
          <w:bCs/>
          <w:color w:val="auto"/>
          <w:highlight w:val="none"/>
          <w:lang w:val="en-US"/>
        </w:rPr>
      </w:pPr>
      <w:bookmarkStart w:id="20" w:name="_Toc390063405"/>
      <w:bookmarkStart w:id="21" w:name="_Toc389216457"/>
      <w:bookmarkStart w:id="22" w:name="_Toc389718328"/>
      <w:bookmarkStart w:id="23" w:name="_Toc390063261"/>
      <w:r>
        <w:rPr>
          <w:rFonts w:hint="eastAsia"/>
          <w:b/>
          <w:bCs/>
          <w:color w:val="auto"/>
          <w:highlight w:val="none"/>
          <w:lang w:val="en-US"/>
        </w:rPr>
        <w:t>6　谈判时间及地点</w:t>
      </w:r>
      <w:bookmarkEnd w:id="20"/>
      <w:bookmarkEnd w:id="21"/>
      <w:bookmarkEnd w:id="22"/>
      <w:bookmarkEnd w:id="23"/>
    </w:p>
    <w:p>
      <w:pPr>
        <w:keepNext w:val="0"/>
        <w:keepLines w:val="0"/>
        <w:pageBreakBefore w:val="0"/>
        <w:kinsoku/>
        <w:wordWrap/>
        <w:overflowPunct/>
        <w:topLinePunct w:val="0"/>
        <w:bidi w:val="0"/>
        <w:adjustRightInd w:val="0"/>
        <w:snapToGrid/>
        <w:spacing w:line="391" w:lineRule="exact"/>
        <w:ind w:left="0" w:leftChars="0" w:right="0" w:rightChars="0" w:firstLine="420" w:firstLineChars="200"/>
        <w:textAlignment w:val="auto"/>
        <w:outlineLvl w:val="9"/>
        <w:rPr>
          <w:rFonts w:hint="eastAsia"/>
          <w:color w:val="auto"/>
          <w:highlight w:val="none"/>
        </w:rPr>
      </w:pPr>
      <w:r>
        <w:rPr>
          <w:rFonts w:hint="eastAsia"/>
          <w:color w:val="auto"/>
          <w:highlight w:val="none"/>
        </w:rPr>
        <w:t>定于2019 年</w:t>
      </w:r>
      <w:r>
        <w:rPr>
          <w:rFonts w:hint="eastAsia"/>
          <w:color w:val="auto"/>
          <w:highlight w:val="none"/>
          <w:lang w:val="en-US" w:eastAsia="zh-CN"/>
        </w:rPr>
        <w:t>8</w:t>
      </w:r>
      <w:r>
        <w:rPr>
          <w:rFonts w:hint="eastAsia"/>
          <w:color w:val="auto"/>
          <w:highlight w:val="none"/>
        </w:rPr>
        <w:t>月</w:t>
      </w:r>
      <w:r>
        <w:rPr>
          <w:rFonts w:hint="eastAsia"/>
          <w:color w:val="auto"/>
          <w:highlight w:val="none"/>
          <w:lang w:val="en-US" w:eastAsia="zh-CN"/>
        </w:rPr>
        <w:t>1</w:t>
      </w:r>
      <w:r>
        <w:rPr>
          <w:rFonts w:hint="eastAsia"/>
          <w:color w:val="auto"/>
          <w:highlight w:val="none"/>
        </w:rPr>
        <w:t>日1</w:t>
      </w:r>
      <w:r>
        <w:rPr>
          <w:rFonts w:hint="eastAsia"/>
          <w:color w:val="auto"/>
          <w:highlight w:val="none"/>
          <w:lang w:val="en-US" w:eastAsia="zh-CN"/>
        </w:rPr>
        <w:t>1</w:t>
      </w:r>
      <w:r>
        <w:rPr>
          <w:rFonts w:hint="eastAsia"/>
          <w:color w:val="auto"/>
          <w:highlight w:val="none"/>
        </w:rPr>
        <w:t>时</w:t>
      </w:r>
      <w:r>
        <w:rPr>
          <w:rFonts w:hint="eastAsia"/>
          <w:color w:val="auto"/>
          <w:highlight w:val="none"/>
          <w:lang w:val="en-US" w:eastAsia="zh-CN"/>
        </w:rPr>
        <w:t>0</w:t>
      </w:r>
      <w:r>
        <w:rPr>
          <w:rFonts w:hint="eastAsia"/>
          <w:color w:val="auto"/>
          <w:highlight w:val="none"/>
        </w:rPr>
        <w:t>0分进行谈判，谈判时需贵单位（公司）技术、商务人员进行现场答疑，谈判地点：青海省西宁市生物科技产业园经四路3号1号楼3单元1342室（黄河嘉酿啤酒有限公司斜对面）青海省电力技术开发实业公司。</w:t>
      </w:r>
      <w:bookmarkStart w:id="24" w:name="_Toc385787478"/>
      <w:bookmarkStart w:id="25" w:name="_Toc389216458"/>
      <w:bookmarkStart w:id="26" w:name="_Toc385609772"/>
      <w:bookmarkStart w:id="27" w:name="_Toc389718329"/>
      <w:bookmarkStart w:id="28" w:name="_Toc390063262"/>
      <w:bookmarkStart w:id="29" w:name="_Toc387167807"/>
      <w:bookmarkStart w:id="30" w:name="_Toc386987374"/>
      <w:bookmarkStart w:id="31" w:name="_Toc385783733"/>
      <w:bookmarkStart w:id="32" w:name="_Toc390063406"/>
      <w:bookmarkStart w:id="33" w:name="_Toc385584509"/>
      <w:bookmarkStart w:id="34" w:name="_Toc385586231"/>
      <w:bookmarkStart w:id="35" w:name="_Toc386615090"/>
      <w:bookmarkStart w:id="36" w:name="_Toc386559312"/>
    </w:p>
    <w:p>
      <w:pPr>
        <w:keepNext w:val="0"/>
        <w:keepLines w:val="0"/>
        <w:pageBreakBefore w:val="0"/>
        <w:kinsoku/>
        <w:wordWrap/>
        <w:overflowPunct/>
        <w:topLinePunct w:val="0"/>
        <w:bidi w:val="0"/>
        <w:adjustRightInd w:val="0"/>
        <w:snapToGrid/>
        <w:spacing w:line="391" w:lineRule="exact"/>
        <w:ind w:left="0" w:leftChars="0" w:right="0" w:rightChars="0"/>
        <w:textAlignment w:val="auto"/>
        <w:outlineLvl w:val="9"/>
        <w:rPr>
          <w:rFonts w:hint="eastAsia"/>
          <w:b/>
          <w:bCs/>
          <w:color w:val="auto"/>
          <w:highlight w:val="none"/>
          <w:lang w:val="en-US"/>
        </w:rPr>
      </w:pPr>
      <w:r>
        <w:rPr>
          <w:rFonts w:hint="eastAsia"/>
          <w:b/>
          <w:bCs/>
          <w:color w:val="auto"/>
          <w:highlight w:val="none"/>
          <w:lang w:val="en-US"/>
        </w:rPr>
        <w:t>7　发布公告的媒介</w:t>
      </w:r>
      <w:bookmarkEnd w:id="24"/>
      <w:bookmarkEnd w:id="25"/>
      <w:bookmarkEnd w:id="26"/>
      <w:bookmarkEnd w:id="27"/>
      <w:bookmarkEnd w:id="28"/>
      <w:bookmarkEnd w:id="29"/>
      <w:bookmarkEnd w:id="30"/>
      <w:bookmarkEnd w:id="31"/>
      <w:bookmarkEnd w:id="32"/>
      <w:bookmarkEnd w:id="33"/>
      <w:bookmarkEnd w:id="34"/>
      <w:bookmarkEnd w:id="35"/>
      <w:bookmarkEnd w:id="36"/>
    </w:p>
    <w:p>
      <w:pPr>
        <w:keepNext w:val="0"/>
        <w:keepLines w:val="0"/>
        <w:pageBreakBefore w:val="0"/>
        <w:kinsoku/>
        <w:wordWrap/>
        <w:overflowPunct/>
        <w:topLinePunct w:val="0"/>
        <w:bidi w:val="0"/>
        <w:adjustRightInd w:val="0"/>
        <w:snapToGrid/>
        <w:spacing w:line="391" w:lineRule="exact"/>
        <w:ind w:left="0" w:leftChars="0" w:right="0" w:rightChars="0" w:firstLine="420" w:firstLineChars="200"/>
        <w:textAlignment w:val="auto"/>
        <w:outlineLvl w:val="9"/>
        <w:rPr>
          <w:rFonts w:hint="eastAsia"/>
          <w:color w:val="auto"/>
          <w:highlight w:val="none"/>
        </w:rPr>
      </w:pPr>
      <w:bookmarkStart w:id="37" w:name="_Toc385787479"/>
      <w:bookmarkStart w:id="38" w:name="_Toc385584510"/>
      <w:bookmarkStart w:id="39" w:name="_Toc387167808"/>
      <w:bookmarkStart w:id="40" w:name="_Toc385586232"/>
      <w:bookmarkStart w:id="41" w:name="_Toc386987375"/>
      <w:bookmarkStart w:id="42" w:name="_Toc390063407"/>
      <w:bookmarkStart w:id="43" w:name="_Toc389718330"/>
      <w:bookmarkStart w:id="44" w:name="_Toc389216459"/>
      <w:bookmarkStart w:id="45" w:name="_Toc390063263"/>
      <w:bookmarkStart w:id="46" w:name="_Toc385609773"/>
      <w:bookmarkStart w:id="47" w:name="_Toc385783734"/>
      <w:bookmarkStart w:id="48" w:name="_Toc386615091"/>
      <w:bookmarkStart w:id="49" w:name="_Toc386559313"/>
      <w:r>
        <w:rPr>
          <w:rFonts w:hint="eastAsia"/>
          <w:color w:val="auto"/>
          <w:highlight w:val="none"/>
        </w:rPr>
        <w:t>本次采购采取公开采购方式，招标代理机构在下列网站上发布采购公告，采购公告将明确对潜在供应商的资格要求、发售采购文件的日期和地点、应答、开封等事宜：</w:t>
      </w:r>
    </w:p>
    <w:p>
      <w:pPr>
        <w:keepNext w:val="0"/>
        <w:keepLines w:val="0"/>
        <w:pageBreakBefore w:val="0"/>
        <w:kinsoku/>
        <w:wordWrap/>
        <w:overflowPunct/>
        <w:topLinePunct w:val="0"/>
        <w:bidi w:val="0"/>
        <w:adjustRightInd w:val="0"/>
        <w:snapToGrid/>
        <w:spacing w:line="391" w:lineRule="exact"/>
        <w:ind w:left="0" w:leftChars="0" w:right="0" w:rightChars="0" w:firstLine="420" w:firstLineChars="200"/>
        <w:textAlignment w:val="auto"/>
        <w:outlineLvl w:val="9"/>
        <w:rPr>
          <w:rFonts w:hint="eastAsia"/>
          <w:color w:val="auto"/>
          <w:highlight w:val="none"/>
          <w:lang w:eastAsia="zh-CN"/>
        </w:rPr>
      </w:pPr>
      <w:r>
        <w:rPr>
          <w:rFonts w:hint="eastAsia"/>
          <w:color w:val="auto"/>
          <w:highlight w:val="none"/>
        </w:rPr>
        <w:t>“中国招标投标公共服务平台”（www.cebpubservice.com）</w:t>
      </w:r>
      <w:bookmarkStart w:id="50" w:name="_Hlt507747549"/>
      <w:bookmarkEnd w:id="50"/>
      <w:r>
        <w:rPr>
          <w:rFonts w:hint="eastAsia"/>
          <w:color w:val="auto"/>
          <w:highlight w:val="none"/>
          <w:lang w:eastAsia="zh-CN"/>
        </w:rPr>
        <w:t>；</w:t>
      </w:r>
    </w:p>
    <w:p>
      <w:pPr>
        <w:keepNext w:val="0"/>
        <w:keepLines w:val="0"/>
        <w:pageBreakBefore w:val="0"/>
        <w:kinsoku/>
        <w:wordWrap/>
        <w:overflowPunct/>
        <w:topLinePunct w:val="0"/>
        <w:bidi w:val="0"/>
        <w:adjustRightInd w:val="0"/>
        <w:snapToGrid/>
        <w:spacing w:line="391" w:lineRule="exact"/>
        <w:ind w:left="0" w:leftChars="0" w:right="0" w:rightChars="0" w:firstLine="420" w:firstLineChars="200"/>
        <w:textAlignment w:val="auto"/>
        <w:outlineLvl w:val="9"/>
        <w:rPr>
          <w:rFonts w:hint="eastAsia"/>
          <w:color w:val="auto"/>
          <w:highlight w:val="none"/>
        </w:rPr>
      </w:pPr>
      <w:r>
        <w:rPr>
          <w:rFonts w:hint="eastAsia"/>
          <w:color w:val="auto"/>
          <w:highlight w:val="none"/>
        </w:rPr>
        <w:t>“</w:t>
      </w:r>
      <w:r>
        <w:rPr>
          <w:rFonts w:hint="eastAsia"/>
          <w:color w:val="auto"/>
          <w:highlight w:val="none"/>
          <w:lang w:eastAsia="zh-CN"/>
        </w:rPr>
        <w:t>青海项目信息网</w:t>
      </w:r>
      <w:r>
        <w:rPr>
          <w:rFonts w:hint="eastAsia"/>
          <w:color w:val="auto"/>
          <w:highlight w:val="none"/>
        </w:rPr>
        <w:t>”（</w:t>
      </w:r>
      <w:r>
        <w:rPr>
          <w:rFonts w:hint="eastAsia"/>
          <w:color w:val="auto"/>
          <w:highlight w:val="none"/>
          <w:lang w:eastAsia="zh-CN"/>
        </w:rPr>
        <w:t>www.qhei.net.cn</w:t>
      </w:r>
      <w:r>
        <w:rPr>
          <w:rFonts w:hint="eastAsia"/>
          <w:color w:val="auto"/>
          <w:highlight w:val="none"/>
        </w:rPr>
        <w:t>）</w:t>
      </w:r>
      <w:r>
        <w:rPr>
          <w:rFonts w:hint="eastAsia"/>
          <w:color w:val="auto"/>
          <w:highlight w:val="none"/>
          <w:lang w:eastAsia="zh-CN"/>
        </w:rPr>
        <w:t>。</w:t>
      </w:r>
    </w:p>
    <w:p>
      <w:pPr>
        <w:keepNext w:val="0"/>
        <w:keepLines w:val="0"/>
        <w:pageBreakBefore w:val="0"/>
        <w:kinsoku/>
        <w:wordWrap/>
        <w:overflowPunct/>
        <w:topLinePunct w:val="0"/>
        <w:bidi w:val="0"/>
        <w:adjustRightInd w:val="0"/>
        <w:snapToGrid/>
        <w:spacing w:line="391" w:lineRule="exact"/>
        <w:ind w:left="0" w:leftChars="0" w:right="0" w:rightChars="0"/>
        <w:textAlignment w:val="auto"/>
        <w:outlineLvl w:val="9"/>
        <w:rPr>
          <w:rFonts w:hint="eastAsia"/>
          <w:b/>
          <w:bCs/>
          <w:color w:val="auto"/>
          <w:highlight w:val="none"/>
          <w:lang w:val="en-US"/>
        </w:rPr>
      </w:pPr>
      <w:r>
        <w:rPr>
          <w:rFonts w:hint="eastAsia"/>
          <w:b/>
          <w:bCs/>
          <w:color w:val="auto"/>
          <w:highlight w:val="none"/>
          <w:lang w:val="en-US"/>
        </w:rPr>
        <w:t>8　</w:t>
      </w:r>
      <w:bookmarkEnd w:id="37"/>
      <w:bookmarkEnd w:id="38"/>
      <w:bookmarkEnd w:id="39"/>
      <w:bookmarkEnd w:id="40"/>
      <w:bookmarkEnd w:id="41"/>
      <w:bookmarkEnd w:id="42"/>
      <w:bookmarkEnd w:id="43"/>
      <w:bookmarkEnd w:id="44"/>
      <w:bookmarkEnd w:id="45"/>
      <w:bookmarkEnd w:id="46"/>
      <w:bookmarkEnd w:id="47"/>
      <w:bookmarkEnd w:id="48"/>
      <w:bookmarkEnd w:id="49"/>
      <w:r>
        <w:rPr>
          <w:rFonts w:hint="eastAsia"/>
          <w:b/>
          <w:bCs/>
          <w:color w:val="auto"/>
          <w:highlight w:val="none"/>
          <w:lang w:val="en-US"/>
        </w:rPr>
        <w:t>采购文件购买联系方式</w:t>
      </w:r>
    </w:p>
    <w:p>
      <w:pPr>
        <w:keepNext w:val="0"/>
        <w:keepLines w:val="0"/>
        <w:pageBreakBefore w:val="0"/>
        <w:kinsoku/>
        <w:wordWrap/>
        <w:overflowPunct/>
        <w:topLinePunct w:val="0"/>
        <w:bidi w:val="0"/>
        <w:adjustRightInd w:val="0"/>
        <w:snapToGrid/>
        <w:spacing w:line="391" w:lineRule="exact"/>
        <w:ind w:left="0" w:leftChars="0" w:right="0" w:rightChars="0" w:firstLine="420" w:firstLineChars="200"/>
        <w:textAlignment w:val="auto"/>
        <w:outlineLvl w:val="9"/>
        <w:rPr>
          <w:rFonts w:hint="eastAsia"/>
          <w:color w:val="auto"/>
          <w:highlight w:val="none"/>
        </w:rPr>
      </w:pPr>
      <w:r>
        <w:rPr>
          <w:rFonts w:hint="eastAsia"/>
          <w:color w:val="auto"/>
          <w:highlight w:val="none"/>
        </w:rPr>
        <w:t>招标代理机构：青海省电力技术开发实业公司</w:t>
      </w:r>
    </w:p>
    <w:p>
      <w:pPr>
        <w:keepNext w:val="0"/>
        <w:keepLines w:val="0"/>
        <w:pageBreakBefore w:val="0"/>
        <w:kinsoku/>
        <w:wordWrap/>
        <w:overflowPunct/>
        <w:topLinePunct w:val="0"/>
        <w:bidi w:val="0"/>
        <w:adjustRightInd w:val="0"/>
        <w:snapToGrid/>
        <w:spacing w:line="391" w:lineRule="exact"/>
        <w:ind w:left="0" w:leftChars="0" w:right="0" w:rightChars="0" w:firstLine="420" w:firstLineChars="200"/>
        <w:textAlignment w:val="auto"/>
        <w:outlineLvl w:val="9"/>
        <w:rPr>
          <w:rFonts w:hint="eastAsia"/>
          <w:color w:val="auto"/>
          <w:highlight w:val="none"/>
        </w:rPr>
      </w:pPr>
      <w:r>
        <w:rPr>
          <w:rFonts w:hint="eastAsia"/>
          <w:color w:val="auto"/>
          <w:highlight w:val="none"/>
        </w:rPr>
        <w:t>地        址：青海省西宁市生物科技产业园经四路3号1号楼3单元13</w:t>
      </w:r>
      <w:r>
        <w:rPr>
          <w:rFonts w:hint="eastAsia"/>
          <w:color w:val="auto"/>
          <w:highlight w:val="none"/>
          <w:lang w:val="en-US" w:eastAsia="zh-CN"/>
        </w:rPr>
        <w:t>6</w:t>
      </w:r>
      <w:r>
        <w:rPr>
          <w:rFonts w:hint="eastAsia"/>
          <w:color w:val="auto"/>
          <w:highlight w:val="none"/>
        </w:rPr>
        <w:t>1室（黄河嘉酿啤酒有限公司斜对面）青海省电力技术开发实业公司</w:t>
      </w:r>
    </w:p>
    <w:p>
      <w:pPr>
        <w:keepNext w:val="0"/>
        <w:keepLines w:val="0"/>
        <w:pageBreakBefore w:val="0"/>
        <w:kinsoku/>
        <w:wordWrap/>
        <w:overflowPunct/>
        <w:topLinePunct w:val="0"/>
        <w:bidi w:val="0"/>
        <w:adjustRightInd w:val="0"/>
        <w:snapToGrid/>
        <w:spacing w:line="391" w:lineRule="exact"/>
        <w:ind w:left="0" w:leftChars="0" w:right="0" w:rightChars="0" w:firstLine="420" w:firstLineChars="200"/>
        <w:textAlignment w:val="auto"/>
        <w:outlineLvl w:val="9"/>
        <w:rPr>
          <w:rFonts w:hint="eastAsia"/>
          <w:color w:val="auto"/>
          <w:highlight w:val="none"/>
        </w:rPr>
      </w:pPr>
      <w:r>
        <w:rPr>
          <w:rFonts w:hint="eastAsia"/>
          <w:color w:val="auto"/>
          <w:highlight w:val="none"/>
        </w:rPr>
        <w:t>邮        编：810016</w:t>
      </w:r>
    </w:p>
    <w:p>
      <w:pPr>
        <w:keepNext w:val="0"/>
        <w:keepLines w:val="0"/>
        <w:pageBreakBefore w:val="0"/>
        <w:kinsoku/>
        <w:wordWrap/>
        <w:overflowPunct/>
        <w:topLinePunct w:val="0"/>
        <w:bidi w:val="0"/>
        <w:adjustRightInd w:val="0"/>
        <w:snapToGrid/>
        <w:spacing w:line="391" w:lineRule="exact"/>
        <w:ind w:left="0" w:leftChars="0" w:right="0" w:rightChars="0" w:firstLine="420" w:firstLineChars="200"/>
        <w:textAlignment w:val="auto"/>
        <w:outlineLvl w:val="9"/>
        <w:rPr>
          <w:rFonts w:hint="eastAsia"/>
          <w:color w:val="auto"/>
          <w:highlight w:val="none"/>
        </w:rPr>
      </w:pPr>
      <w:r>
        <w:rPr>
          <w:rFonts w:hint="eastAsia"/>
          <w:color w:val="auto"/>
          <w:highlight w:val="none"/>
        </w:rPr>
        <w:t>开户银行    ：中国工商银行股份有限公司西宁中心广场支行</w:t>
      </w:r>
    </w:p>
    <w:p>
      <w:pPr>
        <w:keepNext w:val="0"/>
        <w:keepLines w:val="0"/>
        <w:pageBreakBefore w:val="0"/>
        <w:kinsoku/>
        <w:wordWrap/>
        <w:overflowPunct/>
        <w:topLinePunct w:val="0"/>
        <w:bidi w:val="0"/>
        <w:adjustRightInd w:val="0"/>
        <w:snapToGrid/>
        <w:spacing w:line="391" w:lineRule="exact"/>
        <w:ind w:left="0" w:leftChars="0" w:right="0" w:rightChars="0" w:firstLine="420" w:firstLineChars="200"/>
        <w:textAlignment w:val="auto"/>
        <w:outlineLvl w:val="9"/>
        <w:rPr>
          <w:rFonts w:hint="eastAsia"/>
          <w:color w:val="auto"/>
          <w:highlight w:val="none"/>
        </w:rPr>
      </w:pPr>
      <w:r>
        <w:rPr>
          <w:rFonts w:hint="eastAsia"/>
          <w:color w:val="auto"/>
          <w:highlight w:val="none"/>
        </w:rPr>
        <w:t>账    号    ：2806026809100003950</w:t>
      </w:r>
    </w:p>
    <w:p>
      <w:pPr>
        <w:keepNext w:val="0"/>
        <w:keepLines w:val="0"/>
        <w:pageBreakBefore w:val="0"/>
        <w:kinsoku/>
        <w:wordWrap/>
        <w:overflowPunct/>
        <w:topLinePunct w:val="0"/>
        <w:bidi w:val="0"/>
        <w:adjustRightInd w:val="0"/>
        <w:snapToGrid/>
        <w:spacing w:line="391" w:lineRule="exact"/>
        <w:ind w:left="0" w:leftChars="0" w:right="0" w:rightChars="0" w:firstLine="420" w:firstLineChars="200"/>
        <w:textAlignment w:val="auto"/>
        <w:outlineLvl w:val="9"/>
        <w:rPr>
          <w:rFonts w:hint="eastAsia"/>
          <w:color w:val="auto"/>
          <w:highlight w:val="none"/>
        </w:rPr>
      </w:pPr>
      <w:r>
        <w:rPr>
          <w:rFonts w:hint="eastAsia"/>
          <w:color w:val="auto"/>
          <w:highlight w:val="none"/>
        </w:rPr>
        <w:t>标书购买开具发票联系人：</w:t>
      </w:r>
      <w:r>
        <w:rPr>
          <w:rFonts w:hint="eastAsia"/>
          <w:color w:val="auto"/>
          <w:highlight w:val="none"/>
          <w:lang w:eastAsia="zh-CN"/>
        </w:rPr>
        <w:t>李</w:t>
      </w:r>
      <w:r>
        <w:rPr>
          <w:rFonts w:hint="eastAsia"/>
          <w:color w:val="auto"/>
          <w:highlight w:val="none"/>
          <w:lang w:val="en-US" w:eastAsia="zh-CN"/>
        </w:rPr>
        <w:t xml:space="preserve">  </w:t>
      </w:r>
      <w:r>
        <w:rPr>
          <w:rFonts w:hint="eastAsia"/>
          <w:color w:val="auto"/>
          <w:highlight w:val="none"/>
          <w:lang w:eastAsia="zh-CN"/>
        </w:rPr>
        <w:t>静</w:t>
      </w:r>
      <w:r>
        <w:rPr>
          <w:rFonts w:hint="eastAsia"/>
          <w:color w:val="auto"/>
          <w:highlight w:val="none"/>
        </w:rPr>
        <w:t xml:space="preserve">                    联系电话：0971-</w:t>
      </w:r>
      <w:r>
        <w:rPr>
          <w:rFonts w:hint="eastAsia"/>
          <w:color w:val="auto"/>
          <w:highlight w:val="none"/>
          <w:lang w:eastAsia="zh-CN"/>
        </w:rPr>
        <w:t>6073425</w:t>
      </w:r>
    </w:p>
    <w:p>
      <w:pPr>
        <w:keepNext w:val="0"/>
        <w:keepLines w:val="0"/>
        <w:pageBreakBefore w:val="0"/>
        <w:kinsoku/>
        <w:wordWrap/>
        <w:overflowPunct/>
        <w:topLinePunct w:val="0"/>
        <w:bidi w:val="0"/>
        <w:adjustRightInd w:val="0"/>
        <w:snapToGrid/>
        <w:spacing w:line="391" w:lineRule="exact"/>
        <w:ind w:left="0" w:leftChars="0" w:right="0" w:rightChars="0" w:firstLine="420" w:firstLineChars="200"/>
        <w:textAlignment w:val="auto"/>
        <w:outlineLvl w:val="9"/>
        <w:rPr>
          <w:rFonts w:hint="eastAsia"/>
          <w:color w:val="auto"/>
          <w:highlight w:val="none"/>
        </w:rPr>
      </w:pPr>
      <w:r>
        <w:rPr>
          <w:rFonts w:hint="eastAsia"/>
          <w:color w:val="auto"/>
          <w:highlight w:val="none"/>
        </w:rPr>
        <w:t xml:space="preserve">应答保证金退还联系人：  </w:t>
      </w:r>
      <w:r>
        <w:rPr>
          <w:rFonts w:hint="eastAsia"/>
          <w:color w:val="auto"/>
          <w:highlight w:val="none"/>
          <w:lang w:eastAsia="zh-CN"/>
        </w:rPr>
        <w:t>李</w:t>
      </w:r>
      <w:r>
        <w:rPr>
          <w:rFonts w:hint="eastAsia"/>
          <w:color w:val="auto"/>
          <w:highlight w:val="none"/>
          <w:lang w:val="en-US" w:eastAsia="zh-CN"/>
        </w:rPr>
        <w:t xml:space="preserve">  </w:t>
      </w:r>
      <w:r>
        <w:rPr>
          <w:rFonts w:hint="eastAsia"/>
          <w:color w:val="auto"/>
          <w:highlight w:val="none"/>
          <w:lang w:eastAsia="zh-CN"/>
        </w:rPr>
        <w:t>静</w:t>
      </w:r>
      <w:r>
        <w:rPr>
          <w:rFonts w:hint="eastAsia"/>
          <w:color w:val="auto"/>
          <w:highlight w:val="none"/>
        </w:rPr>
        <w:t xml:space="preserve">                </w:t>
      </w:r>
      <w:r>
        <w:rPr>
          <w:rFonts w:hint="eastAsia"/>
          <w:color w:val="auto"/>
          <w:highlight w:val="none"/>
          <w:lang w:val="en-US" w:eastAsia="zh-CN"/>
        </w:rPr>
        <w:t xml:space="preserve"> </w:t>
      </w:r>
      <w:r>
        <w:rPr>
          <w:rFonts w:hint="eastAsia"/>
          <w:color w:val="auto"/>
          <w:highlight w:val="none"/>
        </w:rPr>
        <w:t xml:space="preserve">    联系电话：0971-</w:t>
      </w:r>
      <w:r>
        <w:rPr>
          <w:rFonts w:hint="eastAsia"/>
          <w:color w:val="auto"/>
          <w:highlight w:val="none"/>
          <w:lang w:eastAsia="zh-CN"/>
        </w:rPr>
        <w:t>6073425</w:t>
      </w:r>
    </w:p>
    <w:p>
      <w:pPr>
        <w:keepNext w:val="0"/>
        <w:keepLines w:val="0"/>
        <w:pageBreakBefore w:val="0"/>
        <w:kinsoku/>
        <w:wordWrap/>
        <w:overflowPunct/>
        <w:topLinePunct w:val="0"/>
        <w:bidi w:val="0"/>
        <w:adjustRightInd w:val="0"/>
        <w:snapToGrid/>
        <w:spacing w:line="391" w:lineRule="exact"/>
        <w:ind w:left="0" w:leftChars="0" w:right="0" w:rightChars="0" w:firstLine="420" w:firstLineChars="200"/>
        <w:textAlignment w:val="auto"/>
        <w:outlineLvl w:val="9"/>
        <w:rPr>
          <w:rFonts w:hint="eastAsia"/>
          <w:color w:val="auto"/>
          <w:highlight w:val="none"/>
        </w:rPr>
      </w:pPr>
      <w:r>
        <w:rPr>
          <w:rFonts w:hint="eastAsia"/>
          <w:color w:val="auto"/>
          <w:highlight w:val="none"/>
        </w:rPr>
        <w:t>标书购买及答疑联系人：</w:t>
      </w:r>
      <w:r>
        <w:rPr>
          <w:rFonts w:hint="eastAsia"/>
          <w:color w:val="auto"/>
          <w:highlight w:val="none"/>
          <w:lang w:val="en-US" w:eastAsia="zh-CN"/>
        </w:rPr>
        <w:t>罗文彬</w:t>
      </w:r>
      <w:r>
        <w:rPr>
          <w:rFonts w:hint="eastAsia"/>
          <w:color w:val="auto"/>
          <w:highlight w:val="none"/>
        </w:rPr>
        <w:t xml:space="preserve">                   联系电话：0971-</w:t>
      </w:r>
      <w:r>
        <w:rPr>
          <w:rFonts w:hint="eastAsia"/>
          <w:color w:val="auto"/>
          <w:highlight w:val="none"/>
          <w:lang w:eastAsia="zh-CN"/>
        </w:rPr>
        <w:t>6073405</w:t>
      </w:r>
    </w:p>
    <w:p>
      <w:pPr>
        <w:keepNext w:val="0"/>
        <w:keepLines w:val="0"/>
        <w:pageBreakBefore w:val="0"/>
        <w:kinsoku/>
        <w:wordWrap/>
        <w:overflowPunct/>
        <w:topLinePunct w:val="0"/>
        <w:bidi w:val="0"/>
        <w:adjustRightInd w:val="0"/>
        <w:snapToGrid/>
        <w:spacing w:line="391" w:lineRule="exact"/>
        <w:ind w:left="0" w:leftChars="0" w:right="0" w:rightChars="0"/>
        <w:textAlignment w:val="auto"/>
        <w:outlineLvl w:val="9"/>
        <w:rPr>
          <w:rFonts w:hint="eastAsia"/>
          <w:b/>
          <w:bCs/>
          <w:color w:val="auto"/>
          <w:highlight w:val="none"/>
          <w:lang w:val="en-US"/>
        </w:rPr>
      </w:pPr>
      <w:r>
        <w:rPr>
          <w:rFonts w:hint="eastAsia"/>
          <w:b/>
          <w:bCs/>
          <w:color w:val="auto"/>
          <w:highlight w:val="none"/>
          <w:lang w:val="en-US"/>
        </w:rPr>
        <w:t>9　其他重要提示</w:t>
      </w:r>
    </w:p>
    <w:p>
      <w:pPr>
        <w:keepNext w:val="0"/>
        <w:keepLines w:val="0"/>
        <w:pageBreakBefore w:val="0"/>
        <w:kinsoku/>
        <w:wordWrap/>
        <w:overflowPunct/>
        <w:topLinePunct w:val="0"/>
        <w:bidi w:val="0"/>
        <w:adjustRightInd w:val="0"/>
        <w:snapToGrid/>
        <w:spacing w:line="391" w:lineRule="exact"/>
        <w:ind w:left="0" w:leftChars="0" w:right="0" w:rightChars="0" w:firstLine="420" w:firstLineChars="200"/>
        <w:textAlignment w:val="auto"/>
        <w:outlineLvl w:val="9"/>
        <w:rPr>
          <w:rFonts w:hint="eastAsia"/>
          <w:color w:val="auto"/>
          <w:highlight w:val="none"/>
        </w:rPr>
      </w:pPr>
      <w:r>
        <w:rPr>
          <w:rFonts w:hint="eastAsia"/>
          <w:color w:val="auto"/>
          <w:highlight w:val="none"/>
        </w:rPr>
        <w:t>9.1需同时提供在国家企业信用信息公示系统（www.gsxt.gov.cn）查询的，包含“列入严重违法失信企业名单（黑名单）”、“列入经营异常名录信息”的查询结果（查询日期应在应答截止日前20天内，查询结果应为网站自动生成的PDF文件）。未提供有效国家企业信用信息公示系统（www.gsxt.gov.cn）查询结果的，其投标文件作否决应答处理。</w:t>
      </w:r>
    </w:p>
    <w:p>
      <w:pPr>
        <w:rPr>
          <w:color w:val="auto"/>
          <w:highlight w:val="none"/>
        </w:rPr>
      </w:pPr>
    </w:p>
    <w:p>
      <w:pPr>
        <w:rPr>
          <w:color w:val="auto"/>
          <w:highlight w:val="none"/>
        </w:rPr>
      </w:pPr>
    </w:p>
    <w:p>
      <w:pPr>
        <w:spacing w:line="240" w:lineRule="auto"/>
        <w:jc w:val="left"/>
        <w:rPr>
          <w:rFonts w:hint="eastAsia" w:ascii="仿宋" w:hAnsi="仿宋" w:eastAsia="仿宋" w:cs="Calibri"/>
          <w:color w:val="auto"/>
          <w:kern w:val="0"/>
          <w:sz w:val="24"/>
          <w:highlight w:val="none"/>
          <w:lang w:val="en-US" w:eastAsia="zh-CN"/>
        </w:rPr>
      </w:pPr>
      <w:r>
        <w:rPr>
          <w:rFonts w:hint="eastAsia" w:ascii="仿宋" w:hAnsi="仿宋" w:eastAsia="仿宋" w:cs="Calibri"/>
          <w:color w:val="auto"/>
          <w:kern w:val="0"/>
          <w:sz w:val="24"/>
          <w:highlight w:val="none"/>
        </w:rPr>
        <w:t>附件1  “采购需求一览表”</w:t>
      </w:r>
      <w:r>
        <w:rPr>
          <w:rFonts w:hint="eastAsia" w:ascii="仿宋" w:hAnsi="仿宋" w:eastAsia="仿宋" w:cs="Calibri"/>
          <w:color w:val="auto"/>
          <w:kern w:val="0"/>
          <w:sz w:val="24"/>
          <w:highlight w:val="none"/>
          <w:lang w:val="en-US" w:eastAsia="zh-CN"/>
        </w:rPr>
        <w:t xml:space="preserve">                         </w:t>
      </w:r>
    </w:p>
    <w:p>
      <w:pPr>
        <w:spacing w:line="500" w:lineRule="exact"/>
        <w:jc w:val="left"/>
        <w:rPr>
          <w:rFonts w:hint="eastAsia" w:ascii="仿宋" w:hAnsi="仿宋" w:eastAsia="仿宋" w:cs="Calibri"/>
          <w:color w:val="auto"/>
          <w:kern w:val="0"/>
          <w:sz w:val="24"/>
          <w:highlight w:val="none"/>
          <w:lang w:val="en-US" w:eastAsia="zh-CN"/>
        </w:rPr>
      </w:pPr>
      <w:r>
        <w:rPr>
          <w:rFonts w:hint="eastAsia" w:ascii="仿宋" w:hAnsi="仿宋" w:eastAsia="仿宋" w:cs="Calibri"/>
          <w:color w:val="auto"/>
          <w:kern w:val="0"/>
          <w:sz w:val="24"/>
          <w:highlight w:val="none"/>
        </w:rPr>
        <w:t>附件2　　报名表</w:t>
      </w:r>
      <w:r>
        <w:rPr>
          <w:rFonts w:hint="eastAsia" w:ascii="仿宋" w:hAnsi="仿宋" w:eastAsia="仿宋" w:cs="Calibri"/>
          <w:color w:val="auto"/>
          <w:kern w:val="0"/>
          <w:sz w:val="24"/>
          <w:highlight w:val="none"/>
          <w:lang w:val="en-US" w:eastAsia="zh-CN"/>
        </w:rPr>
        <w:t xml:space="preserve">       </w:t>
      </w:r>
    </w:p>
    <w:p>
      <w:pPr>
        <w:spacing w:line="500" w:lineRule="exact"/>
        <w:jc w:val="left"/>
        <w:rPr>
          <w:rFonts w:hint="eastAsia" w:ascii="仿宋" w:hAnsi="仿宋" w:eastAsia="仿宋" w:cs="Calibri"/>
          <w:color w:val="auto"/>
          <w:kern w:val="0"/>
          <w:sz w:val="24"/>
          <w:highlight w:val="none"/>
          <w:lang w:val="en-US" w:eastAsia="zh-CN"/>
        </w:rPr>
      </w:pPr>
      <w:r>
        <w:rPr>
          <w:rFonts w:hint="eastAsia"/>
          <w:color w:val="auto"/>
          <w:highlight w:val="none"/>
        </w:rPr>
        <w:drawing>
          <wp:anchor distT="0" distB="0" distL="114300" distR="114300" simplePos="0" relativeHeight="251658240" behindDoc="0" locked="0" layoutInCell="1" allowOverlap="1">
            <wp:simplePos x="0" y="0"/>
            <wp:positionH relativeFrom="column">
              <wp:posOffset>3772535</wp:posOffset>
            </wp:positionH>
            <wp:positionV relativeFrom="paragraph">
              <wp:posOffset>194310</wp:posOffset>
            </wp:positionV>
            <wp:extent cx="1403350" cy="1403350"/>
            <wp:effectExtent l="0" t="0" r="6350" b="6350"/>
            <wp:wrapNone/>
            <wp:docPr id="1" name="图片 1" descr="招标章 - 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招标章 - 副本"/>
                    <pic:cNvPicPr>
                      <a:picLocks noChangeAspect="1"/>
                    </pic:cNvPicPr>
                  </pic:nvPicPr>
                  <pic:blipFill>
                    <a:blip r:embed="rId4"/>
                    <a:stretch>
                      <a:fillRect/>
                    </a:stretch>
                  </pic:blipFill>
                  <pic:spPr>
                    <a:xfrm>
                      <a:off x="0" y="0"/>
                      <a:ext cx="1403350" cy="1403350"/>
                    </a:xfrm>
                    <a:prstGeom prst="rect">
                      <a:avLst/>
                    </a:prstGeom>
                  </pic:spPr>
                </pic:pic>
              </a:graphicData>
            </a:graphic>
          </wp:anchor>
        </w:drawing>
      </w:r>
    </w:p>
    <w:p>
      <w:pPr>
        <w:spacing w:line="500" w:lineRule="exact"/>
        <w:jc w:val="left"/>
        <w:rPr>
          <w:rFonts w:hint="eastAsia" w:ascii="仿宋" w:hAnsi="仿宋" w:eastAsia="仿宋" w:cs="Calibri"/>
          <w:color w:val="auto"/>
          <w:kern w:val="0"/>
          <w:sz w:val="24"/>
          <w:highlight w:val="none"/>
          <w:lang w:val="en-US" w:eastAsia="zh-CN"/>
        </w:rPr>
      </w:pPr>
    </w:p>
    <w:p>
      <w:pPr>
        <w:spacing w:line="500" w:lineRule="exact"/>
        <w:jc w:val="left"/>
        <w:rPr>
          <w:rFonts w:hint="eastAsia" w:ascii="仿宋" w:hAnsi="仿宋" w:eastAsia="仿宋" w:cs="Calibri"/>
          <w:color w:val="auto"/>
          <w:kern w:val="0"/>
          <w:sz w:val="24"/>
          <w:highlight w:val="none"/>
          <w:lang w:val="en-US" w:eastAsia="zh-CN"/>
        </w:rPr>
      </w:pPr>
      <w:r>
        <w:rPr>
          <w:rFonts w:hint="eastAsia" w:ascii="仿宋" w:hAnsi="仿宋" w:eastAsia="仿宋" w:cs="Calibri"/>
          <w:color w:val="auto"/>
          <w:kern w:val="0"/>
          <w:sz w:val="24"/>
          <w:highlight w:val="none"/>
          <w:lang w:val="en-US" w:eastAsia="zh-CN"/>
        </w:rPr>
        <w:t xml:space="preserve">                                              </w:t>
      </w:r>
      <w:r>
        <w:rPr>
          <w:rFonts w:hint="eastAsia" w:ascii="仿宋" w:hAnsi="仿宋" w:eastAsia="仿宋" w:cs="Calibri"/>
          <w:color w:val="auto"/>
          <w:kern w:val="0"/>
          <w:sz w:val="24"/>
          <w:highlight w:val="none"/>
        </w:rPr>
        <w:t>青海省电力技术开发实业公司</w:t>
      </w:r>
    </w:p>
    <w:p>
      <w:pPr>
        <w:spacing w:line="500" w:lineRule="exact"/>
        <w:jc w:val="left"/>
        <w:rPr>
          <w:rFonts w:ascii="仿宋" w:hAnsi="仿宋" w:eastAsia="仿宋" w:cs="Calibri"/>
          <w:color w:val="auto"/>
          <w:kern w:val="0"/>
          <w:sz w:val="24"/>
          <w:highlight w:val="none"/>
        </w:rPr>
      </w:pPr>
      <w:r>
        <w:rPr>
          <w:rFonts w:hint="eastAsia" w:ascii="仿宋" w:hAnsi="仿宋" w:eastAsia="仿宋" w:cs="Calibri"/>
          <w:color w:val="auto"/>
          <w:kern w:val="0"/>
          <w:sz w:val="24"/>
          <w:highlight w:val="none"/>
          <w:lang w:val="en-US" w:eastAsia="zh-CN"/>
        </w:rPr>
        <w:t xml:space="preserve">                                                   </w:t>
      </w:r>
      <w:r>
        <w:rPr>
          <w:rFonts w:hint="eastAsia" w:ascii="仿宋" w:hAnsi="仿宋" w:eastAsia="仿宋" w:cs="Calibri"/>
          <w:color w:val="auto"/>
          <w:kern w:val="0"/>
          <w:sz w:val="24"/>
          <w:highlight w:val="none"/>
        </w:rPr>
        <w:t>2019</w:t>
      </w:r>
      <w:r>
        <w:rPr>
          <w:rFonts w:ascii="仿宋" w:hAnsi="仿宋" w:eastAsia="仿宋" w:cs="Calibri"/>
          <w:color w:val="auto"/>
          <w:kern w:val="0"/>
          <w:sz w:val="24"/>
          <w:highlight w:val="none"/>
        </w:rPr>
        <w:t>年</w:t>
      </w:r>
      <w:r>
        <w:rPr>
          <w:rFonts w:hint="eastAsia" w:ascii="仿宋" w:hAnsi="仿宋" w:eastAsia="仿宋" w:cs="Calibri"/>
          <w:color w:val="auto"/>
          <w:kern w:val="0"/>
          <w:sz w:val="24"/>
          <w:highlight w:val="none"/>
          <w:lang w:val="en-US" w:eastAsia="zh-CN"/>
        </w:rPr>
        <w:t>7</w:t>
      </w:r>
      <w:r>
        <w:rPr>
          <w:rFonts w:ascii="仿宋" w:hAnsi="仿宋" w:eastAsia="仿宋" w:cs="Calibri"/>
          <w:color w:val="auto"/>
          <w:kern w:val="0"/>
          <w:sz w:val="24"/>
          <w:highlight w:val="none"/>
        </w:rPr>
        <w:t>月</w:t>
      </w:r>
      <w:r>
        <w:rPr>
          <w:rFonts w:hint="eastAsia" w:ascii="仿宋" w:hAnsi="仿宋" w:eastAsia="仿宋" w:cs="Calibri"/>
          <w:color w:val="auto"/>
          <w:kern w:val="0"/>
          <w:sz w:val="24"/>
          <w:highlight w:val="none"/>
          <w:lang w:val="en-US" w:eastAsia="zh-CN"/>
        </w:rPr>
        <w:t>24</w:t>
      </w:r>
      <w:r>
        <w:rPr>
          <w:rFonts w:ascii="仿宋" w:hAnsi="仿宋" w:eastAsia="仿宋" w:cs="Calibri"/>
          <w:color w:val="auto"/>
          <w:kern w:val="0"/>
          <w:sz w:val="24"/>
          <w:highlight w:val="none"/>
        </w:rPr>
        <w:t>日</w:t>
      </w:r>
    </w:p>
    <w:p>
      <w:pPr>
        <w:jc w:val="left"/>
        <w:rPr>
          <w:rFonts w:ascii="仿宋" w:hAnsi="仿宋" w:eastAsia="仿宋" w:cs="Calibri"/>
          <w:color w:val="auto"/>
          <w:kern w:val="0"/>
          <w:sz w:val="24"/>
          <w:highlight w:val="none"/>
        </w:rPr>
      </w:pPr>
      <w:r>
        <w:rPr>
          <w:rFonts w:hint="eastAsia" w:ascii="仿宋" w:hAnsi="仿宋" w:eastAsia="仿宋" w:cs="Calibri"/>
          <w:color w:val="auto"/>
          <w:kern w:val="0"/>
          <w:sz w:val="24"/>
          <w:highlight w:val="none"/>
        </w:rPr>
        <w:t xml:space="preserve">                     </w:t>
      </w:r>
      <w:r>
        <w:rPr>
          <w:rFonts w:hint="eastAsia" w:ascii="仿宋" w:hAnsi="仿宋" w:eastAsia="仿宋" w:cs="Calibri"/>
          <w:color w:val="auto"/>
          <w:kern w:val="0"/>
          <w:sz w:val="24"/>
          <w:highlight w:val="none"/>
          <w:lang w:val="en-US" w:eastAsia="zh-CN"/>
        </w:rPr>
        <w:t xml:space="preserve">  </w:t>
      </w:r>
    </w:p>
    <w:p>
      <w:pPr>
        <w:spacing w:line="500" w:lineRule="exact"/>
        <w:ind w:firstLine="435"/>
        <w:rPr>
          <w:rFonts w:ascii="仿宋" w:hAnsi="仿宋" w:eastAsia="仿宋" w:cs="Calibri"/>
          <w:color w:val="auto"/>
          <w:kern w:val="0"/>
          <w:sz w:val="24"/>
          <w:highlight w:val="none"/>
        </w:rPr>
      </w:pPr>
      <w:r>
        <w:rPr>
          <w:rFonts w:hint="eastAsia" w:ascii="仿宋" w:hAnsi="仿宋" w:eastAsia="仿宋" w:cs="Calibri"/>
          <w:color w:val="auto"/>
          <w:kern w:val="0"/>
          <w:sz w:val="24"/>
          <w:highlight w:val="none"/>
        </w:rPr>
        <w:t xml:space="preserve">                 </w:t>
      </w:r>
    </w:p>
    <w:p>
      <w:pPr>
        <w:spacing w:line="240" w:lineRule="auto"/>
        <w:jc w:val="left"/>
        <w:rPr>
          <w:rFonts w:ascii="仿宋" w:hAnsi="仿宋" w:eastAsia="仿宋" w:cs="Calibri"/>
          <w:color w:val="auto"/>
          <w:kern w:val="0"/>
          <w:sz w:val="24"/>
          <w:highlight w:val="none"/>
        </w:rPr>
      </w:pPr>
      <w:r>
        <w:rPr>
          <w:rFonts w:hint="eastAsia" w:ascii="仿宋" w:hAnsi="仿宋" w:eastAsia="仿宋" w:cs="Calibri"/>
          <w:color w:val="auto"/>
          <w:kern w:val="0"/>
          <w:sz w:val="24"/>
          <w:highlight w:val="none"/>
        </w:rPr>
        <w:t xml:space="preserve">                                  </w:t>
      </w:r>
      <w:r>
        <w:rPr>
          <w:rFonts w:hint="eastAsia" w:ascii="仿宋" w:hAnsi="仿宋" w:eastAsia="仿宋" w:cs="Calibri"/>
          <w:color w:val="auto"/>
          <w:kern w:val="0"/>
          <w:sz w:val="24"/>
          <w:highlight w:val="none"/>
          <w:lang w:val="en-US" w:eastAsia="zh-CN"/>
        </w:rPr>
        <w:t xml:space="preserve">         </w:t>
      </w:r>
      <w:r>
        <w:rPr>
          <w:rFonts w:hint="eastAsia" w:ascii="仿宋" w:hAnsi="仿宋" w:eastAsia="仿宋" w:cs="Calibri"/>
          <w:color w:val="auto"/>
          <w:kern w:val="0"/>
          <w:sz w:val="24"/>
          <w:highlight w:val="none"/>
        </w:rPr>
        <w:t xml:space="preserve">                           </w:t>
      </w:r>
    </w:p>
    <w:bookmarkEnd w:id="19"/>
    <w:p>
      <w:pPr>
        <w:adjustRightInd w:val="0"/>
        <w:spacing w:line="360" w:lineRule="exact"/>
        <w:rPr>
          <w:color w:val="auto"/>
          <w:highlight w:val="none"/>
        </w:rPr>
      </w:pPr>
    </w:p>
    <w:sectPr>
      <w:pgSz w:w="12240" w:h="15840"/>
      <w:pgMar w:top="1440" w:right="1440" w:bottom="378" w:left="1440" w:header="0" w:footer="0" w:gutter="0"/>
      <w:cols w:equalWidth="0" w:num="1">
        <w:col w:w="936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09F" w:csb1="00000000"/>
  </w:font>
  <w:font w:name="Calibri">
    <w:altName w:val="Segoe UI"/>
    <w:panose1 w:val="020F0502020204030204"/>
    <w:charset w:val="00"/>
    <w:family w:val="swiss"/>
    <w:pitch w:val="default"/>
    <w:sig w:usb0="00000000" w:usb1="00000000" w:usb2="00000001" w:usb3="00000000" w:csb0="0000019F" w:csb1="00000000"/>
  </w:font>
  <w:font w:name="Arial">
    <w:panose1 w:val="020B0604020202020204"/>
    <w:charset w:val="00"/>
    <w:family w:val="swiss"/>
    <w:pitch w:val="default"/>
    <w:sig w:usb0="E0002EFF" w:usb1="C000785B" w:usb2="00000009" w:usb3="00000000" w:csb0="400001FF" w:csb1="FFFF0000"/>
  </w:font>
  <w:font w:name="Tahoma">
    <w:panose1 w:val="020B0604030504040204"/>
    <w:charset w:val="00"/>
    <w:family w:val="swiss"/>
    <w:pitch w:val="default"/>
    <w:sig w:usb0="E1002EFF" w:usb1="C000605B" w:usb2="00000029" w:usb3="00000000" w:csb0="200101FF" w:csb1="20280000"/>
  </w:font>
  <w:font w:name="Courier New">
    <w:panose1 w:val="02070309020205020404"/>
    <w:charset w:val="00"/>
    <w:family w:val="modern"/>
    <w:pitch w:val="default"/>
    <w:sig w:usb0="E0002EFF" w:usb1="C0007843" w:usb2="00000009" w:usb3="00000000" w:csb0="400001FF" w:csb1="FFFF0000"/>
  </w:font>
  <w:font w:name="华文新魏">
    <w:altName w:val="宋体"/>
    <w:panose1 w:val="00000000000000000000"/>
    <w:charset w:val="86"/>
    <w:family w:val="auto"/>
    <w:pitch w:val="default"/>
    <w:sig w:usb0="00000000" w:usb1="0000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altName w:val="仿宋"/>
    <w:panose1 w:val="00000000000000000000"/>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楷体_GB2312">
    <w:altName w:val="楷体"/>
    <w:panose1 w:val="02010609030101010101"/>
    <w:charset w:val="86"/>
    <w:family w:val="modern"/>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方正仿宋_GBK">
    <w:altName w:val="微软雅黑"/>
    <w:panose1 w:val="03000509000000000000"/>
    <w:charset w:val="86"/>
    <w:family w:val="script"/>
    <w:pitch w:val="default"/>
    <w:sig w:usb0="00000000" w:usb1="00000000" w:usb2="00000010" w:usb3="00000000" w:csb0="00040000" w:csb1="00000000"/>
  </w:font>
  <w:font w:name="方正楷体简体">
    <w:altName w:val="宋体"/>
    <w:panose1 w:val="00000000000000000000"/>
    <w:charset w:val="86"/>
    <w:family w:val="roman"/>
    <w:pitch w:val="default"/>
    <w:sig w:usb0="00000000" w:usb1="00000000" w:usb2="00000010" w:usb3="00000000" w:csb0="00040000" w:csb1="00000000"/>
  </w:font>
  <w:font w:name="Plotter">
    <w:altName w:val="Times New Roman"/>
    <w:panose1 w:val="00000000000000000000"/>
    <w:charset w:val="00"/>
    <w:family w:val="roman"/>
    <w:pitch w:val="default"/>
    <w:sig w:usb0="00000000" w:usb1="00000000" w:usb2="00000000" w:usb3="00000000" w:csb0="00000001" w:csb1="00000000"/>
  </w:font>
  <w:font w:name="华文细黑">
    <w:altName w:val="微软雅黑"/>
    <w:panose1 w:val="02010600040101010101"/>
    <w:charset w:val="86"/>
    <w:family w:val="auto"/>
    <w:pitch w:val="default"/>
    <w:sig w:usb0="00000000" w:usb1="00000000" w:usb2="00000010" w:usb3="00000000" w:csb0="0004009F" w:csb1="00000000"/>
  </w:font>
  <w:font w:name="华文楷体">
    <w:altName w:val="宋体"/>
    <w:panose1 w:val="02010600040101010101"/>
    <w:charset w:val="86"/>
    <w:family w:val="auto"/>
    <w:pitch w:val="default"/>
    <w:sig w:usb0="00000000" w:usb1="00000000" w:usb2="00000010" w:usb3="00000000" w:csb0="0004009F" w:csb1="00000000"/>
  </w:font>
  <w:font w:name="E-F1">
    <w:altName w:val="Times New Roman"/>
    <w:panose1 w:val="00000000000000000000"/>
    <w:charset w:val="81"/>
    <w:family w:val="auto"/>
    <w:pitch w:val="default"/>
    <w:sig w:usb0="00000000" w:usb1="00000000" w:usb2="00000033" w:usb3="00000000" w:csb0="00080000" w:csb1="00000000"/>
  </w:font>
  <w:font w:name="方正黑体简体">
    <w:altName w:val="黑体"/>
    <w:panose1 w:val="03000509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Dotum">
    <w:altName w:val="Times New Roman"/>
    <w:panose1 w:val="020B0600000101010101"/>
    <w:charset w:val="81"/>
    <w:family w:val="auto"/>
    <w:pitch w:val="default"/>
    <w:sig w:usb0="00000000" w:usb1="00000000" w:usb2="00000030" w:usb3="00000000" w:csb0="4008009F" w:csb1="DFD70000"/>
  </w:font>
  <w:font w:name="font-weight : 400">
    <w:altName w:val="Segoe Print"/>
    <w:panose1 w:val="00000000000000000000"/>
    <w:charset w:val="00"/>
    <w:family w:val="auto"/>
    <w:pitch w:val="default"/>
    <w:sig w:usb0="00000000" w:usb1="00000000" w:usb2="00000000" w:usb3="00000000" w:csb0="00000000" w:csb1="00000000"/>
  </w:font>
  <w:font w:name="华文中宋">
    <w:altName w:val="宋体"/>
    <w:panose1 w:val="00000000000000000000"/>
    <w:charset w:val="86"/>
    <w:family w:val="auto"/>
    <w:pitch w:val="default"/>
    <w:sig w:usb0="00000000" w:usb1="00000000" w:usb2="00000000" w:usb3="00000000" w:csb0="0004009F" w:csb1="DFD70000"/>
  </w:font>
  <w:font w:name="hakuyoxingshu7000">
    <w:altName w:val="宋体"/>
    <w:panose1 w:val="02000600000000000000"/>
    <w:charset w:val="86"/>
    <w:family w:val="auto"/>
    <w:pitch w:val="default"/>
    <w:sig w:usb0="00000000" w:usb1="00000000" w:usb2="0000003F" w:usb3="00000000" w:csb0="603F00FF" w:csb1="FFFF0000"/>
  </w:font>
  <w:font w:name="Segoe Print">
    <w:panose1 w:val="02000600000000000000"/>
    <w:charset w:val="00"/>
    <w:family w:val="auto"/>
    <w:pitch w:val="default"/>
    <w:sig w:usb0="0000028F" w:usb1="00000000" w:usb2="00000000" w:usb3="00000000" w:csb0="2000009F" w:csb1="47010000"/>
  </w:font>
  <w:font w:name="Segoe UI Semibold">
    <w:panose1 w:val="020B0702040204020203"/>
    <w:charset w:val="00"/>
    <w:family w:val="auto"/>
    <w:pitch w:val="default"/>
    <w:sig w:usb0="E4002EFF" w:usb1="C000E47F" w:usb2="00000009" w:usb3="00000000" w:csb0="200001FF" w:csb1="00000000"/>
  </w:font>
  <w:font w:name="Segoe UI Symbol">
    <w:panose1 w:val="020B0502040204020203"/>
    <w:charset w:val="00"/>
    <w:family w:val="auto"/>
    <w:pitch w:val="default"/>
    <w:sig w:usb0="800001E3" w:usb1="1200FFEF" w:usb2="00040000" w:usb3="04000000" w:csb0="00000001" w:csb1="40000000"/>
  </w:font>
  <w:font w:name="Shonar Bangla">
    <w:altName w:val="Segoe UI Symbol"/>
    <w:panose1 w:val="020B0502040204020203"/>
    <w:charset w:val="00"/>
    <w:family w:val="auto"/>
    <w:pitch w:val="default"/>
    <w:sig w:usb0="00000000" w:usb1="00000000" w:usb2="00000000" w:usb3="00000000" w:csb0="00000001" w:csb1="00000000"/>
  </w:font>
  <w:font w:name="Shruti">
    <w:altName w:val="Segoe UI Symbol"/>
    <w:panose1 w:val="020B0502040204020203"/>
    <w:charset w:val="00"/>
    <w:family w:val="auto"/>
    <w:pitch w:val="default"/>
    <w:sig w:usb0="00000000" w:usb1="00000000" w:usb2="00000000" w:usb3="00000000" w:csb0="00000001" w:csb1="00000000"/>
  </w:font>
  <w:font w:name="Simplified Arabic">
    <w:altName w:val="Times New Roman"/>
    <w:panose1 w:val="02020603050405020304"/>
    <w:charset w:val="00"/>
    <w:family w:val="auto"/>
    <w:pitch w:val="default"/>
    <w:sig w:usb0="00000000" w:usb1="00000000" w:usb2="00000000" w:usb3="00000000" w:csb0="00000041" w:csb1="20080000"/>
  </w:font>
  <w:font w:name="Simplified Arabic Fixed">
    <w:altName w:val="Courier New"/>
    <w:panose1 w:val="02070309020205020404"/>
    <w:charset w:val="00"/>
    <w:family w:val="auto"/>
    <w:pitch w:val="default"/>
    <w:sig w:usb0="00000000" w:usb1="00000000" w:usb2="00000000" w:usb3="00000000" w:csb0="00000041" w:csb1="20080000"/>
  </w:font>
  <w:font w:name="Sylfaen">
    <w:panose1 w:val="010A0502050306030303"/>
    <w:charset w:val="00"/>
    <w:family w:val="auto"/>
    <w:pitch w:val="default"/>
    <w:sig w:usb0="04000687" w:usb1="00000000" w:usb2="00000000" w:usb3="00000000" w:csb0="2000009F" w:csb1="00000000"/>
  </w:font>
  <w:font w:name="叶根友毛笔行书2.0版">
    <w:altName w:val="宋体"/>
    <w:panose1 w:val="02010601030101010101"/>
    <w:charset w:val="86"/>
    <w:family w:val="auto"/>
    <w:pitch w:val="default"/>
    <w:sig w:usb0="00000000" w:usb1="00000000" w:usb2="00000000" w:usb3="00000000" w:csb0="00040000" w:csb1="00000000"/>
  </w:font>
  <w:font w:name="隶书">
    <w:altName w:val="微软雅黑"/>
    <w:panose1 w:val="02010509060101010101"/>
    <w:charset w:val="86"/>
    <w:family w:val="modern"/>
    <w:pitch w:val="default"/>
    <w:sig w:usb0="00000000" w:usb1="00000000" w:usb2="00000010" w:usb3="00000000" w:csb0="00040000" w:csb1="00000000"/>
  </w:font>
  <w:font w:name="汉仪大宋简">
    <w:altName w:val="宋体"/>
    <w:panose1 w:val="00000000000000000000"/>
    <w:charset w:val="86"/>
    <w:family w:val="modern"/>
    <w:pitch w:val="default"/>
    <w:sig w:usb0="00000000" w:usb1="00000000" w:usb2="00000012" w:usb3="00000000" w:csb0="00040000" w:csb1="00000000"/>
  </w:font>
  <w:font w:name="Sim Sun">
    <w:altName w:val="宋体"/>
    <w:panose1 w:val="00000000000000000000"/>
    <w:charset w:val="86"/>
    <w:family w:val="swiss"/>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Gulim">
    <w:altName w:val="Times New Roman"/>
    <w:panose1 w:val="020B0600000101010101"/>
    <w:charset w:val="81"/>
    <w:family w:val="auto"/>
    <w:pitch w:val="default"/>
    <w:sig w:usb0="00000000" w:usb1="00000000" w:usb2="00000030" w:usb3="00000000" w:csb0="4008009F" w:csb1="DFD70000"/>
  </w:font>
  <w:font w:name="Lucida Calligraphy">
    <w:altName w:val="Mongolian Baiti"/>
    <w:panose1 w:val="03010101010101010101"/>
    <w:charset w:val="00"/>
    <w:family w:val="script"/>
    <w:pitch w:val="default"/>
    <w:sig w:usb0="00000000" w:usb1="00000000" w:usb2="00000000" w:usb3="00000000" w:csb0="20000001" w:csb1="00000000"/>
  </w:font>
  <w:font w:name="Mongolian Baiti">
    <w:panose1 w:val="03000500000000000000"/>
    <w:charset w:val="00"/>
    <w:family w:val="auto"/>
    <w:pitch w:val="default"/>
    <w:sig w:usb0="80000023" w:usb1="00000000" w:usb2="00020000" w:usb3="00000000" w:csb0="00000001" w:csb1="00000000"/>
  </w:font>
  <w:font w:name="STXinwei">
    <w:altName w:val="宋体"/>
    <w:panose1 w:val="02010800040101010101"/>
    <w:charset w:val="86"/>
    <w:family w:val="auto"/>
    <w:pitch w:val="default"/>
    <w:sig w:usb0="00000000" w:usb1="00000000" w:usb2="00000000" w:usb3="00000000" w:csb0="00040000" w:csb1="00000000"/>
  </w:font>
  <w:font w:name="STFangsong">
    <w:altName w:val="宋体"/>
    <w:panose1 w:val="02010600040101010101"/>
    <w:charset w:val="86"/>
    <w:family w:val="auto"/>
    <w:pitch w:val="default"/>
    <w:sig w:usb0="00000000" w:usb1="00000000" w:usb2="00000000" w:usb3="00000000" w:csb0="0004009F" w:csb1="DFD70000"/>
  </w:font>
  <w:font w:name="STZhongsong">
    <w:altName w:val="宋体"/>
    <w:panose1 w:val="02010600040101010101"/>
    <w:charset w:val="86"/>
    <w:family w:val="auto"/>
    <w:pitch w:val="default"/>
    <w:sig w:usb0="00000000" w:usb1="00000000" w:usb2="00000000" w:usb3="00000000" w:csb0="0004009F" w:csb1="DFD70000"/>
  </w:font>
  <w:font w:name="方正小标宋_GBK">
    <w:altName w:val="微软雅黑"/>
    <w:panose1 w:val="03000509000000000000"/>
    <w:charset w:val="86"/>
    <w:family w:val="script"/>
    <w:pitch w:val="default"/>
    <w:sig w:usb0="00000000" w:usb1="00000000" w:usb2="00000010" w:usb3="00000000" w:csb0="00040000" w:csb1="00000000"/>
  </w:font>
  <w:font w:name="Microsoft JhengHei">
    <w:panose1 w:val="020B0604030504040204"/>
    <w:charset w:val="88"/>
    <w:family w:val="swiss"/>
    <w:pitch w:val="default"/>
    <w:sig w:usb0="000002A7" w:usb1="28CF4400" w:usb2="00000016" w:usb3="00000000" w:csb0="00100009" w:csb1="00000000"/>
  </w:font>
  <w:font w:name="方正小标宋简体">
    <w:altName w:val="宋体"/>
    <w:panose1 w:val="00000000000000000000"/>
    <w:charset w:val="86"/>
    <w:family w:val="script"/>
    <w:pitch w:val="default"/>
    <w:sig w:usb0="00000000" w:usb1="00000000" w:usb2="00000000" w:usb3="00000000" w:csb0="00040000" w:csb1="00000000"/>
  </w:font>
  <w:font w:name="STXihei">
    <w:altName w:val="宋体"/>
    <w:panose1 w:val="02010600040101010101"/>
    <w:charset w:val="86"/>
    <w:family w:val="auto"/>
    <w:pitch w:val="default"/>
    <w:sig w:usb0="00000000" w:usb1="00000000" w:usb2="00000000" w:usb3="00000000" w:csb0="0004009F" w:csb1="DFD70000"/>
  </w:font>
  <w:font w:name="STKaiti">
    <w:altName w:val="宋体"/>
    <w:panose1 w:val="02010600040101010101"/>
    <w:charset w:val="86"/>
    <w:family w:val="auto"/>
    <w:pitch w:val="default"/>
    <w:sig w:usb0="00000000" w:usb1="00000000" w:usb2="00000000" w:usb3="00000000" w:csb0="0004009F" w:csb1="DFD70000"/>
  </w:font>
  <w:font w:name="仿宋_GB2312">
    <w:altName w:val="仿宋"/>
    <w:panose1 w:val="00000000000000000000"/>
    <w:charset w:val="00"/>
    <w:family w:val="auto"/>
    <w:pitch w:val="default"/>
    <w:sig w:usb0="00000000" w:usb1="00000000" w:usb2="00000000" w:usb3="00000000" w:csb0="00000000" w:csb1="00000000"/>
  </w:font>
  <w:font w:name="LiSu">
    <w:altName w:val="宋体"/>
    <w:panose1 w:val="02010509060101010101"/>
    <w:charset w:val="86"/>
    <w:family w:val="modern"/>
    <w:pitch w:val="default"/>
    <w:sig w:usb0="00000000" w:usb1="00000000" w:usb2="00000000" w:usb3="00000000" w:csb0="00040000" w:csb1="00000000"/>
  </w:font>
  <w:font w:name="Calibri Light">
    <w:altName w:val="Segoe Print"/>
    <w:panose1 w:val="020F0302020204030204"/>
    <w:charset w:val="00"/>
    <w:family w:val="swiss"/>
    <w:pitch w:val="default"/>
    <w:sig w:usb0="00000000" w:usb1="00000000" w:usb2="00000000" w:usb3="00000000" w:csb0="2000019F" w:csb1="00000000"/>
  </w:font>
  <w:font w:name="PMingLiU">
    <w:altName w:val="Microsoft JhengHei UI"/>
    <w:panose1 w:val="02020500000000000000"/>
    <w:charset w:val="88"/>
    <w:family w:val="auto"/>
    <w:pitch w:val="default"/>
    <w:sig w:usb0="00000000" w:usb1="00000000" w:usb2="00000016" w:usb3="00000000" w:csb0="00100001" w:csb1="00000000"/>
  </w:font>
  <w:font w:name="YouYuan">
    <w:altName w:val="宋体"/>
    <w:panose1 w:val="02010509060101010101"/>
    <w:charset w:val="86"/>
    <w:family w:val="modern"/>
    <w:pitch w:val="default"/>
    <w:sig w:usb0="00000000" w:usb1="00000000" w:usb2="00000000" w:usb3="00000000" w:csb0="00040000" w:csb1="00000000"/>
  </w:font>
  <w:font w:name="MS Mincho">
    <w:altName w:val="Times New Roman"/>
    <w:panose1 w:val="02020609040205080304"/>
    <w:charset w:val="80"/>
    <w:family w:val="modern"/>
    <w:pitch w:val="default"/>
    <w:sig w:usb0="00000000" w:usb1="00000000" w:usb2="00000012" w:usb3="00000000" w:csb0="4002009F" w:csb1="DFD70000"/>
  </w:font>
  <w:font w:name="STSong">
    <w:altName w:val="宋体"/>
    <w:panose1 w:val="02010600040101010101"/>
    <w:charset w:val="86"/>
    <w:family w:val="auto"/>
    <w:pitch w:val="default"/>
    <w:sig w:usb0="00000000" w:usb1="00000000" w:usb2="00000000" w:usb3="00000000" w:csb0="0004009F" w:csb1="DFD70000"/>
  </w:font>
  <w:font w:name="新宋体">
    <w:panose1 w:val="02010609030101010101"/>
    <w:charset w:val="86"/>
    <w:family w:val="auto"/>
    <w:pitch w:val="default"/>
    <w:sig w:usb0="00000283" w:usb1="288F0000" w:usb2="00000006" w:usb3="00000000" w:csb0="00040001" w:csb1="00000000"/>
  </w:font>
  <w:font w:name="方正兰亭超细黑简体">
    <w:panose1 w:val="02000000000000000000"/>
    <w:charset w:val="86"/>
    <w:family w:val="auto"/>
    <w:pitch w:val="default"/>
    <w:sig w:usb0="00000001" w:usb1="08000000" w:usb2="00000000" w:usb3="00000000" w:csb0="00040000" w:csb1="00000000"/>
  </w:font>
  <w:font w:name="华文行楷">
    <w:altName w:val="微软雅黑"/>
    <w:panose1 w:val="02010800040101010101"/>
    <w:charset w:val="86"/>
    <w:family w:val="auto"/>
    <w:pitch w:val="default"/>
    <w:sig w:usb0="00000000" w:usb1="00000000" w:usb2="00000000" w:usb3="00000000" w:csb0="00040000" w:csb1="00000000"/>
  </w:font>
  <w:font w:name="BatangChe">
    <w:altName w:val="Times New Roman"/>
    <w:panose1 w:val="02030609000101010101"/>
    <w:charset w:val="81"/>
    <w:family w:val="auto"/>
    <w:pitch w:val="default"/>
    <w:sig w:usb0="00000000" w:usb1="00000000" w:usb2="00000030" w:usb3="00000000" w:csb0="4008009F" w:csb1="DFD70000"/>
  </w:font>
  <w:font w:name="DotumChe">
    <w:altName w:val="Times New Roman"/>
    <w:panose1 w:val="020B0609000101010101"/>
    <w:charset w:val="81"/>
    <w:family w:val="auto"/>
    <w:pitch w:val="default"/>
    <w:sig w:usb0="00000000" w:usb1="00000000" w:usb2="00000030" w:usb3="00000000" w:csb0="4008009F" w:csb1="DFD70000"/>
  </w:font>
  <w:font w:name="AngsanaUPC">
    <w:altName w:val="Times New Roman"/>
    <w:panose1 w:val="02020603050405020304"/>
    <w:charset w:val="00"/>
    <w:family w:val="auto"/>
    <w:pitch w:val="default"/>
    <w:sig w:usb0="00000000" w:usb1="00000000" w:usb2="00000000" w:usb3="00000000" w:csb0="00010001" w:csb1="00000000"/>
  </w:font>
  <w:font w:name="Aparajita">
    <w:altName w:val="Segoe Print"/>
    <w:panose1 w:val="020B0604020202020204"/>
    <w:charset w:val="00"/>
    <w:family w:val="auto"/>
    <w:pitch w:val="default"/>
    <w:sig w:usb0="00000000" w:usb1="00000000" w:usb2="00000000" w:usb3="00000000" w:csb0="00000001" w:csb1="00000000"/>
  </w:font>
  <w:font w:name="Arabic Typesetting">
    <w:altName w:val="Ink Free"/>
    <w:panose1 w:val="03020402040406030203"/>
    <w:charset w:val="00"/>
    <w:family w:val="auto"/>
    <w:pitch w:val="default"/>
    <w:sig w:usb0="00000000" w:usb1="00000000" w:usb2="00000008" w:usb3="00000000" w:csb0="200000D3" w:csb1="00000000"/>
  </w:font>
  <w:font w:name="Malgun Gothic">
    <w:altName w:val="Times New Roman"/>
    <w:panose1 w:val="020B0503020000020004"/>
    <w:charset w:val="81"/>
    <w:family w:val="auto"/>
    <w:pitch w:val="default"/>
    <w:sig w:usb0="00000000" w:usb1="00000000" w:usb2="00000012" w:usb3="00000000" w:csb0="00080001" w:csb1="00000000"/>
  </w:font>
  <w:font w:name="Batang">
    <w:altName w:val="Times New Roman"/>
    <w:panose1 w:val="02030600000101010101"/>
    <w:charset w:val="81"/>
    <w:family w:val="auto"/>
    <w:pitch w:val="default"/>
    <w:sig w:usb0="00000000" w:usb1="00000000" w:usb2="00000030" w:usb3="00000000" w:csb0="4008009F" w:csb1="DFD70000"/>
  </w:font>
  <w:font w:name="+西文标题">
    <w:altName w:val="Segoe Print"/>
    <w:panose1 w:val="00000000000000000000"/>
    <w:charset w:val="00"/>
    <w:family w:val="auto"/>
    <w:pitch w:val="default"/>
    <w:sig w:usb0="00000000" w:usb1="00000000" w:usb2="00000000" w:usb3="00000000" w:csb0="00000000" w:csb1="00000000"/>
  </w:font>
  <w:font w:name="DFKai-SB">
    <w:altName w:val="Microsoft JhengHei"/>
    <w:panose1 w:val="03000509000000000000"/>
    <w:charset w:val="88"/>
    <w:family w:val="auto"/>
    <w:pitch w:val="default"/>
    <w:sig w:usb0="00000000" w:usb1="00000000" w:usb2="00000016" w:usb3="00000000" w:csb0="00100001" w:csb1="00000000"/>
  </w:font>
  <w:font w:name="GulimChe">
    <w:altName w:val="Times New Roman"/>
    <w:panose1 w:val="020B0609000101010101"/>
    <w:charset w:val="81"/>
    <w:family w:val="auto"/>
    <w:pitch w:val="default"/>
    <w:sig w:usb0="00000000" w:usb1="00000000" w:usb2="00000030" w:usb3="00000000" w:csb0="4008009F" w:csb1="DFD70000"/>
  </w:font>
  <w:font w:name="GulimCh">
    <w:altName w:val="Segoe Print"/>
    <w:panose1 w:val="00000000000000000000"/>
    <w:charset w:val="00"/>
    <w:family w:val="auto"/>
    <w:pitch w:val="default"/>
    <w:sig w:usb0="00000000" w:usb1="00000000" w:usb2="00000000" w:usb3="00000000" w:csb0="00000000" w:csb1="00000000"/>
  </w:font>
  <w:font w:name="GulimC">
    <w:altName w:val="Segoe Print"/>
    <w:panose1 w:val="00000000000000000000"/>
    <w:charset w:val="00"/>
    <w:family w:val="auto"/>
    <w:pitch w:val="default"/>
    <w:sig w:usb0="00000000" w:usb1="00000000" w:usb2="00000000" w:usb3="00000000" w:csb0="00000000" w:csb1="00000000"/>
  </w:font>
  <w:font w:name="Guli">
    <w:altName w:val="Segoe Print"/>
    <w:panose1 w:val="00000000000000000000"/>
    <w:charset w:val="00"/>
    <w:family w:val="auto"/>
    <w:pitch w:val="default"/>
    <w:sig w:usb0="00000000" w:usb1="00000000" w:usb2="00000000" w:usb3="00000000" w:csb0="00000000" w:csb1="00000000"/>
  </w:font>
  <w:font w:name="Gul">
    <w:altName w:val="Segoe Print"/>
    <w:panose1 w:val="00000000000000000000"/>
    <w:charset w:val="00"/>
    <w:family w:val="auto"/>
    <w:pitch w:val="default"/>
    <w:sig w:usb0="00000000" w:usb1="00000000" w:usb2="00000000" w:usb3="00000000" w:csb0="00000000" w:csb1="00000000"/>
  </w:font>
  <w:font w:name="Gu">
    <w:altName w:val="Segoe Print"/>
    <w:panose1 w:val="00000000000000000000"/>
    <w:charset w:val="00"/>
    <w:family w:val="auto"/>
    <w:pitch w:val="default"/>
    <w:sig w:usb0="00000000" w:usb1="00000000" w:usb2="00000000" w:usb3="00000000" w:csb0="00000000" w:csb1="00000000"/>
  </w:font>
  <w:font w:name="G">
    <w:altName w:val="Segoe Print"/>
    <w:panose1 w:val="00000000000000000000"/>
    <w:charset w:val="00"/>
    <w:family w:val="auto"/>
    <w:pitch w:val="default"/>
    <w:sig w:usb0="00000000" w:usb1="00000000" w:usb2="00000000" w:usb3="00000000" w:csb0="00000000" w:csb1="00000000"/>
  </w:font>
  <w:font w:name="A">
    <w:altName w:val="Segoe Print"/>
    <w:panose1 w:val="00000000000000000000"/>
    <w:charset w:val="00"/>
    <w:family w:val="auto"/>
    <w:pitch w:val="default"/>
    <w:sig w:usb0="00000000" w:usb1="00000000" w:usb2="00000000" w:usb3="00000000" w:csb0="00000000" w:csb1="00000000"/>
  </w:font>
  <w:font w:name="AA">
    <w:altName w:val="Segoe Print"/>
    <w:panose1 w:val="00000000000000000000"/>
    <w:charset w:val="00"/>
    <w:family w:val="auto"/>
    <w:pitch w:val="default"/>
    <w:sig w:usb0="00000000" w:usb1="00000000" w:usb2="00000000" w:usb3="00000000" w:csb0="00000000" w:csb1="00000000"/>
  </w:font>
  <w:font w:name="AAR">
    <w:altName w:val="Segoe Print"/>
    <w:panose1 w:val="00000000000000000000"/>
    <w:charset w:val="00"/>
    <w:family w:val="auto"/>
    <w:pitch w:val="default"/>
    <w:sig w:usb0="00000000" w:usb1="00000000" w:usb2="00000000" w:usb3="00000000" w:csb0="00000000" w:csb1="00000000"/>
  </w:font>
  <w:font w:name="AARI">
    <w:altName w:val="Segoe Print"/>
    <w:panose1 w:val="00000000000000000000"/>
    <w:charset w:val="00"/>
    <w:family w:val="auto"/>
    <w:pitch w:val="default"/>
    <w:sig w:usb0="00000000" w:usb1="00000000" w:usb2="00000000" w:usb3="00000000" w:csb0="00000000" w:csb1="00000000"/>
  </w:font>
  <w:font w:name="Ari">
    <w:altName w:val="Segoe Print"/>
    <w:panose1 w:val="00000000000000000000"/>
    <w:charset w:val="00"/>
    <w:family w:val="auto"/>
    <w:pitch w:val="default"/>
    <w:sig w:usb0="00000000" w:usb1="00000000" w:usb2="00000000" w:usb3="00000000" w:csb0="00000000" w:csb1="00000000"/>
  </w:font>
  <w:font w:name="Aria">
    <w:altName w:val="Segoe Print"/>
    <w:panose1 w:val="00000000000000000000"/>
    <w:charset w:val="00"/>
    <w:family w:val="auto"/>
    <w:pitch w:val="default"/>
    <w:sig w:usb0="00000000" w:usb1="00000000" w:usb2="00000000" w:usb3="00000000" w:csb0="00000000" w:csb1="00000000"/>
  </w:font>
  <w:font w:name="Ar">
    <w:altName w:val="Segoe Print"/>
    <w:panose1 w:val="00000000000000000000"/>
    <w:charset w:val="00"/>
    <w:family w:val="auto"/>
    <w:pitch w:val="default"/>
    <w:sig w:usb0="00000000" w:usb1="00000000" w:usb2="00000000" w:usb3="00000000" w:csb0="00000000" w:csb1="00000000"/>
  </w:font>
  <w:font w:name="Segoe UI">
    <w:panose1 w:val="020B0502040204020203"/>
    <w:charset w:val="00"/>
    <w:family w:val="auto"/>
    <w:pitch w:val="default"/>
    <w:sig w:usb0="E4002EFF" w:usb1="C000E47F" w:usb2="00000009" w:usb3="00000000" w:csb0="200001FF" w:csb1="00000000"/>
  </w:font>
  <w:font w:name="Microsoft JhengHei UI">
    <w:panose1 w:val="020B0604030504040204"/>
    <w:charset w:val="88"/>
    <w:family w:val="auto"/>
    <w:pitch w:val="default"/>
    <w:sig w:usb0="000002A7" w:usb1="28CF4400" w:usb2="00000016" w:usb3="00000000" w:csb0="00100009" w:csb1="00000000"/>
  </w:font>
  <w:font w:name="Ink Free">
    <w:panose1 w:val="03080402000500000000"/>
    <w:charset w:val="00"/>
    <w:family w:val="auto"/>
    <w:pitch w:val="default"/>
    <w:sig w:usb0="8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51"/>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8"/>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1"/>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6"/>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7"/>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9"/>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2"/>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3"/>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2"/>
  </w:compat>
  <w:rsids>
    <w:rsidRoot w:val="00D85076"/>
    <w:rsid w:val="00002ED5"/>
    <w:rsid w:val="00007EF0"/>
    <w:rsid w:val="00055A64"/>
    <w:rsid w:val="00057B25"/>
    <w:rsid w:val="000705E5"/>
    <w:rsid w:val="000725BD"/>
    <w:rsid w:val="00085A69"/>
    <w:rsid w:val="00086506"/>
    <w:rsid w:val="000A78AE"/>
    <w:rsid w:val="000B641D"/>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B0C03"/>
    <w:rsid w:val="001C1020"/>
    <w:rsid w:val="001D3E54"/>
    <w:rsid w:val="001E6BFF"/>
    <w:rsid w:val="001F3FC5"/>
    <w:rsid w:val="00204B51"/>
    <w:rsid w:val="00251A9D"/>
    <w:rsid w:val="00267C3C"/>
    <w:rsid w:val="00294262"/>
    <w:rsid w:val="002957E8"/>
    <w:rsid w:val="002A1DFF"/>
    <w:rsid w:val="002A3610"/>
    <w:rsid w:val="002B1D1F"/>
    <w:rsid w:val="002B4FA4"/>
    <w:rsid w:val="002E00B7"/>
    <w:rsid w:val="002F2632"/>
    <w:rsid w:val="002F7484"/>
    <w:rsid w:val="0030299D"/>
    <w:rsid w:val="00311598"/>
    <w:rsid w:val="003639C7"/>
    <w:rsid w:val="00381FB5"/>
    <w:rsid w:val="003C7C9E"/>
    <w:rsid w:val="00403C4C"/>
    <w:rsid w:val="00420ADB"/>
    <w:rsid w:val="00441C24"/>
    <w:rsid w:val="004652A8"/>
    <w:rsid w:val="00490DDB"/>
    <w:rsid w:val="004B23E5"/>
    <w:rsid w:val="004E58B5"/>
    <w:rsid w:val="004F4513"/>
    <w:rsid w:val="004F4C26"/>
    <w:rsid w:val="004F5EEF"/>
    <w:rsid w:val="004F7323"/>
    <w:rsid w:val="005057A5"/>
    <w:rsid w:val="00525BFB"/>
    <w:rsid w:val="00563134"/>
    <w:rsid w:val="005849E5"/>
    <w:rsid w:val="00596404"/>
    <w:rsid w:val="00602D41"/>
    <w:rsid w:val="00607086"/>
    <w:rsid w:val="006140B6"/>
    <w:rsid w:val="00625C0E"/>
    <w:rsid w:val="00631A29"/>
    <w:rsid w:val="0067479E"/>
    <w:rsid w:val="00694939"/>
    <w:rsid w:val="006B68C4"/>
    <w:rsid w:val="006E43FE"/>
    <w:rsid w:val="006E66D3"/>
    <w:rsid w:val="006F10D9"/>
    <w:rsid w:val="007039B8"/>
    <w:rsid w:val="0072743A"/>
    <w:rsid w:val="00740685"/>
    <w:rsid w:val="007440E1"/>
    <w:rsid w:val="00797143"/>
    <w:rsid w:val="007A0457"/>
    <w:rsid w:val="007B4D78"/>
    <w:rsid w:val="007B5CCA"/>
    <w:rsid w:val="007D5254"/>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66E2"/>
    <w:rsid w:val="009622DD"/>
    <w:rsid w:val="009624BF"/>
    <w:rsid w:val="0097249B"/>
    <w:rsid w:val="00992351"/>
    <w:rsid w:val="009A5E0E"/>
    <w:rsid w:val="009C731E"/>
    <w:rsid w:val="009F2956"/>
    <w:rsid w:val="009F4984"/>
    <w:rsid w:val="009F5C64"/>
    <w:rsid w:val="00A13CD6"/>
    <w:rsid w:val="00A2534E"/>
    <w:rsid w:val="00A44835"/>
    <w:rsid w:val="00A55715"/>
    <w:rsid w:val="00A94BAC"/>
    <w:rsid w:val="00AA00B7"/>
    <w:rsid w:val="00AA177B"/>
    <w:rsid w:val="00AA315F"/>
    <w:rsid w:val="00AB015C"/>
    <w:rsid w:val="00AF3EA8"/>
    <w:rsid w:val="00B16A0C"/>
    <w:rsid w:val="00B17300"/>
    <w:rsid w:val="00B42ADA"/>
    <w:rsid w:val="00B62057"/>
    <w:rsid w:val="00B66C79"/>
    <w:rsid w:val="00B737F7"/>
    <w:rsid w:val="00B7385F"/>
    <w:rsid w:val="00B84B4C"/>
    <w:rsid w:val="00BB4122"/>
    <w:rsid w:val="00BB6B7D"/>
    <w:rsid w:val="00BD50D1"/>
    <w:rsid w:val="00BD66DE"/>
    <w:rsid w:val="00BD68C3"/>
    <w:rsid w:val="00BF6D8E"/>
    <w:rsid w:val="00C31FA0"/>
    <w:rsid w:val="00C47E41"/>
    <w:rsid w:val="00C63C83"/>
    <w:rsid w:val="00C702E1"/>
    <w:rsid w:val="00C8129D"/>
    <w:rsid w:val="00CA1F3E"/>
    <w:rsid w:val="00CD45B8"/>
    <w:rsid w:val="00CF2EA8"/>
    <w:rsid w:val="00D07EC9"/>
    <w:rsid w:val="00D21870"/>
    <w:rsid w:val="00D46828"/>
    <w:rsid w:val="00D7726B"/>
    <w:rsid w:val="00D85076"/>
    <w:rsid w:val="00D911FA"/>
    <w:rsid w:val="00D9205F"/>
    <w:rsid w:val="00DB1056"/>
    <w:rsid w:val="00DB30F0"/>
    <w:rsid w:val="00DC4331"/>
    <w:rsid w:val="00DD4872"/>
    <w:rsid w:val="00DE2185"/>
    <w:rsid w:val="00DE688C"/>
    <w:rsid w:val="00DF2ABD"/>
    <w:rsid w:val="00E407AD"/>
    <w:rsid w:val="00E442D8"/>
    <w:rsid w:val="00E448F5"/>
    <w:rsid w:val="00E636A8"/>
    <w:rsid w:val="00E7571B"/>
    <w:rsid w:val="00E850DA"/>
    <w:rsid w:val="00E9443E"/>
    <w:rsid w:val="00E97E49"/>
    <w:rsid w:val="00EA7F0F"/>
    <w:rsid w:val="00EB524B"/>
    <w:rsid w:val="00EC2D8B"/>
    <w:rsid w:val="00EE10BB"/>
    <w:rsid w:val="00F020C7"/>
    <w:rsid w:val="00F11F50"/>
    <w:rsid w:val="00F41EFB"/>
    <w:rsid w:val="00F47FA5"/>
    <w:rsid w:val="00F844C2"/>
    <w:rsid w:val="00FE4723"/>
    <w:rsid w:val="00FF2684"/>
    <w:rsid w:val="00FF6241"/>
    <w:rsid w:val="00FF6D40"/>
    <w:rsid w:val="034778F8"/>
    <w:rsid w:val="050A270C"/>
    <w:rsid w:val="05206CDA"/>
    <w:rsid w:val="07A42A0C"/>
    <w:rsid w:val="091D287B"/>
    <w:rsid w:val="091D693D"/>
    <w:rsid w:val="0A5B6B34"/>
    <w:rsid w:val="0B7D4399"/>
    <w:rsid w:val="0C0F5A28"/>
    <w:rsid w:val="0F5273A8"/>
    <w:rsid w:val="0F595218"/>
    <w:rsid w:val="0FA522B2"/>
    <w:rsid w:val="11471987"/>
    <w:rsid w:val="117F3E19"/>
    <w:rsid w:val="11F94206"/>
    <w:rsid w:val="1258219F"/>
    <w:rsid w:val="138B7ACF"/>
    <w:rsid w:val="139B58DC"/>
    <w:rsid w:val="13DC0DD8"/>
    <w:rsid w:val="13E049C4"/>
    <w:rsid w:val="15181880"/>
    <w:rsid w:val="17F4629C"/>
    <w:rsid w:val="180B6E31"/>
    <w:rsid w:val="1972707A"/>
    <w:rsid w:val="199847AB"/>
    <w:rsid w:val="19F5717F"/>
    <w:rsid w:val="1AEA2835"/>
    <w:rsid w:val="1B7944F2"/>
    <w:rsid w:val="1BB53B86"/>
    <w:rsid w:val="1BE42770"/>
    <w:rsid w:val="1CCB2BCB"/>
    <w:rsid w:val="1F154CC7"/>
    <w:rsid w:val="206905D0"/>
    <w:rsid w:val="22660512"/>
    <w:rsid w:val="24484CC2"/>
    <w:rsid w:val="25925C80"/>
    <w:rsid w:val="26660C99"/>
    <w:rsid w:val="2846011A"/>
    <w:rsid w:val="288D36A1"/>
    <w:rsid w:val="2A0412B3"/>
    <w:rsid w:val="2A912AAC"/>
    <w:rsid w:val="2B0F1409"/>
    <w:rsid w:val="2BCB2333"/>
    <w:rsid w:val="2BE91959"/>
    <w:rsid w:val="2C986F9A"/>
    <w:rsid w:val="2CEB70D0"/>
    <w:rsid w:val="2F85606B"/>
    <w:rsid w:val="2FC80E61"/>
    <w:rsid w:val="300C66BE"/>
    <w:rsid w:val="303F7D18"/>
    <w:rsid w:val="30995DA9"/>
    <w:rsid w:val="30B14734"/>
    <w:rsid w:val="334C3343"/>
    <w:rsid w:val="33606E7B"/>
    <w:rsid w:val="35A41E80"/>
    <w:rsid w:val="35FB24BC"/>
    <w:rsid w:val="36EF0AD2"/>
    <w:rsid w:val="37D129AB"/>
    <w:rsid w:val="3C2348EF"/>
    <w:rsid w:val="3D391F84"/>
    <w:rsid w:val="3D8B2070"/>
    <w:rsid w:val="4100211E"/>
    <w:rsid w:val="417328B8"/>
    <w:rsid w:val="42E773A7"/>
    <w:rsid w:val="43F60EBF"/>
    <w:rsid w:val="45535E41"/>
    <w:rsid w:val="468D307F"/>
    <w:rsid w:val="486F32C9"/>
    <w:rsid w:val="4A901F10"/>
    <w:rsid w:val="4BF25EDF"/>
    <w:rsid w:val="4C936A6D"/>
    <w:rsid w:val="4C9479FE"/>
    <w:rsid w:val="4D4A4CE9"/>
    <w:rsid w:val="4DEE61C7"/>
    <w:rsid w:val="4FC23A97"/>
    <w:rsid w:val="4FEA5D82"/>
    <w:rsid w:val="4FFA24C9"/>
    <w:rsid w:val="517B28EE"/>
    <w:rsid w:val="51CF6F18"/>
    <w:rsid w:val="52C1192B"/>
    <w:rsid w:val="532A136D"/>
    <w:rsid w:val="55C6541C"/>
    <w:rsid w:val="567B0615"/>
    <w:rsid w:val="57A2142A"/>
    <w:rsid w:val="57B62019"/>
    <w:rsid w:val="590C6B05"/>
    <w:rsid w:val="59A518DD"/>
    <w:rsid w:val="5AA03F28"/>
    <w:rsid w:val="5B3D4BF3"/>
    <w:rsid w:val="6129531C"/>
    <w:rsid w:val="620500C9"/>
    <w:rsid w:val="635A2E89"/>
    <w:rsid w:val="636C5AB0"/>
    <w:rsid w:val="63830306"/>
    <w:rsid w:val="63FD303C"/>
    <w:rsid w:val="665671A9"/>
    <w:rsid w:val="66BD14AC"/>
    <w:rsid w:val="67CB5407"/>
    <w:rsid w:val="697940B9"/>
    <w:rsid w:val="69F75404"/>
    <w:rsid w:val="69FD7BF4"/>
    <w:rsid w:val="6A5D7F8C"/>
    <w:rsid w:val="6A6059CE"/>
    <w:rsid w:val="6A821722"/>
    <w:rsid w:val="6AFA01CE"/>
    <w:rsid w:val="6C12696E"/>
    <w:rsid w:val="6C26052F"/>
    <w:rsid w:val="6EB914CF"/>
    <w:rsid w:val="6FA74955"/>
    <w:rsid w:val="75006977"/>
    <w:rsid w:val="77511A1A"/>
    <w:rsid w:val="78F51841"/>
    <w:rsid w:val="79A625E2"/>
    <w:rsid w:val="7BED6D35"/>
    <w:rsid w:val="7D3B2B28"/>
    <w:rsid w:val="7EE115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qFormat/>
    <w:uiPriority w:val="0"/>
    <w:pPr>
      <w:keepNext/>
      <w:keepLines/>
      <w:spacing w:line="360" w:lineRule="auto"/>
      <w:outlineLvl w:val="0"/>
    </w:pPr>
    <w:rPr>
      <w:b/>
      <w:bCs/>
      <w:kern w:val="44"/>
      <w:sz w:val="32"/>
      <w:szCs w:val="44"/>
    </w:rPr>
  </w:style>
  <w:style w:type="paragraph" w:styleId="3">
    <w:name w:val="heading 2"/>
    <w:basedOn w:val="1"/>
    <w:next w:val="1"/>
    <w:link w:val="74"/>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5"/>
    <w:qFormat/>
    <w:uiPriority w:val="0"/>
    <w:pPr>
      <w:keepNext/>
      <w:keepLines/>
      <w:spacing w:line="360" w:lineRule="auto"/>
      <w:outlineLvl w:val="2"/>
    </w:pPr>
    <w:rPr>
      <w:b/>
      <w:bCs/>
      <w:sz w:val="24"/>
      <w:szCs w:val="32"/>
    </w:rPr>
  </w:style>
  <w:style w:type="paragraph" w:styleId="5">
    <w:name w:val="heading 4"/>
    <w:basedOn w:val="1"/>
    <w:next w:val="1"/>
    <w:link w:val="76"/>
    <w:qFormat/>
    <w:uiPriority w:val="0"/>
    <w:pPr>
      <w:keepNext/>
      <w:keepLines/>
      <w:spacing w:line="360" w:lineRule="auto"/>
      <w:outlineLvl w:val="3"/>
    </w:pPr>
    <w:rPr>
      <w:rFonts w:ascii="Arial" w:hAnsi="Arial"/>
      <w:b/>
      <w:bCs/>
      <w:szCs w:val="28"/>
    </w:rPr>
  </w:style>
  <w:style w:type="paragraph" w:styleId="6">
    <w:name w:val="heading 5"/>
    <w:basedOn w:val="1"/>
    <w:next w:val="1"/>
    <w:link w:val="77"/>
    <w:qFormat/>
    <w:uiPriority w:val="0"/>
    <w:pPr>
      <w:keepNext/>
      <w:keepLines/>
      <w:spacing w:line="360" w:lineRule="auto"/>
      <w:outlineLvl w:val="4"/>
    </w:pPr>
    <w:rPr>
      <w:rFonts w:eastAsia="黑体"/>
      <w:bCs/>
      <w:szCs w:val="28"/>
    </w:rPr>
  </w:style>
  <w:style w:type="paragraph" w:styleId="7">
    <w:name w:val="heading 6"/>
    <w:basedOn w:val="1"/>
    <w:next w:val="1"/>
    <w:link w:val="78"/>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79"/>
    <w:qFormat/>
    <w:uiPriority w:val="0"/>
    <w:pPr>
      <w:keepNext/>
      <w:keepLines/>
      <w:spacing w:before="240" w:after="64" w:line="320" w:lineRule="auto"/>
      <w:outlineLvl w:val="6"/>
    </w:pPr>
    <w:rPr>
      <w:b/>
      <w:bCs/>
      <w:sz w:val="24"/>
    </w:rPr>
  </w:style>
  <w:style w:type="paragraph" w:styleId="9">
    <w:name w:val="heading 8"/>
    <w:basedOn w:val="1"/>
    <w:next w:val="1"/>
    <w:link w:val="80"/>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1"/>
    <w:qFormat/>
    <w:uiPriority w:val="0"/>
    <w:pPr>
      <w:keepNext/>
      <w:keepLines/>
      <w:spacing w:before="240" w:after="64" w:line="320" w:lineRule="auto"/>
      <w:outlineLvl w:val="8"/>
    </w:pPr>
    <w:rPr>
      <w:rFonts w:ascii="Arial" w:hAnsi="Arial" w:eastAsia="黑体"/>
      <w:szCs w:val="21"/>
    </w:rPr>
  </w:style>
  <w:style w:type="character" w:default="1" w:styleId="64">
    <w:name w:val="Default Paragraph Font"/>
    <w:unhideWhenUsed/>
    <w:qFormat/>
    <w:uiPriority w:val="1"/>
  </w:style>
  <w:style w:type="table" w:default="1" w:styleId="72">
    <w:name w:val="Normal Table"/>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83"/>
    <w:unhideWhenUsed/>
    <w:qFormat/>
    <w:uiPriority w:val="0"/>
    <w:rPr>
      <w:b/>
      <w:bCs/>
    </w:rPr>
  </w:style>
  <w:style w:type="paragraph" w:styleId="12">
    <w:name w:val="annotation text"/>
    <w:basedOn w:val="1"/>
    <w:link w:val="82"/>
    <w:unhideWhenUsed/>
    <w:qFormat/>
    <w:uiPriority w:val="0"/>
    <w:rPr>
      <w:sz w:val="20"/>
      <w:szCs w:val="20"/>
    </w:rPr>
  </w:style>
  <w:style w:type="paragraph" w:styleId="13">
    <w:name w:val="toc 7"/>
    <w:basedOn w:val="1"/>
    <w:next w:val="1"/>
    <w:qFormat/>
    <w:uiPriority w:val="0"/>
    <w:pPr>
      <w:ind w:left="1260"/>
      <w:jc w:val="left"/>
    </w:pPr>
    <w:rPr>
      <w:sz w:val="18"/>
      <w:szCs w:val="18"/>
    </w:rPr>
  </w:style>
  <w:style w:type="paragraph" w:styleId="14">
    <w:name w:val="Body Text First Indent"/>
    <w:basedOn w:val="15"/>
    <w:link w:val="92"/>
    <w:semiHidden/>
    <w:qFormat/>
    <w:uiPriority w:val="0"/>
    <w:pPr>
      <w:ind w:firstLine="420"/>
    </w:pPr>
  </w:style>
  <w:style w:type="paragraph" w:styleId="15">
    <w:name w:val="Body Text"/>
    <w:basedOn w:val="1"/>
    <w:link w:val="91"/>
    <w:unhideWhenUsed/>
    <w:qFormat/>
    <w:uiPriority w:val="0"/>
    <w:pPr>
      <w:spacing w:after="120"/>
    </w:pPr>
  </w:style>
  <w:style w:type="paragraph" w:styleId="16">
    <w:name w:val="List Number 2"/>
    <w:basedOn w:val="1"/>
    <w:semiHidden/>
    <w:qFormat/>
    <w:uiPriority w:val="0"/>
    <w:pPr>
      <w:numPr>
        <w:ilvl w:val="0"/>
        <w:numId w:val="1"/>
      </w:numPr>
    </w:pPr>
  </w:style>
  <w:style w:type="paragraph" w:styleId="17">
    <w:name w:val="Note Heading"/>
    <w:basedOn w:val="1"/>
    <w:next w:val="1"/>
    <w:link w:val="93"/>
    <w:semiHidden/>
    <w:qFormat/>
    <w:uiPriority w:val="0"/>
    <w:pPr>
      <w:jc w:val="center"/>
    </w:pPr>
  </w:style>
  <w:style w:type="paragraph" w:styleId="18">
    <w:name w:val="List Bullet 4"/>
    <w:basedOn w:val="1"/>
    <w:semiHidden/>
    <w:qFormat/>
    <w:uiPriority w:val="0"/>
    <w:pPr>
      <w:numPr>
        <w:ilvl w:val="0"/>
        <w:numId w:val="2"/>
      </w:numPr>
    </w:pPr>
  </w:style>
  <w:style w:type="paragraph" w:styleId="19">
    <w:name w:val="E-mail Signature"/>
    <w:basedOn w:val="1"/>
    <w:link w:val="94"/>
    <w:semiHidden/>
    <w:qFormat/>
    <w:uiPriority w:val="0"/>
  </w:style>
  <w:style w:type="paragraph" w:styleId="20">
    <w:name w:val="List Number"/>
    <w:basedOn w:val="1"/>
    <w:semiHidden/>
    <w:qFormat/>
    <w:uiPriority w:val="0"/>
    <w:pPr>
      <w:numPr>
        <w:ilvl w:val="0"/>
        <w:numId w:val="3"/>
      </w:numPr>
    </w:pPr>
  </w:style>
  <w:style w:type="paragraph" w:styleId="21">
    <w:name w:val="Normal Indent"/>
    <w:basedOn w:val="1"/>
    <w:qFormat/>
    <w:uiPriority w:val="0"/>
    <w:pPr>
      <w:ind w:firstLine="420"/>
    </w:pPr>
  </w:style>
  <w:style w:type="paragraph" w:styleId="22">
    <w:name w:val="caption"/>
    <w:basedOn w:val="1"/>
    <w:next w:val="1"/>
    <w:qFormat/>
    <w:uiPriority w:val="0"/>
    <w:pPr>
      <w:spacing w:before="152" w:after="160"/>
    </w:pPr>
    <w:rPr>
      <w:rFonts w:ascii="Arial" w:hAnsi="Arial" w:eastAsia="黑体"/>
      <w:sz w:val="20"/>
      <w:szCs w:val="20"/>
    </w:rPr>
  </w:style>
  <w:style w:type="paragraph" w:styleId="23">
    <w:name w:val="List Bullet"/>
    <w:basedOn w:val="1"/>
    <w:semiHidden/>
    <w:qFormat/>
    <w:uiPriority w:val="0"/>
    <w:pPr>
      <w:numPr>
        <w:ilvl w:val="0"/>
        <w:numId w:val="4"/>
      </w:numPr>
    </w:pPr>
  </w:style>
  <w:style w:type="paragraph" w:styleId="24">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5">
    <w:name w:val="Document Map"/>
    <w:basedOn w:val="1"/>
    <w:link w:val="84"/>
    <w:unhideWhenUsed/>
    <w:qFormat/>
    <w:uiPriority w:val="0"/>
    <w:rPr>
      <w:rFonts w:ascii="Tahoma" w:hAnsi="Tahoma" w:cs="Tahoma"/>
      <w:sz w:val="16"/>
      <w:szCs w:val="16"/>
    </w:rPr>
  </w:style>
  <w:style w:type="paragraph" w:styleId="26">
    <w:name w:val="Salutation"/>
    <w:basedOn w:val="1"/>
    <w:next w:val="1"/>
    <w:link w:val="95"/>
    <w:semiHidden/>
    <w:qFormat/>
    <w:uiPriority w:val="0"/>
  </w:style>
  <w:style w:type="paragraph" w:styleId="27">
    <w:name w:val="Body Text 3"/>
    <w:basedOn w:val="1"/>
    <w:link w:val="96"/>
    <w:semiHidden/>
    <w:qFormat/>
    <w:uiPriority w:val="0"/>
    <w:pPr>
      <w:spacing w:after="120"/>
    </w:pPr>
    <w:rPr>
      <w:sz w:val="16"/>
      <w:szCs w:val="16"/>
    </w:rPr>
  </w:style>
  <w:style w:type="paragraph" w:styleId="28">
    <w:name w:val="Closing"/>
    <w:basedOn w:val="1"/>
    <w:link w:val="97"/>
    <w:semiHidden/>
    <w:qFormat/>
    <w:uiPriority w:val="0"/>
    <w:pPr>
      <w:ind w:left="4320"/>
    </w:pPr>
  </w:style>
  <w:style w:type="paragraph" w:styleId="29">
    <w:name w:val="List Bullet 3"/>
    <w:basedOn w:val="1"/>
    <w:semiHidden/>
    <w:qFormat/>
    <w:uiPriority w:val="0"/>
    <w:pPr>
      <w:numPr>
        <w:ilvl w:val="0"/>
        <w:numId w:val="5"/>
      </w:numPr>
    </w:pPr>
  </w:style>
  <w:style w:type="paragraph" w:styleId="30">
    <w:name w:val="Body Text Indent"/>
    <w:basedOn w:val="1"/>
    <w:link w:val="98"/>
    <w:semiHidden/>
    <w:qFormat/>
    <w:uiPriority w:val="0"/>
    <w:pPr>
      <w:spacing w:after="120"/>
      <w:ind w:left="420"/>
    </w:pPr>
  </w:style>
  <w:style w:type="paragraph" w:styleId="31">
    <w:name w:val="List Number 3"/>
    <w:basedOn w:val="1"/>
    <w:semiHidden/>
    <w:qFormat/>
    <w:uiPriority w:val="0"/>
    <w:pPr>
      <w:numPr>
        <w:ilvl w:val="0"/>
        <w:numId w:val="6"/>
      </w:numPr>
    </w:pPr>
  </w:style>
  <w:style w:type="paragraph" w:styleId="32">
    <w:name w:val="List Bullet 2"/>
    <w:basedOn w:val="1"/>
    <w:semiHidden/>
    <w:qFormat/>
    <w:uiPriority w:val="0"/>
    <w:pPr>
      <w:numPr>
        <w:ilvl w:val="0"/>
        <w:numId w:val="7"/>
      </w:numPr>
    </w:pPr>
  </w:style>
  <w:style w:type="paragraph" w:styleId="33">
    <w:name w:val="HTML Address"/>
    <w:basedOn w:val="1"/>
    <w:link w:val="99"/>
    <w:semiHidden/>
    <w:qFormat/>
    <w:uiPriority w:val="0"/>
    <w:rPr>
      <w:i/>
      <w:iCs/>
    </w:rPr>
  </w:style>
  <w:style w:type="paragraph" w:styleId="34">
    <w:name w:val="toc 5"/>
    <w:basedOn w:val="1"/>
    <w:next w:val="1"/>
    <w:qFormat/>
    <w:uiPriority w:val="0"/>
    <w:pPr>
      <w:ind w:left="840"/>
      <w:jc w:val="left"/>
    </w:pPr>
    <w:rPr>
      <w:sz w:val="18"/>
      <w:szCs w:val="18"/>
    </w:rPr>
  </w:style>
  <w:style w:type="paragraph" w:styleId="35">
    <w:name w:val="toc 3"/>
    <w:basedOn w:val="1"/>
    <w:next w:val="1"/>
    <w:qFormat/>
    <w:uiPriority w:val="0"/>
    <w:pPr>
      <w:ind w:left="840" w:leftChars="400"/>
    </w:pPr>
  </w:style>
  <w:style w:type="paragraph" w:styleId="36">
    <w:name w:val="Plain Text"/>
    <w:basedOn w:val="1"/>
    <w:link w:val="100"/>
    <w:qFormat/>
    <w:uiPriority w:val="0"/>
    <w:rPr>
      <w:rFonts w:ascii="宋体" w:hAnsi="Courier New" w:cs="Courier New"/>
      <w:szCs w:val="21"/>
    </w:rPr>
  </w:style>
  <w:style w:type="paragraph" w:styleId="37">
    <w:name w:val="List Bullet 5"/>
    <w:basedOn w:val="1"/>
    <w:semiHidden/>
    <w:qFormat/>
    <w:uiPriority w:val="0"/>
    <w:pPr>
      <w:numPr>
        <w:ilvl w:val="0"/>
        <w:numId w:val="8"/>
      </w:numPr>
    </w:pPr>
  </w:style>
  <w:style w:type="paragraph" w:styleId="38">
    <w:name w:val="List Number 4"/>
    <w:basedOn w:val="1"/>
    <w:semiHidden/>
    <w:qFormat/>
    <w:uiPriority w:val="0"/>
    <w:pPr>
      <w:numPr>
        <w:ilvl w:val="0"/>
        <w:numId w:val="9"/>
      </w:numPr>
    </w:pPr>
  </w:style>
  <w:style w:type="paragraph" w:styleId="39">
    <w:name w:val="toc 8"/>
    <w:basedOn w:val="1"/>
    <w:next w:val="1"/>
    <w:qFormat/>
    <w:uiPriority w:val="0"/>
    <w:pPr>
      <w:ind w:left="1470"/>
      <w:jc w:val="left"/>
    </w:pPr>
    <w:rPr>
      <w:sz w:val="18"/>
      <w:szCs w:val="18"/>
    </w:rPr>
  </w:style>
  <w:style w:type="paragraph" w:styleId="40">
    <w:name w:val="Date"/>
    <w:basedOn w:val="1"/>
    <w:next w:val="1"/>
    <w:link w:val="101"/>
    <w:qFormat/>
    <w:uiPriority w:val="0"/>
    <w:pPr>
      <w:ind w:left="100" w:leftChars="2500"/>
    </w:pPr>
  </w:style>
  <w:style w:type="paragraph" w:styleId="41">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2">
    <w:name w:val="endnote text"/>
    <w:basedOn w:val="1"/>
    <w:link w:val="103"/>
    <w:qFormat/>
    <w:uiPriority w:val="0"/>
    <w:pPr>
      <w:snapToGrid w:val="0"/>
      <w:jc w:val="left"/>
    </w:pPr>
  </w:style>
  <w:style w:type="paragraph" w:styleId="43">
    <w:name w:val="Balloon Text"/>
    <w:basedOn w:val="1"/>
    <w:link w:val="85"/>
    <w:unhideWhenUsed/>
    <w:qFormat/>
    <w:uiPriority w:val="0"/>
    <w:rPr>
      <w:rFonts w:ascii="Tahoma" w:hAnsi="Tahoma" w:cs="Tahoma"/>
      <w:sz w:val="16"/>
      <w:szCs w:val="16"/>
    </w:rPr>
  </w:style>
  <w:style w:type="paragraph" w:styleId="44">
    <w:name w:val="footer"/>
    <w:basedOn w:val="1"/>
    <w:link w:val="86"/>
    <w:unhideWhenUsed/>
    <w:qFormat/>
    <w:uiPriority w:val="0"/>
    <w:pPr>
      <w:tabs>
        <w:tab w:val="center" w:pos="4320"/>
        <w:tab w:val="right" w:pos="8640"/>
      </w:tabs>
    </w:pPr>
  </w:style>
  <w:style w:type="paragraph" w:styleId="45">
    <w:name w:val="Body Text First Indent 2"/>
    <w:basedOn w:val="30"/>
    <w:link w:val="104"/>
    <w:semiHidden/>
    <w:qFormat/>
    <w:uiPriority w:val="0"/>
    <w:pPr>
      <w:ind w:firstLine="420"/>
    </w:pPr>
  </w:style>
  <w:style w:type="paragraph" w:styleId="46">
    <w:name w:val="header"/>
    <w:basedOn w:val="1"/>
    <w:link w:val="87"/>
    <w:unhideWhenUsed/>
    <w:qFormat/>
    <w:uiPriority w:val="0"/>
    <w:pPr>
      <w:tabs>
        <w:tab w:val="center" w:pos="4320"/>
        <w:tab w:val="right" w:pos="8640"/>
      </w:tabs>
    </w:pPr>
  </w:style>
  <w:style w:type="paragraph" w:styleId="47">
    <w:name w:val="Signature"/>
    <w:basedOn w:val="1"/>
    <w:link w:val="105"/>
    <w:semiHidden/>
    <w:qFormat/>
    <w:uiPriority w:val="0"/>
    <w:pPr>
      <w:ind w:left="4320"/>
    </w:pPr>
  </w:style>
  <w:style w:type="paragraph" w:styleId="48">
    <w:name w:val="toc 1"/>
    <w:basedOn w:val="1"/>
    <w:next w:val="1"/>
    <w:qFormat/>
    <w:uiPriority w:val="0"/>
    <w:rPr>
      <w:szCs w:val="20"/>
    </w:rPr>
  </w:style>
  <w:style w:type="paragraph" w:styleId="49">
    <w:name w:val="toc 4"/>
    <w:basedOn w:val="1"/>
    <w:next w:val="1"/>
    <w:qFormat/>
    <w:uiPriority w:val="0"/>
    <w:pPr>
      <w:ind w:left="630"/>
      <w:jc w:val="left"/>
    </w:pPr>
    <w:rPr>
      <w:sz w:val="18"/>
      <w:szCs w:val="18"/>
    </w:rPr>
  </w:style>
  <w:style w:type="paragraph" w:styleId="50">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51">
    <w:name w:val="List Number 5"/>
    <w:basedOn w:val="1"/>
    <w:semiHidden/>
    <w:qFormat/>
    <w:uiPriority w:val="0"/>
    <w:pPr>
      <w:numPr>
        <w:ilvl w:val="0"/>
        <w:numId w:val="10"/>
      </w:numPr>
    </w:pPr>
  </w:style>
  <w:style w:type="paragraph" w:styleId="52">
    <w:name w:val="List"/>
    <w:basedOn w:val="1"/>
    <w:semiHidden/>
    <w:qFormat/>
    <w:uiPriority w:val="0"/>
    <w:pPr>
      <w:ind w:left="420" w:hanging="420"/>
    </w:pPr>
  </w:style>
  <w:style w:type="paragraph" w:styleId="53">
    <w:name w:val="footnote text"/>
    <w:basedOn w:val="1"/>
    <w:link w:val="107"/>
    <w:qFormat/>
    <w:uiPriority w:val="0"/>
    <w:pPr>
      <w:snapToGrid w:val="0"/>
      <w:jc w:val="left"/>
    </w:pPr>
    <w:rPr>
      <w:kern w:val="0"/>
      <w:sz w:val="18"/>
      <w:szCs w:val="20"/>
      <w:lang w:val="zh-CN"/>
    </w:rPr>
  </w:style>
  <w:style w:type="paragraph" w:styleId="54">
    <w:name w:val="toc 6"/>
    <w:basedOn w:val="1"/>
    <w:next w:val="1"/>
    <w:qFormat/>
    <w:uiPriority w:val="0"/>
    <w:pPr>
      <w:ind w:left="1050"/>
      <w:jc w:val="left"/>
    </w:pPr>
    <w:rPr>
      <w:sz w:val="18"/>
      <w:szCs w:val="18"/>
    </w:rPr>
  </w:style>
  <w:style w:type="paragraph" w:styleId="55">
    <w:name w:val="Body Text Indent 3"/>
    <w:basedOn w:val="1"/>
    <w:link w:val="109"/>
    <w:semiHidden/>
    <w:qFormat/>
    <w:uiPriority w:val="0"/>
    <w:pPr>
      <w:spacing w:after="120"/>
      <w:ind w:left="420"/>
    </w:pPr>
    <w:rPr>
      <w:sz w:val="16"/>
      <w:szCs w:val="16"/>
    </w:rPr>
  </w:style>
  <w:style w:type="paragraph" w:styleId="56">
    <w:name w:val="toc 2"/>
    <w:basedOn w:val="1"/>
    <w:next w:val="1"/>
    <w:qFormat/>
    <w:uiPriority w:val="0"/>
    <w:pPr>
      <w:ind w:left="420" w:leftChars="200"/>
    </w:pPr>
    <w:rPr>
      <w:szCs w:val="20"/>
    </w:rPr>
  </w:style>
  <w:style w:type="paragraph" w:styleId="57">
    <w:name w:val="toc 9"/>
    <w:basedOn w:val="1"/>
    <w:next w:val="1"/>
    <w:qFormat/>
    <w:uiPriority w:val="0"/>
    <w:pPr>
      <w:ind w:left="1680"/>
      <w:jc w:val="left"/>
    </w:pPr>
    <w:rPr>
      <w:sz w:val="18"/>
      <w:szCs w:val="18"/>
    </w:rPr>
  </w:style>
  <w:style w:type="paragraph" w:styleId="58">
    <w:name w:val="Body Text 2"/>
    <w:basedOn w:val="1"/>
    <w:link w:val="110"/>
    <w:semiHidden/>
    <w:qFormat/>
    <w:uiPriority w:val="0"/>
    <w:pPr>
      <w:spacing w:after="120" w:line="480" w:lineRule="auto"/>
    </w:pPr>
  </w:style>
  <w:style w:type="paragraph" w:styleId="59">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60">
    <w:name w:val="HTML Preformatted"/>
    <w:basedOn w:val="1"/>
    <w:link w:val="112"/>
    <w:semiHidden/>
    <w:qFormat/>
    <w:uiPriority w:val="0"/>
    <w:rPr>
      <w:rFonts w:ascii="Courier New" w:hAnsi="Courier New" w:cs="Courier New"/>
      <w:sz w:val="20"/>
      <w:szCs w:val="20"/>
    </w:rPr>
  </w:style>
  <w:style w:type="paragraph" w:styleId="6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62">
    <w:name w:val="index 1"/>
    <w:basedOn w:val="1"/>
    <w:next w:val="1"/>
    <w:unhideWhenUsed/>
    <w:qFormat/>
    <w:uiPriority w:val="0"/>
  </w:style>
  <w:style w:type="paragraph" w:styleId="63">
    <w:name w:val="Title"/>
    <w:basedOn w:val="1"/>
    <w:next w:val="1"/>
    <w:link w:val="88"/>
    <w:qFormat/>
    <w:uiPriority w:val="0"/>
    <w:pPr>
      <w:spacing w:before="240" w:after="60"/>
      <w:jc w:val="center"/>
      <w:outlineLvl w:val="0"/>
    </w:pPr>
    <w:rPr>
      <w:rFonts w:ascii="Cambria" w:hAnsi="Cambria"/>
      <w:b/>
      <w:bCs/>
      <w:sz w:val="32"/>
      <w:szCs w:val="32"/>
    </w:rPr>
  </w:style>
  <w:style w:type="character" w:styleId="65">
    <w:name w:val="Strong"/>
    <w:qFormat/>
    <w:uiPriority w:val="0"/>
    <w:rPr>
      <w:b/>
      <w:bCs/>
    </w:rPr>
  </w:style>
  <w:style w:type="character" w:styleId="66">
    <w:name w:val="endnote reference"/>
    <w:qFormat/>
    <w:uiPriority w:val="0"/>
    <w:rPr>
      <w:vertAlign w:val="superscript"/>
    </w:rPr>
  </w:style>
  <w:style w:type="character" w:styleId="67">
    <w:name w:val="page number"/>
    <w:basedOn w:val="64"/>
    <w:qFormat/>
    <w:uiPriority w:val="0"/>
  </w:style>
  <w:style w:type="character" w:styleId="68">
    <w:name w:val="Emphasis"/>
    <w:qFormat/>
    <w:uiPriority w:val="0"/>
    <w:rPr>
      <w:i/>
      <w:iCs/>
    </w:rPr>
  </w:style>
  <w:style w:type="character" w:styleId="69">
    <w:name w:val="Hyperlink"/>
    <w:qFormat/>
    <w:uiPriority w:val="0"/>
    <w:rPr>
      <w:color w:val="0000FF"/>
      <w:u w:val="single"/>
    </w:rPr>
  </w:style>
  <w:style w:type="character" w:styleId="70">
    <w:name w:val="annotation reference"/>
    <w:unhideWhenUsed/>
    <w:qFormat/>
    <w:uiPriority w:val="0"/>
    <w:rPr>
      <w:sz w:val="16"/>
      <w:szCs w:val="16"/>
    </w:rPr>
  </w:style>
  <w:style w:type="character" w:styleId="71">
    <w:name w:val="footnote reference"/>
    <w:qFormat/>
    <w:uiPriority w:val="0"/>
    <w:rPr>
      <w:vertAlign w:val="superscript"/>
    </w:rPr>
  </w:style>
  <w:style w:type="character" w:customStyle="1" w:styleId="73">
    <w:name w:val="标题 1 Char"/>
    <w:link w:val="2"/>
    <w:qFormat/>
    <w:uiPriority w:val="0"/>
    <w:rPr>
      <w:rFonts w:ascii="Times New Roman" w:hAnsi="Times New Roman"/>
      <w:b/>
      <w:bCs/>
      <w:kern w:val="44"/>
      <w:sz w:val="32"/>
      <w:szCs w:val="44"/>
    </w:rPr>
  </w:style>
  <w:style w:type="character" w:customStyle="1" w:styleId="74">
    <w:name w:val="标题 2 Char1"/>
    <w:link w:val="3"/>
    <w:qFormat/>
    <w:uiPriority w:val="0"/>
    <w:rPr>
      <w:rFonts w:ascii="Arial" w:hAnsi="Arial" w:eastAsia="黑体"/>
      <w:b/>
      <w:bCs/>
      <w:kern w:val="2"/>
      <w:sz w:val="32"/>
      <w:szCs w:val="32"/>
    </w:rPr>
  </w:style>
  <w:style w:type="character" w:customStyle="1" w:styleId="75">
    <w:name w:val="标题 3 Char"/>
    <w:link w:val="4"/>
    <w:qFormat/>
    <w:uiPriority w:val="0"/>
    <w:rPr>
      <w:rFonts w:ascii="Times New Roman" w:hAnsi="Times New Roman"/>
      <w:b/>
      <w:bCs/>
      <w:kern w:val="2"/>
      <w:sz w:val="24"/>
      <w:szCs w:val="32"/>
    </w:rPr>
  </w:style>
  <w:style w:type="character" w:customStyle="1" w:styleId="76">
    <w:name w:val="标题 4 Char"/>
    <w:link w:val="5"/>
    <w:qFormat/>
    <w:uiPriority w:val="0"/>
    <w:rPr>
      <w:rFonts w:ascii="Arial" w:hAnsi="Arial"/>
      <w:b/>
      <w:bCs/>
      <w:kern w:val="2"/>
      <w:sz w:val="21"/>
      <w:szCs w:val="28"/>
    </w:rPr>
  </w:style>
  <w:style w:type="character" w:customStyle="1" w:styleId="77">
    <w:name w:val="标题 5 Char"/>
    <w:link w:val="6"/>
    <w:qFormat/>
    <w:uiPriority w:val="0"/>
    <w:rPr>
      <w:rFonts w:ascii="Times New Roman" w:hAnsi="Times New Roman" w:eastAsia="黑体"/>
      <w:bCs/>
      <w:kern w:val="2"/>
      <w:sz w:val="21"/>
      <w:szCs w:val="28"/>
    </w:rPr>
  </w:style>
  <w:style w:type="character" w:customStyle="1" w:styleId="78">
    <w:name w:val="标题 6 Char"/>
    <w:link w:val="7"/>
    <w:qFormat/>
    <w:uiPriority w:val="0"/>
    <w:rPr>
      <w:rFonts w:ascii="Arial" w:hAnsi="Arial" w:eastAsia="黑体"/>
      <w:b/>
      <w:bCs/>
      <w:kern w:val="2"/>
      <w:sz w:val="24"/>
      <w:szCs w:val="24"/>
    </w:rPr>
  </w:style>
  <w:style w:type="character" w:customStyle="1" w:styleId="79">
    <w:name w:val="标题 7 Char"/>
    <w:link w:val="8"/>
    <w:qFormat/>
    <w:uiPriority w:val="0"/>
    <w:rPr>
      <w:rFonts w:ascii="Times New Roman" w:hAnsi="Times New Roman"/>
      <w:b/>
      <w:bCs/>
      <w:kern w:val="2"/>
      <w:sz w:val="24"/>
      <w:szCs w:val="24"/>
    </w:rPr>
  </w:style>
  <w:style w:type="character" w:customStyle="1" w:styleId="80">
    <w:name w:val="标题 8 Char"/>
    <w:link w:val="9"/>
    <w:qFormat/>
    <w:uiPriority w:val="0"/>
    <w:rPr>
      <w:rFonts w:ascii="Arial" w:hAnsi="Arial" w:eastAsia="黑体"/>
      <w:kern w:val="2"/>
      <w:sz w:val="24"/>
      <w:szCs w:val="24"/>
    </w:rPr>
  </w:style>
  <w:style w:type="character" w:customStyle="1" w:styleId="81">
    <w:name w:val="标题 9 Char"/>
    <w:link w:val="10"/>
    <w:qFormat/>
    <w:uiPriority w:val="0"/>
    <w:rPr>
      <w:rFonts w:ascii="Arial" w:hAnsi="Arial" w:eastAsia="黑体"/>
      <w:kern w:val="2"/>
      <w:sz w:val="21"/>
      <w:szCs w:val="21"/>
    </w:rPr>
  </w:style>
  <w:style w:type="character" w:customStyle="1" w:styleId="82">
    <w:name w:val="批注文字 Char"/>
    <w:link w:val="12"/>
    <w:qFormat/>
    <w:uiPriority w:val="0"/>
    <w:rPr>
      <w:rFonts w:ascii="Times New Roman" w:hAnsi="Times New Roman" w:eastAsia="宋体" w:cs="Times New Roman"/>
      <w:kern w:val="2"/>
      <w:sz w:val="20"/>
      <w:szCs w:val="20"/>
    </w:rPr>
  </w:style>
  <w:style w:type="character" w:customStyle="1" w:styleId="83">
    <w:name w:val="批注主题 Char"/>
    <w:link w:val="11"/>
    <w:semiHidden/>
    <w:qFormat/>
    <w:uiPriority w:val="99"/>
    <w:rPr>
      <w:rFonts w:ascii="Times New Roman" w:hAnsi="Times New Roman" w:eastAsia="宋体" w:cs="Times New Roman"/>
      <w:b/>
      <w:bCs/>
      <w:kern w:val="2"/>
      <w:sz w:val="20"/>
      <w:szCs w:val="20"/>
    </w:rPr>
  </w:style>
  <w:style w:type="character" w:customStyle="1" w:styleId="84">
    <w:name w:val="文档结构图 Char"/>
    <w:link w:val="25"/>
    <w:qFormat/>
    <w:uiPriority w:val="0"/>
    <w:rPr>
      <w:rFonts w:ascii="Tahoma" w:hAnsi="Tahoma" w:eastAsia="宋体" w:cs="Tahoma"/>
      <w:kern w:val="2"/>
      <w:sz w:val="16"/>
      <w:szCs w:val="16"/>
    </w:rPr>
  </w:style>
  <w:style w:type="character" w:customStyle="1" w:styleId="85">
    <w:name w:val="批注框文本 Char"/>
    <w:link w:val="43"/>
    <w:qFormat/>
    <w:uiPriority w:val="0"/>
    <w:rPr>
      <w:rFonts w:ascii="Tahoma" w:hAnsi="Tahoma" w:eastAsia="宋体" w:cs="Tahoma"/>
      <w:kern w:val="2"/>
      <w:sz w:val="16"/>
      <w:szCs w:val="16"/>
    </w:rPr>
  </w:style>
  <w:style w:type="character" w:customStyle="1" w:styleId="86">
    <w:name w:val="页脚 Char"/>
    <w:link w:val="44"/>
    <w:qFormat/>
    <w:uiPriority w:val="0"/>
    <w:rPr>
      <w:rFonts w:ascii="Times New Roman" w:hAnsi="Times New Roman" w:eastAsia="宋体" w:cs="Times New Roman"/>
      <w:kern w:val="2"/>
      <w:sz w:val="21"/>
      <w:szCs w:val="24"/>
    </w:rPr>
  </w:style>
  <w:style w:type="character" w:customStyle="1" w:styleId="87">
    <w:name w:val="页眉 Char"/>
    <w:link w:val="46"/>
    <w:qFormat/>
    <w:uiPriority w:val="0"/>
    <w:rPr>
      <w:rFonts w:ascii="Times New Roman" w:hAnsi="Times New Roman" w:eastAsia="宋体" w:cs="Times New Roman"/>
      <w:kern w:val="2"/>
      <w:sz w:val="21"/>
      <w:szCs w:val="24"/>
    </w:rPr>
  </w:style>
  <w:style w:type="character" w:customStyle="1" w:styleId="88">
    <w:name w:val="标题 Char"/>
    <w:link w:val="63"/>
    <w:qFormat/>
    <w:uiPriority w:val="10"/>
    <w:rPr>
      <w:rFonts w:ascii="Cambria" w:hAnsi="Cambria" w:cs="Times New Roman"/>
      <w:b/>
      <w:bCs/>
      <w:kern w:val="2"/>
      <w:sz w:val="32"/>
      <w:szCs w:val="32"/>
    </w:rPr>
  </w:style>
  <w:style w:type="paragraph" w:customStyle="1" w:styleId="89">
    <w:name w:val="列出段落1"/>
    <w:basedOn w:val="1"/>
    <w:unhideWhenUsed/>
    <w:qFormat/>
    <w:uiPriority w:val="0"/>
    <w:pPr>
      <w:ind w:firstLine="420" w:firstLineChars="200"/>
    </w:pPr>
  </w:style>
  <w:style w:type="character" w:customStyle="1" w:styleId="90">
    <w:name w:val="标题 2 Char"/>
    <w:qFormat/>
    <w:uiPriority w:val="0"/>
    <w:rPr>
      <w:rFonts w:ascii="Cambria" w:hAnsi="Cambria" w:eastAsia="宋体" w:cs="Times New Roman"/>
      <w:b/>
      <w:bCs/>
      <w:kern w:val="2"/>
      <w:sz w:val="32"/>
      <w:szCs w:val="32"/>
    </w:rPr>
  </w:style>
  <w:style w:type="character" w:customStyle="1" w:styleId="91">
    <w:name w:val="正文文本 Char"/>
    <w:link w:val="15"/>
    <w:semiHidden/>
    <w:qFormat/>
    <w:uiPriority w:val="99"/>
    <w:rPr>
      <w:rFonts w:ascii="Times New Roman" w:hAnsi="Times New Roman"/>
      <w:kern w:val="2"/>
      <w:sz w:val="21"/>
      <w:szCs w:val="24"/>
    </w:rPr>
  </w:style>
  <w:style w:type="character" w:customStyle="1" w:styleId="92">
    <w:name w:val="正文首行缩进 Char"/>
    <w:link w:val="14"/>
    <w:semiHidden/>
    <w:qFormat/>
    <w:uiPriority w:val="0"/>
    <w:rPr>
      <w:rFonts w:ascii="Times New Roman" w:hAnsi="Times New Roman"/>
      <w:kern w:val="2"/>
      <w:sz w:val="21"/>
      <w:szCs w:val="24"/>
    </w:rPr>
  </w:style>
  <w:style w:type="character" w:customStyle="1" w:styleId="93">
    <w:name w:val="注释标题 Char"/>
    <w:link w:val="17"/>
    <w:semiHidden/>
    <w:qFormat/>
    <w:uiPriority w:val="0"/>
    <w:rPr>
      <w:rFonts w:ascii="Times New Roman" w:hAnsi="Times New Roman"/>
      <w:kern w:val="2"/>
      <w:sz w:val="21"/>
      <w:szCs w:val="24"/>
    </w:rPr>
  </w:style>
  <w:style w:type="character" w:customStyle="1" w:styleId="94">
    <w:name w:val="电子邮件签名 Char"/>
    <w:link w:val="19"/>
    <w:semiHidden/>
    <w:qFormat/>
    <w:uiPriority w:val="0"/>
    <w:rPr>
      <w:rFonts w:ascii="Times New Roman" w:hAnsi="Times New Roman"/>
      <w:kern w:val="2"/>
      <w:sz w:val="21"/>
      <w:szCs w:val="24"/>
    </w:rPr>
  </w:style>
  <w:style w:type="character" w:customStyle="1" w:styleId="95">
    <w:name w:val="称呼 Char"/>
    <w:link w:val="26"/>
    <w:semiHidden/>
    <w:qFormat/>
    <w:uiPriority w:val="0"/>
    <w:rPr>
      <w:rFonts w:ascii="Times New Roman" w:hAnsi="Times New Roman"/>
      <w:kern w:val="2"/>
      <w:sz w:val="21"/>
      <w:szCs w:val="24"/>
    </w:rPr>
  </w:style>
  <w:style w:type="character" w:customStyle="1" w:styleId="96">
    <w:name w:val="正文文本 3 Char"/>
    <w:link w:val="27"/>
    <w:semiHidden/>
    <w:qFormat/>
    <w:uiPriority w:val="0"/>
    <w:rPr>
      <w:rFonts w:ascii="Times New Roman" w:hAnsi="Times New Roman"/>
      <w:kern w:val="2"/>
      <w:sz w:val="16"/>
      <w:szCs w:val="16"/>
    </w:rPr>
  </w:style>
  <w:style w:type="character" w:customStyle="1" w:styleId="97">
    <w:name w:val="结束语 Char"/>
    <w:link w:val="28"/>
    <w:semiHidden/>
    <w:qFormat/>
    <w:uiPriority w:val="0"/>
    <w:rPr>
      <w:rFonts w:ascii="Times New Roman" w:hAnsi="Times New Roman"/>
      <w:kern w:val="2"/>
      <w:sz w:val="21"/>
      <w:szCs w:val="24"/>
    </w:rPr>
  </w:style>
  <w:style w:type="character" w:customStyle="1" w:styleId="98">
    <w:name w:val="正文文本缩进 Char"/>
    <w:link w:val="30"/>
    <w:semiHidden/>
    <w:qFormat/>
    <w:uiPriority w:val="0"/>
    <w:rPr>
      <w:rFonts w:ascii="Times New Roman" w:hAnsi="Times New Roman"/>
      <w:kern w:val="2"/>
      <w:sz w:val="21"/>
      <w:szCs w:val="24"/>
    </w:rPr>
  </w:style>
  <w:style w:type="character" w:customStyle="1" w:styleId="99">
    <w:name w:val="HTML 地址 Char"/>
    <w:link w:val="33"/>
    <w:semiHidden/>
    <w:qFormat/>
    <w:uiPriority w:val="0"/>
    <w:rPr>
      <w:rFonts w:ascii="Times New Roman" w:hAnsi="Times New Roman"/>
      <w:i/>
      <w:iCs/>
      <w:kern w:val="2"/>
      <w:sz w:val="21"/>
      <w:szCs w:val="24"/>
    </w:rPr>
  </w:style>
  <w:style w:type="character" w:customStyle="1" w:styleId="100">
    <w:name w:val="纯文本 Char"/>
    <w:link w:val="36"/>
    <w:qFormat/>
    <w:uiPriority w:val="0"/>
    <w:rPr>
      <w:rFonts w:ascii="宋体" w:hAnsi="Courier New" w:cs="Courier New"/>
      <w:kern w:val="2"/>
      <w:sz w:val="21"/>
      <w:szCs w:val="21"/>
    </w:rPr>
  </w:style>
  <w:style w:type="character" w:customStyle="1" w:styleId="101">
    <w:name w:val="日期 Char"/>
    <w:link w:val="40"/>
    <w:qFormat/>
    <w:uiPriority w:val="0"/>
    <w:rPr>
      <w:rFonts w:ascii="Times New Roman" w:hAnsi="Times New Roman"/>
      <w:kern w:val="2"/>
      <w:sz w:val="21"/>
      <w:szCs w:val="24"/>
    </w:rPr>
  </w:style>
  <w:style w:type="character" w:customStyle="1" w:styleId="102">
    <w:name w:val="正文文本缩进 2 Char"/>
    <w:link w:val="41"/>
    <w:qFormat/>
    <w:uiPriority w:val="0"/>
    <w:rPr>
      <w:rFonts w:ascii="宋体" w:hAnsi="Times New Roman"/>
      <w:color w:val="000000"/>
      <w:kern w:val="2"/>
      <w:sz w:val="24"/>
      <w:szCs w:val="24"/>
    </w:rPr>
  </w:style>
  <w:style w:type="character" w:customStyle="1" w:styleId="103">
    <w:name w:val="尾注文本 Char"/>
    <w:link w:val="42"/>
    <w:qFormat/>
    <w:uiPriority w:val="0"/>
    <w:rPr>
      <w:rFonts w:ascii="Times New Roman" w:hAnsi="Times New Roman"/>
      <w:kern w:val="2"/>
      <w:sz w:val="21"/>
      <w:szCs w:val="24"/>
    </w:rPr>
  </w:style>
  <w:style w:type="character" w:customStyle="1" w:styleId="104">
    <w:name w:val="正文首行缩进 2 Char"/>
    <w:link w:val="45"/>
    <w:semiHidden/>
    <w:qFormat/>
    <w:uiPriority w:val="0"/>
    <w:rPr>
      <w:rFonts w:ascii="Times New Roman" w:hAnsi="Times New Roman"/>
      <w:kern w:val="2"/>
      <w:sz w:val="21"/>
      <w:szCs w:val="24"/>
    </w:rPr>
  </w:style>
  <w:style w:type="character" w:customStyle="1" w:styleId="105">
    <w:name w:val="签名 Char"/>
    <w:link w:val="47"/>
    <w:semiHidden/>
    <w:qFormat/>
    <w:uiPriority w:val="0"/>
    <w:rPr>
      <w:rFonts w:ascii="Times New Roman" w:hAnsi="Times New Roman"/>
      <w:kern w:val="2"/>
      <w:sz w:val="21"/>
      <w:szCs w:val="24"/>
    </w:rPr>
  </w:style>
  <w:style w:type="character" w:customStyle="1" w:styleId="106">
    <w:name w:val="副标题 Char"/>
    <w:link w:val="50"/>
    <w:qFormat/>
    <w:uiPriority w:val="0"/>
    <w:rPr>
      <w:rFonts w:ascii="Arial" w:hAnsi="Arial" w:cs="Arial"/>
      <w:b/>
      <w:bCs/>
      <w:kern w:val="28"/>
      <w:sz w:val="32"/>
      <w:szCs w:val="32"/>
    </w:rPr>
  </w:style>
  <w:style w:type="character" w:customStyle="1" w:styleId="107">
    <w:name w:val="脚注文本 Char2"/>
    <w:link w:val="53"/>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5"/>
    <w:semiHidden/>
    <w:qFormat/>
    <w:uiPriority w:val="0"/>
    <w:rPr>
      <w:rFonts w:ascii="Times New Roman" w:hAnsi="Times New Roman"/>
      <w:kern w:val="2"/>
      <w:sz w:val="16"/>
      <w:szCs w:val="16"/>
    </w:rPr>
  </w:style>
  <w:style w:type="character" w:customStyle="1" w:styleId="110">
    <w:name w:val="正文文本 2 Char"/>
    <w:link w:val="58"/>
    <w:semiHidden/>
    <w:qFormat/>
    <w:uiPriority w:val="0"/>
    <w:rPr>
      <w:rFonts w:ascii="Times New Roman" w:hAnsi="Times New Roman"/>
      <w:kern w:val="2"/>
      <w:sz w:val="21"/>
      <w:szCs w:val="24"/>
    </w:rPr>
  </w:style>
  <w:style w:type="character" w:customStyle="1" w:styleId="111">
    <w:name w:val="信息标题 Char"/>
    <w:link w:val="59"/>
    <w:semiHidden/>
    <w:qFormat/>
    <w:uiPriority w:val="0"/>
    <w:rPr>
      <w:rFonts w:ascii="Arial" w:hAnsi="Arial" w:cs="Arial"/>
      <w:kern w:val="2"/>
      <w:sz w:val="24"/>
      <w:szCs w:val="24"/>
      <w:shd w:val="pct20" w:color="auto" w:fill="auto"/>
    </w:rPr>
  </w:style>
  <w:style w:type="character" w:customStyle="1" w:styleId="112">
    <w:name w:val="HTML 预设格式 Char"/>
    <w:link w:val="60"/>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9201E0-A80A-4F8B-9891-3E68764CDA30}">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825</Words>
  <Characters>4706</Characters>
  <Lines>39</Lines>
  <Paragraphs>11</Paragraphs>
  <TotalTime>2</TotalTime>
  <ScaleCrop>false</ScaleCrop>
  <LinksUpToDate>false</LinksUpToDate>
  <CharactersWithSpaces>5520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Administrator</cp:lastModifiedBy>
  <dcterms:modified xsi:type="dcterms:W3CDTF">2019-07-23T08:11:40Z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