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8"/>
        <w:jc w:val="both"/>
        <w:rPr>
          <w:rFonts w:hint="eastAsia" w:ascii="宋体" w:hAnsi="宋体" w:eastAsia="宋体" w:cs="宋体"/>
          <w:b w:val="0"/>
          <w:spacing w:val="-1"/>
          <w:sz w:val="24"/>
          <w:szCs w:val="21"/>
          <w:lang w:val="en-US" w:eastAsia="zh-CN" w:bidi="zh-CN"/>
        </w:rPr>
      </w:pPr>
    </w:p>
    <w:p>
      <w:pPr>
        <w:pStyle w:val="3"/>
        <w:spacing w:before="12"/>
        <w:rPr>
          <w:rFonts w:hint="eastAsia" w:ascii="宋体" w:hAnsi="宋体" w:eastAsia="宋体" w:cs="宋体"/>
          <w:b/>
          <w:sz w:val="20"/>
        </w:rPr>
      </w:pPr>
      <w:bookmarkStart w:id="2" w:name="_GoBack"/>
      <w:r>
        <w:rPr>
          <w:rFonts w:hint="eastAsia" w:cs="宋体"/>
          <w:b w:val="0"/>
          <w:spacing w:val="-1"/>
          <w:sz w:val="24"/>
          <w:szCs w:val="21"/>
          <w:lang w:val="en-US" w:eastAsia="zh-CN" w:bidi="zh-CN"/>
        </w:rPr>
        <w:t>附件</w:t>
      </w:r>
      <w:bookmarkEnd w:id="2"/>
      <w:r>
        <w:rPr>
          <w:rFonts w:hint="eastAsia" w:cs="宋体"/>
          <w:b w:val="0"/>
          <w:spacing w:val="-1"/>
          <w:sz w:val="24"/>
          <w:szCs w:val="21"/>
          <w:lang w:val="en-US" w:eastAsia="zh-CN" w:bidi="zh-CN"/>
        </w:rPr>
        <w:t>：</w:t>
      </w:r>
    </w:p>
    <w:p>
      <w:pPr>
        <w:ind w:firstLine="3600" w:firstLineChars="2000"/>
        <w:rPr>
          <w:rFonts w:hint="eastAsia"/>
          <w:b/>
          <w:bCs/>
          <w:sz w:val="24"/>
          <w:szCs w:val="32"/>
          <w:lang w:val="en-US" w:eastAsia="zh-CN"/>
        </w:rPr>
      </w:pPr>
      <w:bookmarkStart w:id="0" w:name="一、项目概况"/>
      <w:bookmarkEnd w:id="0"/>
      <w:r>
        <w:rPr>
          <w:rFonts w:hint="eastAsia"/>
          <w:sz w:val="18"/>
          <w:szCs w:val="21"/>
          <w:lang w:val="en-US" w:eastAsia="zh-CN"/>
        </w:rPr>
        <w:t xml:space="preserve"> </w:t>
      </w:r>
      <w:r>
        <w:rPr>
          <w:rFonts w:hint="eastAsia"/>
          <w:b/>
          <w:bCs/>
          <w:sz w:val="24"/>
          <w:szCs w:val="32"/>
          <w:lang w:val="en-US" w:eastAsia="zh-CN"/>
        </w:rPr>
        <w:t>围栏建设方案</w:t>
      </w:r>
    </w:p>
    <w:p>
      <w:pPr>
        <w:rPr>
          <w:rFonts w:hint="eastAsia"/>
          <w:b/>
          <w:bCs/>
          <w:sz w:val="24"/>
          <w:szCs w:val="32"/>
          <w:lang w:val="en-US" w:eastAsia="zh-CN"/>
        </w:rPr>
      </w:pPr>
    </w:p>
    <w:p>
      <w:pPr>
        <w:pStyle w:val="20"/>
        <w:keepNext w:val="0"/>
        <w:keepLines w:val="0"/>
        <w:widowControl w:val="0"/>
        <w:numPr>
          <w:ilvl w:val="0"/>
          <w:numId w:val="0"/>
        </w:numPr>
        <w:shd w:val="clear" w:color="auto" w:fill="auto"/>
        <w:tabs>
          <w:tab w:val="left" w:pos="1166"/>
          <w:tab w:val="left" w:pos="2222"/>
        </w:tabs>
        <w:bidi w:val="0"/>
        <w:spacing w:before="0" w:after="0" w:line="240" w:lineRule="auto"/>
        <w:ind w:left="360" w:leftChars="0" w:right="0" w:rightChars="0"/>
        <w:jc w:val="left"/>
        <w:rPr>
          <w:rFonts w:hint="eastAsia"/>
          <w:b/>
          <w:bCs/>
          <w:color w:val="000000"/>
          <w:spacing w:val="0"/>
          <w:w w:val="100"/>
          <w:position w:val="0"/>
          <w:sz w:val="24"/>
          <w:szCs w:val="24"/>
          <w:lang w:eastAsia="zh-CN"/>
        </w:rPr>
      </w:pPr>
      <w:r>
        <w:rPr>
          <w:rFonts w:hint="eastAsia"/>
          <w:b/>
          <w:bCs/>
          <w:color w:val="000000"/>
          <w:spacing w:val="0"/>
          <w:w w:val="100"/>
          <w:position w:val="0"/>
          <w:sz w:val="24"/>
          <w:szCs w:val="24"/>
          <w:lang w:val="en-US" w:eastAsia="zh-CN"/>
        </w:rPr>
        <w:t>1、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项目区网围栏</w:t>
      </w:r>
      <w:r>
        <w:rPr>
          <w:rFonts w:hint="eastAsia"/>
          <w:b/>
          <w:bCs/>
          <w:color w:val="000000"/>
          <w:spacing w:val="0"/>
          <w:w w:val="100"/>
          <w:position w:val="0"/>
          <w:sz w:val="24"/>
          <w:szCs w:val="24"/>
          <w:lang w:eastAsia="zh-CN"/>
        </w:rPr>
        <w:t>工程量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</w:rPr>
        <w:t>一览表</w:t>
      </w:r>
      <w:r>
        <w:rPr>
          <w:rFonts w:hint="eastAsia"/>
          <w:b/>
          <w:bCs/>
          <w:color w:val="000000"/>
          <w:spacing w:val="0"/>
          <w:w w:val="100"/>
          <w:position w:val="0"/>
          <w:sz w:val="24"/>
          <w:szCs w:val="24"/>
          <w:lang w:eastAsia="zh-CN"/>
        </w:rPr>
        <w:t>：</w:t>
      </w:r>
    </w:p>
    <w:p>
      <w:pPr>
        <w:pStyle w:val="20"/>
        <w:keepNext w:val="0"/>
        <w:keepLines w:val="0"/>
        <w:widowControl w:val="0"/>
        <w:numPr>
          <w:ilvl w:val="0"/>
          <w:numId w:val="0"/>
        </w:numPr>
        <w:shd w:val="clear" w:color="auto" w:fill="auto"/>
        <w:tabs>
          <w:tab w:val="left" w:pos="1166"/>
          <w:tab w:val="left" w:pos="2222"/>
        </w:tabs>
        <w:bidi w:val="0"/>
        <w:spacing w:before="0" w:after="0" w:line="240" w:lineRule="auto"/>
        <w:ind w:right="0" w:rightChars="0"/>
        <w:jc w:val="left"/>
        <w:rPr>
          <w:rFonts w:hint="eastAsia"/>
          <w:b/>
          <w:bCs/>
          <w:color w:val="000000"/>
          <w:spacing w:val="0"/>
          <w:w w:val="100"/>
          <w:position w:val="0"/>
          <w:sz w:val="24"/>
          <w:szCs w:val="24"/>
          <w:lang w:eastAsia="zh-CN"/>
        </w:rPr>
      </w:pPr>
    </w:p>
    <w:tbl>
      <w:tblPr>
        <w:tblStyle w:val="6"/>
        <w:tblW w:w="5085" w:type="pct"/>
        <w:tblInd w:w="-185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341"/>
        <w:gridCol w:w="428"/>
        <w:gridCol w:w="560"/>
        <w:gridCol w:w="470"/>
        <w:gridCol w:w="560"/>
        <w:gridCol w:w="560"/>
        <w:gridCol w:w="560"/>
        <w:gridCol w:w="560"/>
        <w:gridCol w:w="560"/>
        <w:gridCol w:w="560"/>
        <w:gridCol w:w="570"/>
        <w:gridCol w:w="560"/>
        <w:gridCol w:w="626"/>
        <w:gridCol w:w="561"/>
        <w:gridCol w:w="471"/>
        <w:gridCol w:w="521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46" w:hRule="exact"/>
        </w:trPr>
        <w:tc>
          <w:tcPr>
            <w:tcW w:w="375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乡</w:t>
            </w:r>
          </w:p>
        </w:tc>
        <w:tc>
          <w:tcPr>
            <w:tcW w:w="42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村</w:t>
            </w:r>
          </w:p>
        </w:tc>
        <w:tc>
          <w:tcPr>
            <w:tcW w:w="345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面积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（亩）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 xml:space="preserve">网围栏 网片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/>
              </w:rPr>
              <w:t>（m）</w:t>
            </w:r>
          </w:p>
        </w:tc>
        <w:tc>
          <w:tcPr>
            <w:tcW w:w="29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小立柱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（根）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中间柱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（根）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大立柱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（根）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文撑杆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（根）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围栏双 扇门 （付）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门柱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（根）</w:t>
            </w:r>
          </w:p>
        </w:tc>
        <w:tc>
          <w:tcPr>
            <w:tcW w:w="28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地锚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（根）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下立柱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（根）</w:t>
            </w:r>
          </w:p>
        </w:tc>
        <w:tc>
          <w:tcPr>
            <w:tcW w:w="31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绑钩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（根）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挂钩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（根）</w:t>
            </w:r>
          </w:p>
        </w:tc>
        <w:tc>
          <w:tcPr>
            <w:tcW w:w="296" w:type="pc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拉线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/>
              </w:rPr>
              <w:t>（m）</w:t>
            </w: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拉丝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/>
              </w:rPr>
              <w:t>（m）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26" w:hRule="exact"/>
        </w:trPr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阳康乡</w:t>
            </w:r>
          </w:p>
        </w:tc>
        <w:tc>
          <w:tcPr>
            <w:tcW w:w="4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rightChars="0"/>
              <w:jc w:val="both"/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果当村</w:t>
            </w:r>
          </w:p>
        </w:tc>
        <w:tc>
          <w:tcPr>
            <w:tcW w:w="3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  <w:rPr>
                <w:b/>
                <w:bCs/>
                <w:sz w:val="17"/>
                <w:szCs w:val="1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en-US" w:bidi="en-US"/>
              </w:rPr>
              <w:t xml:space="preserve">9.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</w:rPr>
              <w:t>0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</w:rPr>
              <w:t>69000</w:t>
            </w:r>
          </w:p>
        </w:tc>
        <w:tc>
          <w:tcPr>
            <w:tcW w:w="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center"/>
              <w:rPr>
                <w:rFonts w:hint="default" w:eastAsia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zh-CN"/>
              </w:rPr>
              <w:t>6687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eastAsia="宋体"/>
                <w:b/>
                <w:bCs/>
                <w:sz w:val="17"/>
                <w:szCs w:val="17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</w:rPr>
              <w:t>17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zh-CN"/>
              </w:rPr>
              <w:t>3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171" w:firstLineChars="100"/>
              <w:jc w:val="center"/>
              <w:rPr>
                <w:rFonts w:hint="default" w:eastAsia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zh-CN"/>
              </w:rPr>
              <w:t>28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default" w:eastAsia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zh-CN"/>
              </w:rPr>
              <w:t>253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tabs>
                <w:tab w:val="center" w:pos="270"/>
              </w:tabs>
              <w:bidi w:val="0"/>
              <w:spacing w:before="0" w:after="0" w:line="240" w:lineRule="auto"/>
              <w:ind w:right="0" w:firstLine="170" w:firstLineChars="100"/>
              <w:jc w:val="both"/>
              <w:rPr>
                <w:b/>
                <w:bCs/>
                <w:sz w:val="17"/>
                <w:szCs w:val="1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</w:rPr>
              <w:t>6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/>
              <w:jc w:val="center"/>
              <w:rPr>
                <w:rFonts w:hint="eastAsia" w:eastAsia="宋体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</w:rPr>
              <w:t>1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zh-CN"/>
              </w:rPr>
              <w:t>2</w:t>
            </w:r>
          </w:p>
        </w:tc>
        <w:tc>
          <w:tcPr>
            <w:tcW w:w="2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 w:firstLine="171" w:firstLineChars="100"/>
              <w:jc w:val="center"/>
              <w:rPr>
                <w:rFonts w:hint="default" w:eastAsia="宋体"/>
                <w:b/>
                <w:bCs/>
                <w:sz w:val="17"/>
                <w:szCs w:val="17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zh-CN"/>
              </w:rPr>
              <w:t>3450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hint="eastAsia" w:eastAsia="宋体"/>
                <w:b/>
                <w:bCs/>
                <w:sz w:val="17"/>
                <w:szCs w:val="17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</w:rPr>
              <w:t>25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lang w:val="en-US" w:eastAsia="zh-CN"/>
              </w:rPr>
              <w:t>3</w:t>
            </w:r>
          </w:p>
        </w:tc>
        <w:tc>
          <w:tcPr>
            <w:tcW w:w="3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</w:rPr>
              <w:t>62100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right="0"/>
              <w:jc w:val="center"/>
              <w:rPr>
                <w:b/>
                <w:bCs/>
                <w:sz w:val="17"/>
                <w:szCs w:val="1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</w:rPr>
              <w:t>13800</w:t>
            </w:r>
          </w:p>
        </w:tc>
        <w:tc>
          <w:tcPr>
            <w:tcW w:w="2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</w:rPr>
              <w:t>1512</w:t>
            </w:r>
          </w:p>
        </w:tc>
        <w:tc>
          <w:tcPr>
            <w:tcW w:w="3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</w:rPr>
              <w:t>69000</w:t>
            </w:r>
          </w:p>
        </w:tc>
      </w:tr>
    </w:tbl>
    <w:p>
      <w:pPr>
        <w:numPr>
          <w:ilvl w:val="0"/>
          <w:numId w:val="1"/>
        </w:numPr>
        <w:spacing w:line="360" w:lineRule="auto"/>
        <w:ind w:firstLine="241" w:firstLineChars="100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技术路线</w:t>
      </w:r>
    </w:p>
    <w:p>
      <w:pPr>
        <w:numPr>
          <w:ilvl w:val="0"/>
          <w:numId w:val="0"/>
        </w:numPr>
        <w:spacing w:line="360" w:lineRule="auto"/>
        <w:ind w:firstLine="1200" w:firstLineChars="500"/>
        <w:rPr>
          <w:rFonts w:hint="eastAsia" w:ascii="宋体" w:hAnsi="宋体" w:eastAsia="宋体" w:cs="宋体"/>
          <w:color w:val="000000"/>
          <w:spacing w:val="0"/>
          <w:w w:val="100"/>
          <w:kern w:val="2"/>
          <w:position w:val="0"/>
          <w:sz w:val="18"/>
          <w:szCs w:val="18"/>
          <w:u w:val="none"/>
          <w:shd w:val="clear" w:color="auto" w:fill="auto"/>
          <w:lang w:val="en-US" w:eastAsia="zh-CN" w:bidi="zh-TW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kern w:val="2"/>
          <w:position w:val="0"/>
          <w:sz w:val="24"/>
          <w:szCs w:val="24"/>
          <w:u w:val="none"/>
          <w:shd w:val="clear" w:color="auto" w:fill="auto"/>
          <w:lang w:val="en-US" w:eastAsia="zh-CN" w:bidi="zh-TW"/>
        </w:rPr>
        <w:t>以牧户为基本生产单位，将项目区沙化草地全部封育，3年禁牧。</w:t>
      </w:r>
    </w:p>
    <w:p>
      <w:pPr>
        <w:numPr>
          <w:ilvl w:val="0"/>
          <w:numId w:val="1"/>
        </w:numPr>
        <w:spacing w:line="360" w:lineRule="auto"/>
        <w:ind w:left="0" w:leftChars="0" w:firstLine="241" w:firstLineChars="100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围建方式</w:t>
      </w:r>
    </w:p>
    <w:p>
      <w:pPr>
        <w:numPr>
          <w:ilvl w:val="0"/>
          <w:numId w:val="0"/>
        </w:numPr>
        <w:rPr>
          <w:rFonts w:hint="eastAsia" w:eastAsia="宋体"/>
          <w:b/>
          <w:bCs/>
          <w:sz w:val="24"/>
          <w:szCs w:val="32"/>
          <w:lang w:val="en-US" w:eastAsia="zh-CN"/>
        </w:rPr>
      </w:pPr>
      <w:r>
        <w:rPr>
          <w:color w:val="000000"/>
          <w:spacing w:val="0"/>
          <w:w w:val="100"/>
          <w:position w:val="0"/>
          <w:sz w:val="24"/>
          <w:szCs w:val="24"/>
        </w:rPr>
        <w:t>根据各项目户沙化草地治理面积、地形状况，按照牧户实际可围建治理区面积安排围栏建设规模，共需围栏69000米</w:t>
      </w:r>
      <w:r>
        <w:rPr>
          <w:rFonts w:hint="eastAsia"/>
          <w:color w:val="000000"/>
          <w:spacing w:val="0"/>
          <w:w w:val="100"/>
          <w:position w:val="0"/>
          <w:sz w:val="24"/>
          <w:szCs w:val="24"/>
          <w:lang w:val="en-US" w:eastAsia="zh-CN"/>
        </w:rPr>
        <w:t>.</w:t>
      </w:r>
    </w:p>
    <w:p>
      <w:pPr>
        <w:numPr>
          <w:ilvl w:val="0"/>
          <w:numId w:val="0"/>
        </w:numPr>
        <w:ind w:firstLine="241" w:firstLineChars="100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4、围栏标准：</w:t>
      </w:r>
    </w:p>
    <w:p>
      <w:pPr>
        <w:numPr>
          <w:ilvl w:val="0"/>
          <w:numId w:val="0"/>
        </w:numPr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（1）编结网围栏的规格及技术参数</w:t>
      </w:r>
    </w:p>
    <w:p>
      <w:pPr>
        <w:pStyle w:val="22"/>
        <w:keepNext w:val="0"/>
        <w:keepLines w:val="0"/>
        <w:widowControl w:val="0"/>
        <w:shd w:val="clear" w:color="auto" w:fill="auto"/>
        <w:tabs>
          <w:tab w:val="left" w:pos="6821"/>
        </w:tabs>
        <w:bidi w:val="0"/>
        <w:spacing w:before="0" w:after="120" w:line="240" w:lineRule="auto"/>
        <w:ind w:left="0" w:right="0" w:firstLine="36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</w:rPr>
        <w:t>单位：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lang w:val="en-US" w:eastAsia="en-US" w:bidi="en-US"/>
        </w:rPr>
        <w:t>mm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469"/>
        <w:gridCol w:w="1114"/>
        <w:gridCol w:w="725"/>
        <w:gridCol w:w="797"/>
        <w:gridCol w:w="931"/>
        <w:gridCol w:w="835"/>
        <w:gridCol w:w="816"/>
        <w:gridCol w:w="2011"/>
        <w:gridCol w:w="163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2" w:hRule="exact"/>
          <w:jc w:val="center"/>
        </w:trPr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规格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纬线根数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bottom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exact"/>
              <w:ind w:left="16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网宽 公称 尺寸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exact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经线间距</w:t>
            </w:r>
          </w:p>
        </w:tc>
        <w:tc>
          <w:tcPr>
            <w:tcW w:w="0" w:type="auto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钢丝公称直径</w:t>
            </w:r>
          </w:p>
        </w:tc>
        <w:tc>
          <w:tcPr>
            <w:tcW w:w="0" w:type="auto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exact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自上而下相邻两纬线 间距</w:t>
            </w:r>
          </w:p>
        </w:tc>
        <w:tc>
          <w:tcPr>
            <w:tcW w:w="0" w:type="auto"/>
            <w:vMerge w:val="restart"/>
            <w:tcBorders>
              <w:lef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7" w:hRule="exact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/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/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bottom"/>
          </w:tcPr>
          <w:p/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/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边纬线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中纬銭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经线</w:t>
            </w: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/>
        </w:tc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  <w:noWrap w:val="0"/>
            <w:vAlign w:val="top"/>
          </w:tcPr>
          <w:p/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46" w:hRule="exac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91L8/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110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/50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1100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500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2.8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2.5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2.5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bottom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200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 xml:space="preserve">、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180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 xml:space="preserve">、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180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150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、</w:t>
            </w:r>
          </w:p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130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eastAsia="zh-CN"/>
              </w:rPr>
              <w:t>、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130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 xml:space="preserve">、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13</w:t>
            </w:r>
            <w:r>
              <w:rPr>
                <w:rFonts w:hint="eastAsia" w:ascii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0" w:type="auto"/>
            <w:vMerge w:val="continue"/>
            <w:tcBorders>
              <w:left w:val="single" w:color="auto" w:sz="4" w:space="0"/>
            </w:tcBorders>
            <w:shd w:val="clear" w:color="auto" w:fill="FFFFFF"/>
            <w:noWrap w:val="0"/>
            <w:vAlign w:val="top"/>
          </w:tcPr>
          <w:p/>
        </w:tc>
      </w:tr>
    </w:tbl>
    <w:p>
      <w:pPr>
        <w:widowControl w:val="0"/>
        <w:spacing w:after="199" w:line="1" w:lineRule="exact"/>
      </w:pPr>
    </w:p>
    <w:p>
      <w:pPr>
        <w:pStyle w:val="2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900"/>
        <w:jc w:val="left"/>
      </w:pPr>
      <w:r>
        <w:rPr>
          <w:color w:val="000000"/>
          <w:spacing w:val="0"/>
          <w:w w:val="100"/>
          <w:position w:val="0"/>
          <w:sz w:val="24"/>
          <w:szCs w:val="24"/>
        </w:rPr>
        <w:t>自上而下第四根纬线应为直径</w:t>
      </w: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  <w:sz w:val="22"/>
          <w:szCs w:val="22"/>
          <w:lang w:val="en-US" w:eastAsia="en-US" w:bidi="en-US"/>
        </w:rPr>
        <w:t>2. 8mm</w:t>
      </w:r>
      <w:r>
        <w:rPr>
          <w:color w:val="000000"/>
          <w:spacing w:val="0"/>
          <w:w w:val="100"/>
          <w:position w:val="0"/>
          <w:sz w:val="24"/>
          <w:szCs w:val="24"/>
        </w:rPr>
        <w:t>的钢丝。</w:t>
      </w:r>
    </w:p>
    <w:p>
      <w:pPr>
        <w:numPr>
          <w:ilvl w:val="0"/>
          <w:numId w:val="2"/>
        </w:numPr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支撑件的规格及技术参数</w:t>
      </w:r>
    </w:p>
    <w:p>
      <w:pPr>
        <w:numPr>
          <w:ilvl w:val="0"/>
          <w:numId w:val="0"/>
        </w:numPr>
        <w:ind w:firstLine="602" w:firstLineChars="300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</w:rPr>
        <w:t>单位：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lang w:val="en-US" w:eastAsia="en-US" w:bidi="en-US"/>
        </w:rPr>
        <w:t>mm</w:t>
      </w:r>
    </w:p>
    <w:tbl>
      <w:tblPr>
        <w:tblStyle w:val="6"/>
        <w:tblpPr w:leftFromText="180" w:rightFromText="180" w:vertAnchor="text" w:horzAnchor="page" w:tblpX="1735" w:tblpY="357"/>
        <w:tblOverlap w:val="never"/>
        <w:tblW w:w="9020" w:type="dxa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419"/>
        <w:gridCol w:w="2160"/>
        <w:gridCol w:w="240"/>
        <w:gridCol w:w="4201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57" w:hRule="exact"/>
        </w:trPr>
        <w:tc>
          <w:tcPr>
            <w:tcW w:w="24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bottom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tabs>
                <w:tab w:val="left" w:pos="1013"/>
              </w:tabs>
              <w:bidi w:val="0"/>
              <w:spacing w:before="0" w:after="0" w:line="240" w:lineRule="auto"/>
              <w:ind w:left="0" w:right="0" w:firstLine="1260" w:firstLineChars="70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名称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尺寸长度</w:t>
            </w:r>
          </w:p>
        </w:tc>
        <w:tc>
          <w:tcPr>
            <w:tcW w:w="240" w:type="dxa"/>
            <w:tcBorders>
              <w:top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42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材料规格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2" w:hRule="exact"/>
        </w:trPr>
        <w:tc>
          <w:tcPr>
            <w:tcW w:w="24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门柱、角柱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 xml:space="preserve">2000 </w:t>
            </w:r>
          </w:p>
        </w:tc>
        <w:tc>
          <w:tcPr>
            <w:tcW w:w="240" w:type="dxa"/>
            <w:tcBorders>
              <w:top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42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热轧等边角钢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90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x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9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x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8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6" w:hRule="exact"/>
        </w:trPr>
        <w:tc>
          <w:tcPr>
            <w:tcW w:w="241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4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中间柱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2000</w:t>
            </w:r>
          </w:p>
        </w:tc>
        <w:tc>
          <w:tcPr>
            <w:tcW w:w="240" w:type="dxa"/>
            <w:tcBorders>
              <w:top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42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热轧等边角钢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70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x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70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x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7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55" w:hRule="exact"/>
        </w:trPr>
        <w:tc>
          <w:tcPr>
            <w:tcW w:w="2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小立柱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2000</w:t>
            </w:r>
          </w:p>
        </w:tc>
        <w:tc>
          <w:tcPr>
            <w:tcW w:w="240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4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热轧等边角钢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40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x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40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x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4</w:t>
            </w:r>
          </w:p>
        </w:tc>
      </w:tr>
    </w:tbl>
    <w:tbl>
      <w:tblPr>
        <w:tblStyle w:val="6"/>
        <w:tblpPr w:leftFromText="180" w:rightFromText="180" w:vertAnchor="text" w:horzAnchor="page" w:tblpX="1735" w:tblpY="382"/>
        <w:tblOverlap w:val="never"/>
        <w:tblW w:w="0" w:type="auto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397"/>
        <w:gridCol w:w="2410"/>
        <w:gridCol w:w="4188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2" w:hRule="exact"/>
        </w:trPr>
        <w:tc>
          <w:tcPr>
            <w:tcW w:w="2397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8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地锚、下立柱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600</w:t>
            </w:r>
          </w:p>
        </w:tc>
        <w:tc>
          <w:tcPr>
            <w:tcW w:w="41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热轧等边角钢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40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x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40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x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4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6" w:hRule="exact"/>
        </w:trPr>
        <w:tc>
          <w:tcPr>
            <w:tcW w:w="2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支撑杆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3000</w:t>
            </w:r>
          </w:p>
        </w:tc>
        <w:tc>
          <w:tcPr>
            <w:tcW w:w="4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电焊钢管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50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31" w:hRule="exact"/>
        </w:trPr>
        <w:tc>
          <w:tcPr>
            <w:tcW w:w="2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小立柱横梁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</w:rPr>
              <w:t>200</w:t>
            </w:r>
          </w:p>
        </w:tc>
        <w:tc>
          <w:tcPr>
            <w:tcW w:w="4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pStyle w:val="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</w:rPr>
              <w:t>热轧等边角钢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40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x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40</w:t>
            </w:r>
            <w:r>
              <w:rPr>
                <w:rFonts w:hint="eastAsia" w:ascii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zh-CN" w:bidi="en-US"/>
              </w:rPr>
              <w:t>x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lang w:val="en-US" w:eastAsia="en-US" w:bidi="en-US"/>
              </w:rPr>
              <w:t>4</w:t>
            </w:r>
          </w:p>
        </w:tc>
      </w:tr>
    </w:tbl>
    <w:p/>
    <w:p>
      <w:pPr>
        <w:bidi w:val="0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pStyle w:val="3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pStyle w:val="24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ind w:leftChars="0" w:firstLine="241" w:firstLineChars="100"/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(3)连接件</w:t>
      </w:r>
    </w:p>
    <w:p>
      <w:pPr>
        <w:pStyle w:val="23"/>
        <w:keepNext w:val="0"/>
        <w:keepLines w:val="0"/>
        <w:widowControl w:val="0"/>
        <w:numPr>
          <w:ilvl w:val="0"/>
          <w:numId w:val="0"/>
        </w:numPr>
        <w:shd w:val="clear" w:color="auto" w:fill="auto"/>
        <w:tabs>
          <w:tab w:val="left" w:pos="1592"/>
        </w:tabs>
        <w:bidi w:val="0"/>
        <w:spacing w:before="0" w:after="0" w:line="240" w:lineRule="auto"/>
        <w:ind w:right="0" w:rightChars="0" w:firstLine="840" w:firstLineChars="400"/>
        <w:jc w:val="left"/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</w:pP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绑钩：绑钩的材料应为抗拉强度不低于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350MPa</w:t>
      </w:r>
      <w:r>
        <w:rPr>
          <w:rFonts w:hint="eastAsia" w:ascii="Calibri" w:hAnsi="Calibri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。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直径为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2. 50mm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的镀锌钢丝，每根长度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200mm。</w:t>
      </w:r>
    </w:p>
    <w:p>
      <w:pPr>
        <w:numPr>
          <w:ilvl w:val="0"/>
          <w:numId w:val="0"/>
        </w:numPr>
        <w:ind w:leftChars="0" w:firstLine="840" w:firstLineChars="400"/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</w:pPr>
      <w:bookmarkStart w:id="1" w:name="bookmark58"/>
      <w:bookmarkEnd w:id="1"/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挂钩：挂钩的材料应为抗拉强度不低于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350Mpa</w:t>
      </w:r>
      <w:r>
        <w:rPr>
          <w:rFonts w:hint="eastAsia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。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直径为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2. 50mm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的镀锌钢丝，每根长度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200mm。</w:t>
      </w:r>
    </w:p>
    <w:p>
      <w:pPr>
        <w:numPr>
          <w:ilvl w:val="0"/>
          <w:numId w:val="0"/>
        </w:numPr>
        <w:ind w:leftChars="0" w:firstLine="630" w:firstLineChars="300"/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</w:pPr>
    </w:p>
    <w:p>
      <w:pPr>
        <w:numPr>
          <w:ilvl w:val="0"/>
          <w:numId w:val="0"/>
        </w:numPr>
        <w:ind w:leftChars="0" w:firstLine="241" w:firstLineChars="100"/>
        <w:rPr>
          <w:rFonts w:hint="eastAsia" w:cs="Times New Roman"/>
          <w:b/>
          <w:bCs/>
          <w:sz w:val="24"/>
          <w:szCs w:val="32"/>
          <w:lang w:val="en-US" w:eastAsia="zh-CN"/>
        </w:rPr>
      </w:pPr>
      <w:r>
        <w:rPr>
          <w:rFonts w:hint="eastAsia" w:cs="Times New Roman"/>
          <w:b/>
          <w:bCs/>
          <w:sz w:val="24"/>
          <w:szCs w:val="32"/>
          <w:lang w:val="en-US" w:eastAsia="zh-CN"/>
        </w:rPr>
        <w:t>(4)围栏门</w:t>
      </w:r>
    </w:p>
    <w:p>
      <w:pPr>
        <w:numPr>
          <w:ilvl w:val="0"/>
          <w:numId w:val="0"/>
        </w:numPr>
        <w:spacing w:line="360" w:lineRule="auto"/>
        <w:ind w:firstLine="840" w:firstLineChars="400"/>
        <w:rPr>
          <w:rFonts w:hint="eastAsia" w:cs="Times New Roman"/>
          <w:b/>
          <w:bCs/>
          <w:sz w:val="24"/>
          <w:szCs w:val="32"/>
          <w:lang w:val="en-US" w:eastAsia="zh-CN"/>
        </w:rPr>
      </w:pP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围栏门采用双扇结构，框架采用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GB/T13793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中</w:t>
      </w:r>
      <w:r>
        <w:rPr>
          <w:rFonts w:hint="eastAsia" w:ascii="Calibri" w:hAnsi="Calibri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Φ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25的直缝电焊钢管；围栏门单扇高为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1300mm,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宽为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1500mm;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 xml:space="preserve">原材料采用 30 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 xml:space="preserve">x 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3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lang w:val="en-US" w:eastAsia="en-US" w:bidi="en-US"/>
        </w:rPr>
        <w:t>mm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 xml:space="preserve">扁铁，40 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 xml:space="preserve">x 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 xml:space="preserve">40 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 xml:space="preserve">x 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4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lang w:val="en-US" w:eastAsia="en-US" w:bidi="en-US"/>
        </w:rPr>
        <w:t>mm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角钢，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1. 5mm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钢板；围栏门的扁铁间距为15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0mm;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围栏门应涂防锈漆和银粉，涂层均匀，无裸露和涂层堆积表面。</w:t>
      </w:r>
    </w:p>
    <w:p>
      <w:pPr>
        <w:numPr>
          <w:ilvl w:val="0"/>
          <w:numId w:val="0"/>
        </w:numPr>
        <w:spacing w:line="360" w:lineRule="auto"/>
        <w:ind w:firstLine="241" w:firstLineChars="100"/>
        <w:rPr>
          <w:rFonts w:hint="eastAsia" w:cs="Times New Roman"/>
          <w:b/>
          <w:bCs/>
          <w:sz w:val="24"/>
          <w:szCs w:val="32"/>
          <w:lang w:val="en-US" w:eastAsia="zh-CN"/>
        </w:rPr>
      </w:pPr>
      <w:r>
        <w:rPr>
          <w:rFonts w:hint="eastAsia" w:cs="Times New Roman"/>
          <w:b/>
          <w:bCs/>
          <w:sz w:val="24"/>
          <w:szCs w:val="32"/>
          <w:lang w:val="en-US" w:eastAsia="zh-CN"/>
        </w:rPr>
        <w:t>5、围栏施工安装</w:t>
      </w:r>
    </w:p>
    <w:p>
      <w:pPr>
        <w:pStyle w:val="23"/>
        <w:keepNext w:val="0"/>
        <w:keepLines w:val="0"/>
        <w:widowControl w:val="0"/>
        <w:numPr>
          <w:ilvl w:val="0"/>
          <w:numId w:val="0"/>
        </w:numPr>
        <w:shd w:val="clear" w:color="auto" w:fill="auto"/>
        <w:tabs>
          <w:tab w:val="left" w:pos="1592"/>
        </w:tabs>
        <w:bidi w:val="0"/>
        <w:spacing w:before="0" w:after="0" w:line="360" w:lineRule="auto"/>
        <w:ind w:right="0" w:rightChars="0" w:firstLine="840" w:firstLineChars="400"/>
        <w:jc w:val="left"/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</w:pP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所有零部件必须检验合格，外购件必须有合格证明,方可安装。配套围栏每10米设1根小立柱，每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400m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设1根中立柱； 围栏安装要求大、中、小立柱埋入地下部分不得少于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0. 6m,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留在地上部分不得少于</w:t>
      </w:r>
      <w:r>
        <w:rPr>
          <w:rFonts w:hint="eastAsia" w:ascii="Calibri" w:hAnsi="Calibri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1.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en-US" w:bidi="ar-SA"/>
        </w:rPr>
        <w:t>4m;</w:t>
      </w:r>
      <w:r>
        <w:rPr>
          <w:rFonts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  <w:t>网围栏形状应根据地形地貌和利用便利而定，一般以正方形和长方形为主;围栏门的数量及位置可根据牧户要求设置；编结网的每根纬线均应与立柱绑结牢固,所有的紧固件不得松动；大门应安装牢固，转动灵活。</w:t>
      </w:r>
    </w:p>
    <w:p>
      <w:pPr>
        <w:pStyle w:val="23"/>
        <w:keepNext w:val="0"/>
        <w:keepLines w:val="0"/>
        <w:widowControl w:val="0"/>
        <w:numPr>
          <w:ilvl w:val="0"/>
          <w:numId w:val="0"/>
        </w:numPr>
        <w:shd w:val="clear" w:color="auto" w:fill="auto"/>
        <w:tabs>
          <w:tab w:val="left" w:pos="1592"/>
        </w:tabs>
        <w:bidi w:val="0"/>
        <w:spacing w:before="0" w:after="0" w:line="360" w:lineRule="auto"/>
        <w:ind w:right="0" w:rightChars="0" w:firstLine="630" w:firstLineChars="300"/>
        <w:jc w:val="left"/>
        <w:rPr>
          <w:rFonts w:hint="default" w:ascii="Calibri" w:hAnsi="Calibri" w:eastAsia="宋体" w:cs="Times New Roman"/>
          <w:color w:val="000000"/>
          <w:spacing w:val="0"/>
          <w:w w:val="100"/>
          <w:kern w:val="2"/>
          <w:position w:val="0"/>
          <w:sz w:val="21"/>
          <w:szCs w:val="24"/>
          <w:u w:val="none"/>
          <w:shd w:val="clear" w:color="auto" w:fill="auto"/>
          <w:lang w:val="en-US" w:eastAsia="zh-CN" w:bidi="ar-SA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/>
    <w:p>
      <w:pPr>
        <w:pStyle w:val="3"/>
        <w:spacing w:before="8"/>
        <w:jc w:val="both"/>
        <w:rPr>
          <w:rFonts w:hint="eastAsia" w:ascii="宋体" w:hAnsi="宋体" w:eastAsia="宋体" w:cs="宋体"/>
          <w:b w:val="0"/>
          <w:spacing w:val="-1"/>
          <w:sz w:val="24"/>
          <w:szCs w:val="21"/>
          <w:lang w:val="en-US" w:eastAsia="zh-CN" w:bidi="zh-CN"/>
        </w:rPr>
      </w:pPr>
    </w:p>
    <w:p>
      <w:pPr>
        <w:pStyle w:val="3"/>
        <w:spacing w:before="8"/>
        <w:jc w:val="center"/>
        <w:rPr>
          <w:rFonts w:hint="eastAsia" w:ascii="宋体" w:hAnsi="宋体" w:eastAsia="宋体" w:cs="宋体"/>
          <w:b w:val="0"/>
          <w:spacing w:val="-1"/>
          <w:sz w:val="24"/>
          <w:szCs w:val="21"/>
          <w:lang w:val="en-US" w:eastAsia="zh-CN" w:bidi="zh-CN"/>
        </w:rPr>
      </w:pPr>
    </w:p>
    <w:p>
      <w:pPr>
        <w:pStyle w:val="3"/>
        <w:spacing w:before="8"/>
        <w:jc w:val="center"/>
        <w:rPr>
          <w:rFonts w:hint="eastAsia" w:ascii="宋体" w:hAnsi="宋体" w:eastAsia="宋体" w:cs="宋体"/>
          <w:b w:val="0"/>
          <w:spacing w:val="-1"/>
          <w:sz w:val="24"/>
          <w:szCs w:val="21"/>
          <w:lang w:val="en-US" w:eastAsia="zh-CN" w:bidi="zh-CN"/>
        </w:rPr>
      </w:pPr>
    </w:p>
    <w:p>
      <w:pPr>
        <w:pStyle w:val="3"/>
        <w:spacing w:before="8"/>
        <w:jc w:val="center"/>
        <w:rPr>
          <w:rFonts w:hint="eastAsia" w:ascii="宋体" w:hAnsi="宋体" w:eastAsia="宋体" w:cs="宋体"/>
          <w:b w:val="0"/>
          <w:spacing w:val="-1"/>
          <w:sz w:val="24"/>
          <w:szCs w:val="21"/>
          <w:lang w:val="en-US" w:eastAsia="zh-CN" w:bidi="zh-CN"/>
        </w:rPr>
      </w:pPr>
    </w:p>
    <w:p>
      <w:pPr>
        <w:pStyle w:val="3"/>
        <w:spacing w:before="8"/>
        <w:jc w:val="center"/>
        <w:rPr>
          <w:rFonts w:hint="eastAsia" w:ascii="宋体" w:hAnsi="宋体" w:eastAsia="宋体" w:cs="宋体"/>
          <w:b w:val="0"/>
          <w:spacing w:val="-1"/>
          <w:sz w:val="24"/>
          <w:szCs w:val="21"/>
          <w:lang w:val="en-US" w:eastAsia="zh-CN" w:bidi="zh-CN"/>
        </w:rPr>
      </w:pPr>
    </w:p>
    <w:p>
      <w:pPr>
        <w:pStyle w:val="3"/>
        <w:rPr>
          <w:rFonts w:hint="eastAsia" w:ascii="宋体" w:hAnsi="宋体" w:eastAsia="宋体" w:cs="宋体"/>
          <w:sz w:val="20"/>
        </w:rPr>
      </w:pPr>
    </w:p>
    <w:p>
      <w:pPr>
        <w:jc w:val="center"/>
        <w:rPr>
          <w:rFonts w:hint="default"/>
          <w:b/>
          <w:bCs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5E4A68"/>
    <w:multiLevelType w:val="singleLevel"/>
    <w:tmpl w:val="CC5E4A68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033FF4CF"/>
    <w:multiLevelType w:val="singleLevel"/>
    <w:tmpl w:val="033FF4CF"/>
    <w:lvl w:ilvl="0" w:tentative="0">
      <w:start w:val="2"/>
      <w:numFmt w:val="decimal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B4287"/>
    <w:rsid w:val="01311926"/>
    <w:rsid w:val="122C5D22"/>
    <w:rsid w:val="19773655"/>
    <w:rsid w:val="1CDC3FA1"/>
    <w:rsid w:val="1E203BE9"/>
    <w:rsid w:val="25997A0E"/>
    <w:rsid w:val="29383BB3"/>
    <w:rsid w:val="345D25A0"/>
    <w:rsid w:val="37A7767D"/>
    <w:rsid w:val="3C0C58E2"/>
    <w:rsid w:val="44C75051"/>
    <w:rsid w:val="45A30685"/>
    <w:rsid w:val="4C0612D9"/>
    <w:rsid w:val="51A4105B"/>
    <w:rsid w:val="552D3286"/>
    <w:rsid w:val="56DF49B3"/>
    <w:rsid w:val="606736B1"/>
    <w:rsid w:val="685751F8"/>
    <w:rsid w:val="6F252275"/>
    <w:rsid w:val="76FD6684"/>
    <w:rsid w:val="7A20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44"/>
      <w:ind w:left="1702" w:right="1570"/>
      <w:jc w:val="center"/>
      <w:outlineLvl w:val="1"/>
    </w:pPr>
    <w:rPr>
      <w:rFonts w:ascii="宋体" w:hAnsi="宋体" w:eastAsia="宋体" w:cs="宋体"/>
      <w:b/>
      <w:bCs/>
      <w:sz w:val="43"/>
      <w:szCs w:val="43"/>
      <w:lang w:val="zh-CN" w:eastAsia="zh-CN" w:bidi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Normal (Web)"/>
    <w:basedOn w:val="1"/>
    <w:qFormat/>
    <w:uiPriority w:val="0"/>
    <w:rPr>
      <w:sz w:val="24"/>
    </w:rPr>
  </w:style>
  <w:style w:type="paragraph" w:styleId="5">
    <w:name w:val="Title"/>
    <w:basedOn w:val="1"/>
    <w:qFormat/>
    <w:uiPriority w:val="0"/>
    <w:pPr>
      <w:adjustRightInd w:val="0"/>
      <w:spacing w:line="360" w:lineRule="atLeast"/>
      <w:jc w:val="center"/>
      <w:outlineLvl w:val="0"/>
    </w:pPr>
    <w:rPr>
      <w:rFonts w:ascii="Arial" w:hAnsi="Arial"/>
      <w:b/>
      <w:sz w:val="32"/>
    </w:rPr>
  </w:style>
  <w:style w:type="character" w:styleId="8">
    <w:name w:val="Strong"/>
    <w:basedOn w:val="7"/>
    <w:qFormat/>
    <w:uiPriority w:val="0"/>
  </w:style>
  <w:style w:type="character" w:styleId="9">
    <w:name w:val="FollowedHyperlink"/>
    <w:basedOn w:val="7"/>
    <w:qFormat/>
    <w:uiPriority w:val="0"/>
    <w:rPr>
      <w:color w:val="800080"/>
      <w:u w:val="none"/>
    </w:rPr>
  </w:style>
  <w:style w:type="character" w:styleId="10">
    <w:name w:val="Emphasis"/>
    <w:basedOn w:val="7"/>
    <w:qFormat/>
    <w:uiPriority w:val="0"/>
  </w:style>
  <w:style w:type="character" w:styleId="11">
    <w:name w:val="HTML Definition"/>
    <w:basedOn w:val="7"/>
    <w:qFormat/>
    <w:uiPriority w:val="0"/>
  </w:style>
  <w:style w:type="character" w:styleId="12">
    <w:name w:val="HTML Typewriter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3">
    <w:name w:val="HTML Acronym"/>
    <w:basedOn w:val="7"/>
    <w:qFormat/>
    <w:uiPriority w:val="0"/>
  </w:style>
  <w:style w:type="character" w:styleId="14">
    <w:name w:val="HTML Variable"/>
    <w:basedOn w:val="7"/>
    <w:qFormat/>
    <w:uiPriority w:val="0"/>
  </w:style>
  <w:style w:type="character" w:styleId="15">
    <w:name w:val="Hyperlink"/>
    <w:basedOn w:val="7"/>
    <w:qFormat/>
    <w:uiPriority w:val="0"/>
    <w:rPr>
      <w:color w:val="0000FF"/>
      <w:u w:val="none"/>
    </w:rPr>
  </w:style>
  <w:style w:type="character" w:styleId="16">
    <w:name w:val="HTML Code"/>
    <w:basedOn w:val="7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Cite"/>
    <w:basedOn w:val="7"/>
    <w:qFormat/>
    <w:uiPriority w:val="0"/>
  </w:style>
  <w:style w:type="character" w:styleId="18">
    <w:name w:val="HTML Keyboard"/>
    <w:basedOn w:val="7"/>
    <w:qFormat/>
    <w:uiPriority w:val="0"/>
    <w:rPr>
      <w:rFonts w:ascii="monospace" w:hAnsi="monospace" w:eastAsia="monospace" w:cs="monospace"/>
      <w:sz w:val="20"/>
    </w:rPr>
  </w:style>
  <w:style w:type="character" w:styleId="19">
    <w:name w:val="HTML Sample"/>
    <w:basedOn w:val="7"/>
    <w:qFormat/>
    <w:uiPriority w:val="0"/>
    <w:rPr>
      <w:rFonts w:hint="default" w:ascii="monospace" w:hAnsi="monospace" w:eastAsia="monospace" w:cs="monospace"/>
    </w:rPr>
  </w:style>
  <w:style w:type="paragraph" w:customStyle="1" w:styleId="20">
    <w:name w:val="Body text|4"/>
    <w:basedOn w:val="1"/>
    <w:qFormat/>
    <w:uiPriority w:val="0"/>
    <w:pPr>
      <w:widowControl w:val="0"/>
      <w:shd w:val="clear" w:color="auto" w:fill="auto"/>
      <w:spacing w:after="520"/>
      <w:jc w:val="center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paragraph" w:customStyle="1" w:styleId="21">
    <w:name w:val="Other|1"/>
    <w:basedOn w:val="1"/>
    <w:qFormat/>
    <w:uiPriority w:val="0"/>
    <w:pPr>
      <w:widowControl w:val="0"/>
      <w:shd w:val="clear" w:color="auto" w:fill="auto"/>
      <w:spacing w:line="260" w:lineRule="exact"/>
    </w:pPr>
    <w:rPr>
      <w:rFonts w:ascii="宋体" w:hAnsi="宋体" w:eastAsia="宋体" w:cs="宋体"/>
      <w:sz w:val="22"/>
      <w:szCs w:val="22"/>
      <w:u w:val="none"/>
      <w:shd w:val="clear" w:color="auto" w:fill="auto"/>
      <w:lang w:val="zh-TW" w:eastAsia="zh-TW" w:bidi="zh-TW"/>
    </w:rPr>
  </w:style>
  <w:style w:type="paragraph" w:customStyle="1" w:styleId="22">
    <w:name w:val="Body text|5"/>
    <w:basedOn w:val="1"/>
    <w:qFormat/>
    <w:uiPriority w:val="0"/>
    <w:pPr>
      <w:widowControl w:val="0"/>
      <w:shd w:val="clear" w:color="auto" w:fill="auto"/>
      <w:spacing w:before="570" w:after="290"/>
      <w:jc w:val="center"/>
    </w:pPr>
    <w:rPr>
      <w:rFonts w:ascii="宋体" w:hAnsi="宋体" w:eastAsia="宋体" w:cs="宋体"/>
      <w:sz w:val="22"/>
      <w:szCs w:val="22"/>
      <w:u w:val="none"/>
      <w:shd w:val="clear" w:color="auto" w:fill="auto"/>
      <w:lang w:val="zh-TW" w:eastAsia="zh-TW" w:bidi="zh-TW"/>
    </w:rPr>
  </w:style>
  <w:style w:type="paragraph" w:customStyle="1" w:styleId="23">
    <w:name w:val="Body text|2"/>
    <w:basedOn w:val="1"/>
    <w:qFormat/>
    <w:uiPriority w:val="0"/>
    <w:pPr>
      <w:widowControl w:val="0"/>
      <w:shd w:val="clear" w:color="auto" w:fill="auto"/>
      <w:spacing w:line="695" w:lineRule="exact"/>
      <w:ind w:firstLine="64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24">
    <w:name w:val="一级条标题"/>
    <w:basedOn w:val="25"/>
    <w:next w:val="26"/>
    <w:qFormat/>
    <w:uiPriority w:val="0"/>
    <w:pPr>
      <w:spacing w:line="240" w:lineRule="auto"/>
      <w:ind w:left="420"/>
      <w:outlineLvl w:val="2"/>
    </w:pPr>
  </w:style>
  <w:style w:type="paragraph" w:customStyle="1" w:styleId="25">
    <w:name w:val="章标题"/>
    <w:next w:val="1"/>
    <w:qFormat/>
    <w:uiPriority w:val="0"/>
    <w:pPr>
      <w:spacing w:line="360" w:lineRule="auto"/>
      <w:jc w:val="both"/>
      <w:outlineLvl w:val="1"/>
    </w:pPr>
    <w:rPr>
      <w:rFonts w:ascii="黑体" w:hAnsi="Calibri" w:eastAsia="黑体" w:cs="黑体"/>
      <w:sz w:val="21"/>
      <w:szCs w:val="21"/>
      <w:lang w:val="en-US" w:eastAsia="zh-CN" w:bidi="ar-SA"/>
    </w:rPr>
  </w:style>
  <w:style w:type="paragraph" w:customStyle="1" w:styleId="26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2021-01-17T06:26:00Z</dcterms:created>
  <dc:creator>Administrator</dc:creator>
  <cp:lastModifiedBy>pc</cp:lastModifiedBy>
  <dcterms:modified xsi:type="dcterms:W3CDTF">2021-01-17T12:13:07Z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