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ilvl w:val="0"/>
          <w:numId w:val="0"/>
        </w:numPr>
        <w:spacing w:before="100" w:beforeAutospacing="1" w:after="100" w:afterAutospacing="1" w:line="360" w:lineRule="auto"/>
        <w:ind w:right="0" w:rightChars="0"/>
        <w:jc w:val="left"/>
        <w:outlineLvl w:val="1"/>
        <w:rPr>
          <w:rFonts w:hint="eastAsia" w:ascii="宋体" w:hAnsi="宋体"/>
          <w:b w:val="0"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bookmarkStart w:id="2" w:name="_GoBack"/>
      <w:bookmarkEnd w:id="2"/>
      <w:bookmarkStart w:id="0" w:name="_Toc12042"/>
      <w:bookmarkStart w:id="1" w:name="_Toc32301"/>
      <w:r>
        <w:rPr>
          <w:rFonts w:hint="eastAsia" w:ascii="宋体" w:hAnsi="宋体"/>
          <w:b w:val="0"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附件：</w:t>
      </w:r>
    </w:p>
    <w:p>
      <w:pPr>
        <w:pStyle w:val="2"/>
        <w:numPr>
          <w:ilvl w:val="0"/>
          <w:numId w:val="0"/>
        </w:numPr>
        <w:spacing w:before="100" w:beforeAutospacing="1" w:after="100" w:afterAutospacing="1" w:line="360" w:lineRule="auto"/>
        <w:ind w:right="0" w:rightChars="0"/>
        <w:jc w:val="center"/>
        <w:outlineLvl w:val="1"/>
        <w:rPr>
          <w:rFonts w:hint="default" w:ascii="宋体" w:hAnsi="宋体"/>
          <w:b w:val="0"/>
          <w:color w:val="000000" w:themeColor="text1"/>
          <w:sz w:val="40"/>
          <w:szCs w:val="4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 w:val="0"/>
          <w:color w:val="000000" w:themeColor="text1"/>
          <w:sz w:val="40"/>
          <w:szCs w:val="40"/>
          <w:lang w:val="en-US" w:eastAsia="zh-CN"/>
          <w14:textFill>
            <w14:solidFill>
              <w14:schemeClr w14:val="tx1"/>
            </w14:solidFill>
          </w14:textFill>
        </w:rPr>
        <w:t>包一：</w:t>
      </w:r>
      <w:bookmarkEnd w:id="0"/>
      <w:bookmarkEnd w:id="1"/>
      <w:r>
        <w:rPr>
          <w:rFonts w:hint="eastAsia" w:ascii="宋体" w:hAnsi="宋体"/>
          <w:b w:val="0"/>
          <w:color w:val="000000" w:themeColor="text1"/>
          <w:sz w:val="40"/>
          <w:szCs w:val="40"/>
          <w:lang w:val="en-US" w:eastAsia="zh-CN"/>
          <w14:textFill>
            <w14:solidFill>
              <w14:schemeClr w14:val="tx1"/>
            </w14:solidFill>
          </w14:textFill>
        </w:rPr>
        <w:t>技术参数表</w:t>
      </w:r>
    </w:p>
    <w:tbl>
      <w:tblPr>
        <w:tblStyle w:val="11"/>
        <w:tblW w:w="14215" w:type="dxa"/>
        <w:tblInd w:w="93" w:type="dxa"/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5"/>
        <w:gridCol w:w="1635"/>
        <w:gridCol w:w="9825"/>
        <w:gridCol w:w="1035"/>
        <w:gridCol w:w="81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产品</w:t>
            </w:r>
            <w:r>
              <w:rPr>
                <w:rFonts w:hint="eastAsia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9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数量/台</w:t>
            </w:r>
          </w:p>
        </w:tc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备注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塔秀村</w:t>
            </w:r>
          </w:p>
        </w:tc>
        <w:tc>
          <w:tcPr>
            <w:tcW w:w="9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拖拉机</w:t>
            </w:r>
          </w:p>
        </w:tc>
        <w:tc>
          <w:tcPr>
            <w:tcW w:w="9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密封驾驶室，标配座椅；发动机：六缸电控增压发动机≥140马力； 变速箱：12前进档，4倒档, 同步器换档，湿式离合； 前桥：机械式前轮驱动（4驱）；空气过滤器；低噪音密闭驾驶室；动力输出轴：双速540/1000转/分，6/21齿花键；后悬挂及耕深调节方式：II类调节，力、位、浮动调节，≥30 KN提升力；液压输出阀组数：2组；液压泵类型：三联泵； 摆式牵引杆； 限位杆；前后轮规格：14.9-24尼龙防扎轮胎/18.4-38； 前后配重：前配重(16片X47公斤)/ 后配重(8片X55公斤)； 255升油箱；工具箱； 大功率油水分离器；两个前大灯，两个前工作灯，两个后工作灯。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3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割草压扁机</w:t>
            </w:r>
          </w:p>
        </w:tc>
        <w:tc>
          <w:tcPr>
            <w:tcW w:w="9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整机重量1253Kg 配套动力（KW）≥26.1工作幅宽（mm）≥2819 工作形式：往复式割台提升装置护刃器尖最大提升高度（mm）：483 割茬高度（mm）:32~108 压扁辊形式：人字形突缘啮合式橡胶辊 挤压区辊长(mm):2591压扁辊直径(mm): 264 牧草放铺宽度(mm): 965~2438 最高作业速度(km/h):13 外形尺寸（mm）:4064×3708(长×宽) 轮胎尺寸：27×9.50×15   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捡拾压捆机</w:t>
            </w:r>
          </w:p>
        </w:tc>
        <w:tc>
          <w:tcPr>
            <w:tcW w:w="9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整机重量1685 Kg配套动力≥56KW(PTO) 工作幅宽1900mm 草捆长度调节范围0.31-1.32 mm草捆截面（高×宽）360×460 mm最高作业速度(km/h):13 生产率(稻秸杆)（t/h）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</w:t>
            </w: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6.9 外形尺寸（mm）: 1979×3048(高×宽) 轮胎尺寸：15×6.00×6     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播种机</w:t>
            </w:r>
          </w:p>
        </w:tc>
        <w:tc>
          <w:tcPr>
            <w:tcW w:w="9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基本配置：机架、种肥箱、开沟器总称、滚轮、踏板。整机质量（kg）：950。外形尺寸（mm长×宽×高)：1700×3620×1500。配套动力(kw)≥52。播幅宽度（mm）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</w:t>
            </w: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3800。播种、施肥深度（mm可调）：20-40。播种行距（mm）：150。最大播肥量（kg)：30。最大播种量（kg)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</w:t>
            </w: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36，行数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</w:t>
            </w: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25行，纯工作小时生产率（hm²/h）≥2.0。 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喷杆式喷雾机</w:t>
            </w:r>
          </w:p>
        </w:tc>
        <w:tc>
          <w:tcPr>
            <w:tcW w:w="9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外形尺寸：1550×14400×1950（工作状态）mm；型式：悬挂式；药箱容量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</w:t>
            </w: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1000L，喷杆长度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</w:t>
            </w: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14m，折叠机构型式：手动折叠，常用工作压力：0.3-0.5MPa。    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7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收割机</w:t>
            </w:r>
          </w:p>
        </w:tc>
        <w:tc>
          <w:tcPr>
            <w:tcW w:w="9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直列四缸、四冲程、直喷，标定功率：103kw，标定转速：2400r/min，工作状态外形尺寸：8660×4150×3680mm，整机质量：带割台,作业速度：1.05-9.8km/h，作业小时生产率：0.67-1.38hm²/h，单位作业量燃油消耗量：10-32kg/hm²，割台宽度:3720mm（刚台），喂入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</w:t>
            </w: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6公斤/秒，割刀型式：II型，割台搅龙型式：伸缩指式螺旋搅龙，拨禾轮型式：偏心弹齿式，脱粒滚筒型式：纹杆式，导向轮轮距：2270mm，驱动轮轮距：2700mm。       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220" w:afterAutospacing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割晒机</w:t>
            </w:r>
          </w:p>
        </w:tc>
        <w:tc>
          <w:tcPr>
            <w:tcW w:w="9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外形尺寸：4500×2400×1720mm，整机质量：900kg，配套动力：60-125kw，割副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</w:t>
            </w: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4200mm，割刀行程：76.2mm，割台型式：中间放铺，割茬高度：50-150mm，放铺角度：45-20°，切割器型式：往复割刀式，作业速度：10-16km/h，铺放形式：鱼鳞铺，悬挂方式：前悬挂。             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捡拾器</w:t>
            </w:r>
          </w:p>
        </w:tc>
        <w:tc>
          <w:tcPr>
            <w:tcW w:w="9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外形尺寸：3250×2000×800mm，整机质量850kg，配套机型：230收割机，作业幅宽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</w:t>
            </w: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2800mm，弹齿个数：300个，驱动辊直径：114mm，驱动辊转速：95-270r/min，被动辊直径：114mm，两辊中心距：660mm，螺旋搅龙转速：175r/min。      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轮式搂草机</w:t>
            </w:r>
          </w:p>
        </w:tc>
        <w:tc>
          <w:tcPr>
            <w:tcW w:w="9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结构型式：指轮式，挂接型式：牵引式，外形尺寸（长*宽*高）6180*6000*1440mm，结构质量：810kg，搂幅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</w:t>
            </w: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550cm，搂齿数量：40×8，配套动力≥20kw，作业速度：10-20km/h。                  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镇压器</w:t>
            </w:r>
          </w:p>
        </w:tc>
        <w:tc>
          <w:tcPr>
            <w:tcW w:w="9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挂接型式：牵引式；外形尺寸（长*宽*高）:4450*3100*700mm；作业幅宽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</w:t>
            </w: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5000mm；配套动力34-47.6KW；结构质量：1350KG；镇压轮数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</w:t>
            </w: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27个；镇压轮直径：500mm；镇压轮形式：星芒环型；镇压轮组数及排列形式：3组、品字型联接；镇压轮质量：35KG；牵引高度：580mm。       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液压翻转犁</w:t>
            </w:r>
          </w:p>
        </w:tc>
        <w:tc>
          <w:tcPr>
            <w:tcW w:w="9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外形尺寸：（长×宽×高）mm ：3550×1750×1700； 整机重量：950千克； 配套动力：120-150马力；栅条犁体带副犁，全调幅，犁体个数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</w:t>
            </w: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8个，幅宽：120-200CM，耕深：25-32CM。        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撒肥机</w:t>
            </w:r>
          </w:p>
        </w:tc>
        <w:tc>
          <w:tcPr>
            <w:tcW w:w="9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料箱内廓尺寸（长×宽×高）：1660×1310×1040mm,料箱容积≥1.1m³，作业方式：后抛，最大载重量：1200kg，配套动力值：57.69-84.61kw，抛撒宽度：10-26m。  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自卸汽车</w:t>
            </w:r>
          </w:p>
        </w:tc>
        <w:tc>
          <w:tcPr>
            <w:tcW w:w="9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外形尺寸（长/宽/高）：5010,5110,5160,5310,5460,5510×2005,2100×2170,2345,2100 ；发动机功率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</w:t>
            </w: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96kw；发动机排量：2289L；燃料种类：柴油 ；货厢（长/宽/高）：2800,3000,3100,3200,3400×1800,1900,2000×450,600,650,800 ；总质量（Kg）：4495 ；额定质量（Kg）：1645 ；前排乘客（人）：2 ；转向形式：方向盘 ；轴数：2；轮胎数：6。      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7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color w:val="000000" w:themeColor="text1"/>
                <w:sz w:val="28"/>
                <w:szCs w:val="2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贡哇村</w:t>
            </w:r>
          </w:p>
        </w:tc>
        <w:tc>
          <w:tcPr>
            <w:tcW w:w="9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7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szCs w:val="24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拖拉机</w:t>
            </w:r>
          </w:p>
        </w:tc>
        <w:tc>
          <w:tcPr>
            <w:tcW w:w="9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密封驾驶室，标配座椅；发动机：六缸电控增压发动机，≥140马力；变速箱：24前进档，8倒档，同步器换档并带高低档动力切换，湿式离合；前桥：机械式前轮驱动（4驱）；空气过滤器；低噪音密闭驾驶室；动力输出轴：双速540/1000转/分，6/21齿花键；后悬挂及耕深调节方式：II类调节，力、位、浮动调节，≥30KN提升力；液压输出阀组数：2组；液压泵类型：三联泵； 摆式牵引杆；限位杆；前后轮规格：14.9-24尼龙防扎轮胎/18.4-38；前后配重：前配重(16片X47公斤)/ 后配重(8片X55公斤)；≥255升油箱；工具箱；大功率油水分离器；两个前大灯，两个前工作灯，两个后工作灯，豪华扶手座椅； 豪华冷暖空调；钩式三点悬挂杆件；右门；12V电源输出；带后雨刷和前后喷水器；茶杯托。  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szCs w:val="22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2台</w:t>
            </w:r>
          </w:p>
        </w:tc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7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szCs w:val="24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液压翻转犁</w:t>
            </w:r>
          </w:p>
        </w:tc>
        <w:tc>
          <w:tcPr>
            <w:tcW w:w="9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外形尺寸：（长×宽×高）mm ：3550×1750×1700； 整机重量：950千克； 配套动力：120-150马力；栅条犁体带副犁，全调幅，犁体个数≥8个，幅宽：120-200CM，耕深：25-32CM。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szCs w:val="22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2台</w:t>
            </w:r>
          </w:p>
        </w:tc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7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szCs w:val="24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镇压器</w:t>
            </w:r>
          </w:p>
        </w:tc>
        <w:tc>
          <w:tcPr>
            <w:tcW w:w="9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挂接型式：牵引式；外形尺寸（长*宽*高）:4450*3100*700mm；作业幅宽:5000mm；配套动力34-47.6KW；结构质量：1350KG；镇压轮数：27个；镇压轮直径：500mm；镇压轮形式：星芒环型；镇压轮组数及排列形式≥3组、品字型联接；镇压轮质量：35KG；牵引高度：580mm。       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szCs w:val="22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1台</w:t>
            </w:r>
          </w:p>
        </w:tc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7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szCs w:val="24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播种机</w:t>
            </w:r>
          </w:p>
        </w:tc>
        <w:tc>
          <w:tcPr>
            <w:tcW w:w="9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基本配置：机架、种肥箱、开沟器总称、滚轮、踏板。整机质量（kg）：950。外形尺寸（mm长×宽×高）：1700×3620×1500。配套动力(kw)≥52。播幅宽度（mm）：3800。播种、施肥深度（mm可调）：20-40。播种行距（mm）：150。最大播肥量（kg）≥30。最大播种量（kg）≥36，行数≥25行，纯工作小时生产率（hm²/h）≥2.0。      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szCs w:val="22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7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szCs w:val="24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割草压扁机</w:t>
            </w:r>
          </w:p>
        </w:tc>
        <w:tc>
          <w:tcPr>
            <w:tcW w:w="9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整机重量1253Kg 配套动力（KW）≥26.1(PTO) 工作幅宽（mm）：2819 工作形式：往复式 割台提升装置护刃器尖最大提升高度（mm）：483 割茬高度（mm）:32~108 压扁辊形式：人字形突缘啮合式橡胶辊 挤压区辊长(mm):2591 压扁辊直径(mm): 264 牧草放铺宽度(mm): 965~2438 最高作业速度(km/h):13 外形尺寸（mm）:4064×3708(长×宽) 轮胎尺寸：27×9.50×15         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szCs w:val="22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7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szCs w:val="24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捡拾压捆机</w:t>
            </w:r>
          </w:p>
        </w:tc>
        <w:tc>
          <w:tcPr>
            <w:tcW w:w="9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整机重量1685 Kg配套动力≥56KW(PTO)工作幅宽1900mm 草捆长度调节范围0.31-1.32 mm草捆截面（高×宽）360×460 mm最高作业速度(km/h):13 生产率(稻秸杆)（t/h）: 6.9 外形尺寸（mm）: 1979×3048(高×宽)轮胎尺寸：15×6.00×6       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szCs w:val="22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7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szCs w:val="24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秸秆揉丝机</w:t>
            </w:r>
          </w:p>
        </w:tc>
        <w:tc>
          <w:tcPr>
            <w:tcW w:w="9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配用电机：≥18kw，生产效率：2-6t/h，切碎长度：18、27、37、52,mm，外形尺寸：2430*2200*2756mm，整机质量：580kg，链条输送带。    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szCs w:val="22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7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szCs w:val="24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收割机</w:t>
            </w:r>
          </w:p>
        </w:tc>
        <w:tc>
          <w:tcPr>
            <w:tcW w:w="9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直列四缸、四冲程、直喷，标定功率：103kw，标定转速：2400r/min，工作状态外形尺寸：8660×4150×3680mm，整机质量：带割台6740（212R）,6890（212F）,作业速度：1.05-9.8km/h，作业小时生产率：0.67-1.38hm²/h，单位作业量燃油消耗量：10-32kg/hm²，割台宽度:3720mm（刚台），喂入量≥6公斤/秒，割刀型式：II型，割台搅龙型式：伸缩指式螺旋搅龙，拨禾轮型式：偏心弹齿式，脱粒滚筒型式：纹杆式，导向轮轮距：2270mm，驱动轮轮距：2700mm。     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szCs w:val="22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7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割晒机</w:t>
            </w:r>
          </w:p>
        </w:tc>
        <w:tc>
          <w:tcPr>
            <w:tcW w:w="9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外形尺寸：4500×2400×1720mm，整机质量：900kg，配套动力：60-125kw，割副≥4200mm，割刀行程：76.2mm，割台型式：中间放铺，割茬高度：50-150mm，放铺角度：45-20°，切割器型式：往复割刀式，作业速度：10-16km/h，铺放形式：鱼鳞铺，悬挂方式：前悬挂。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7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szCs w:val="24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捡拾器</w:t>
            </w:r>
          </w:p>
        </w:tc>
        <w:tc>
          <w:tcPr>
            <w:tcW w:w="9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外形尺寸：3250×2000×800mm，整机质量850kg，配套机型：收割机，作业幅宽：≥2800mm，弹齿个数：300个，驱动辊直径：114mm，驱动辊转速：95-270r/min，被动辊直径：114mm，两辊中心距：660mm，螺旋搅龙转速：175r/min。   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szCs w:val="22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szCs w:val="24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自卸汽车</w:t>
            </w:r>
          </w:p>
        </w:tc>
        <w:tc>
          <w:tcPr>
            <w:tcW w:w="9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外形尺寸（长/宽/高）：5010,5110,5160,5310,5460,5510×2005,2100×2170,2345,2100 ；发动机功率≥96kw；发动机排量：2289L；燃料种类：柴油 ；货厢（长/宽/高）：2800,3000,3100,3200,3400×1800,1900,2000×450,600,650,800 ；总质量（Kg）：4495 ；额定质量（Kg）：1645 ；前排乘客（人）：2 ；转向形式：方向盘 ；轴数：2；轮胎数：6。       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szCs w:val="22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7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color w:val="000000" w:themeColor="text1"/>
                <w:sz w:val="22"/>
                <w:szCs w:val="2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沙加村</w:t>
            </w:r>
          </w:p>
        </w:tc>
        <w:tc>
          <w:tcPr>
            <w:tcW w:w="9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7" w:hRule="atLeast"/>
        </w:trPr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/>
                <w:i w:val="0"/>
                <w:iCs w:val="0"/>
                <w:color w:val="000000" w:themeColor="text1"/>
                <w:sz w:val="22"/>
                <w:szCs w:val="2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变压器</w:t>
            </w:r>
          </w:p>
        </w:tc>
        <w:tc>
          <w:tcPr>
            <w:tcW w:w="9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1.容量（kV·A)≥315KVA 2.含调试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1台</w:t>
            </w:r>
          </w:p>
        </w:tc>
        <w:tc>
          <w:tcPr>
            <w:tcW w:w="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rPr>
          <w:rFonts w:hint="eastAsia"/>
          <w:lang w:val="en-US" w:eastAsia="zh-CN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>
      <w:pPr>
        <w:pStyle w:val="3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DE458E"/>
    <w:rsid w:val="040C31F4"/>
    <w:rsid w:val="062E6608"/>
    <w:rsid w:val="06D42F92"/>
    <w:rsid w:val="079E534E"/>
    <w:rsid w:val="08632D32"/>
    <w:rsid w:val="0B30271D"/>
    <w:rsid w:val="108E1011"/>
    <w:rsid w:val="10B8573A"/>
    <w:rsid w:val="1661313C"/>
    <w:rsid w:val="170F1945"/>
    <w:rsid w:val="183548E0"/>
    <w:rsid w:val="1C391549"/>
    <w:rsid w:val="1F586365"/>
    <w:rsid w:val="1F9A0BE7"/>
    <w:rsid w:val="203E2728"/>
    <w:rsid w:val="24FA112F"/>
    <w:rsid w:val="27EC54EC"/>
    <w:rsid w:val="287C1035"/>
    <w:rsid w:val="2A56242B"/>
    <w:rsid w:val="2AD13EC9"/>
    <w:rsid w:val="311B7FFB"/>
    <w:rsid w:val="31904EAD"/>
    <w:rsid w:val="32364D73"/>
    <w:rsid w:val="35C86B96"/>
    <w:rsid w:val="36272E6F"/>
    <w:rsid w:val="38AD04EA"/>
    <w:rsid w:val="3C946B06"/>
    <w:rsid w:val="41DA4FF6"/>
    <w:rsid w:val="44B2397D"/>
    <w:rsid w:val="47367C59"/>
    <w:rsid w:val="49137327"/>
    <w:rsid w:val="4A583476"/>
    <w:rsid w:val="4AA03A19"/>
    <w:rsid w:val="4B4A6979"/>
    <w:rsid w:val="51CD04BD"/>
    <w:rsid w:val="54475C1F"/>
    <w:rsid w:val="566E26E5"/>
    <w:rsid w:val="5895014A"/>
    <w:rsid w:val="5CB60D7E"/>
    <w:rsid w:val="5DC87F35"/>
    <w:rsid w:val="5FE674FB"/>
    <w:rsid w:val="60732D78"/>
    <w:rsid w:val="61D347FD"/>
    <w:rsid w:val="63474CCC"/>
    <w:rsid w:val="66401CDE"/>
    <w:rsid w:val="68FA73ED"/>
    <w:rsid w:val="6B611B8E"/>
    <w:rsid w:val="6E081EE4"/>
    <w:rsid w:val="70E67236"/>
    <w:rsid w:val="728F3A26"/>
    <w:rsid w:val="7B3B511D"/>
    <w:rsid w:val="7F2B2243"/>
    <w:rsid w:val="7FD15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line="0" w:lineRule="atLeast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13">
    <w:name w:val="Default Paragraph Font"/>
    <w:qFormat/>
    <w:uiPriority w:val="0"/>
  </w:style>
  <w:style w:type="table" w:default="1" w:styleId="11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spacing w:after="120"/>
    </w:pPr>
  </w:style>
  <w:style w:type="paragraph" w:styleId="4">
    <w:name w:val="Body Text Indent"/>
    <w:basedOn w:val="1"/>
    <w:next w:val="1"/>
    <w:qFormat/>
    <w:uiPriority w:val="0"/>
    <w:pPr>
      <w:spacing w:after="120"/>
      <w:ind w:left="420" w:leftChars="200"/>
    </w:pPr>
  </w:style>
  <w:style w:type="paragraph" w:styleId="5">
    <w:name w:val="footer"/>
    <w:basedOn w:val="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Body Text Indent 3"/>
    <w:basedOn w:val="1"/>
    <w:qFormat/>
    <w:uiPriority w:val="0"/>
    <w:pPr>
      <w:spacing w:line="600" w:lineRule="exact"/>
      <w:ind w:firstLine="720"/>
    </w:pPr>
    <w:rPr>
      <w:rFonts w:ascii="Tahoma" w:hAnsi="Tahoma"/>
      <w:bCs/>
      <w:sz w:val="28"/>
    </w:rPr>
  </w:style>
  <w:style w:type="paragraph" w:styleId="8">
    <w:name w:val="Normal (Web)"/>
    <w:basedOn w:val="1"/>
    <w:qFormat/>
    <w:uiPriority w:val="0"/>
    <w:pPr>
      <w:spacing w:before="75" w:beforeAutospacing="0" w:after="75" w:afterAutospacing="0" w:line="420" w:lineRule="atLeast"/>
      <w:ind w:left="0" w:right="0"/>
      <w:jc w:val="left"/>
    </w:pPr>
    <w:rPr>
      <w:kern w:val="0"/>
      <w:sz w:val="24"/>
      <w:lang w:val="en-US" w:eastAsia="zh-CN"/>
    </w:rPr>
  </w:style>
  <w:style w:type="paragraph" w:styleId="9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6"/>
      <w:szCs w:val="32"/>
    </w:rPr>
  </w:style>
  <w:style w:type="paragraph" w:styleId="10">
    <w:name w:val="Body Text First Indent"/>
    <w:basedOn w:val="3"/>
    <w:qFormat/>
    <w:uiPriority w:val="0"/>
    <w:pPr>
      <w:ind w:firstLine="420" w:firstLineChars="100"/>
    </w:pPr>
    <w:rPr>
      <w:rFonts w:ascii="Times New Roman" w:hAnsi="Times New Roman"/>
    </w:rPr>
  </w:style>
  <w:style w:type="table" w:styleId="12">
    <w:name w:val="Table Grid"/>
    <w:basedOn w:val="11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qFormat/>
    <w:uiPriority w:val="0"/>
    <w:rPr>
      <w:b/>
      <w:bCs/>
    </w:rPr>
  </w:style>
  <w:style w:type="character" w:styleId="15">
    <w:name w:val="page number"/>
    <w:basedOn w:val="13"/>
    <w:uiPriority w:val="0"/>
  </w:style>
  <w:style w:type="character" w:styleId="16">
    <w:name w:val="FollowedHyperlink"/>
    <w:basedOn w:val="13"/>
    <w:qFormat/>
    <w:uiPriority w:val="0"/>
    <w:rPr>
      <w:color w:val="800080"/>
      <w:u w:val="none"/>
    </w:rPr>
  </w:style>
  <w:style w:type="character" w:styleId="17">
    <w:name w:val="Emphasis"/>
    <w:basedOn w:val="13"/>
    <w:qFormat/>
    <w:uiPriority w:val="0"/>
    <w:rPr>
      <w:b/>
    </w:rPr>
  </w:style>
  <w:style w:type="character" w:styleId="18">
    <w:name w:val="HTML Definition"/>
    <w:basedOn w:val="13"/>
    <w:qFormat/>
    <w:uiPriority w:val="0"/>
  </w:style>
  <w:style w:type="character" w:styleId="19">
    <w:name w:val="HTML Typewriter"/>
    <w:basedOn w:val="13"/>
    <w:qFormat/>
    <w:uiPriority w:val="0"/>
    <w:rPr>
      <w:rFonts w:hint="default" w:ascii="monospace" w:hAnsi="monospace" w:eastAsia="monospace" w:cs="monospace"/>
      <w:sz w:val="20"/>
    </w:rPr>
  </w:style>
  <w:style w:type="character" w:styleId="20">
    <w:name w:val="HTML Acronym"/>
    <w:basedOn w:val="13"/>
    <w:qFormat/>
    <w:uiPriority w:val="0"/>
  </w:style>
  <w:style w:type="character" w:styleId="21">
    <w:name w:val="HTML Variable"/>
    <w:basedOn w:val="13"/>
    <w:qFormat/>
    <w:uiPriority w:val="0"/>
  </w:style>
  <w:style w:type="character" w:styleId="22">
    <w:name w:val="Hyperlink"/>
    <w:basedOn w:val="13"/>
    <w:qFormat/>
    <w:uiPriority w:val="0"/>
    <w:rPr>
      <w:color w:val="0000FF"/>
      <w:u w:val="none"/>
    </w:rPr>
  </w:style>
  <w:style w:type="character" w:styleId="23">
    <w:name w:val="HTML Code"/>
    <w:basedOn w:val="13"/>
    <w:qFormat/>
    <w:uiPriority w:val="0"/>
    <w:rPr>
      <w:rFonts w:hint="default" w:ascii="monospace" w:hAnsi="monospace" w:eastAsia="monospace" w:cs="monospace"/>
      <w:sz w:val="20"/>
    </w:rPr>
  </w:style>
  <w:style w:type="character" w:styleId="24">
    <w:name w:val="HTML Cite"/>
    <w:basedOn w:val="13"/>
    <w:qFormat/>
    <w:uiPriority w:val="0"/>
  </w:style>
  <w:style w:type="character" w:styleId="25">
    <w:name w:val="HTML Keyboard"/>
    <w:basedOn w:val="13"/>
    <w:qFormat/>
    <w:uiPriority w:val="0"/>
    <w:rPr>
      <w:rFonts w:ascii="monospace" w:hAnsi="monospace" w:eastAsia="monospace" w:cs="monospace"/>
      <w:sz w:val="20"/>
    </w:rPr>
  </w:style>
  <w:style w:type="character" w:styleId="26">
    <w:name w:val="HTML Sample"/>
    <w:basedOn w:val="13"/>
    <w:qFormat/>
    <w:uiPriority w:val="0"/>
    <w:rPr>
      <w:rFonts w:hint="default" w:ascii="monospace" w:hAnsi="monospace" w:eastAsia="monospace" w:cs="monospace"/>
    </w:rPr>
  </w:style>
  <w:style w:type="paragraph" w:customStyle="1" w:styleId="27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355</Words>
  <Characters>410</Characters>
  <Paragraphs>47</Paragraphs>
  <TotalTime>4</TotalTime>
  <ScaleCrop>false</ScaleCrop>
  <LinksUpToDate>false</LinksUpToDate>
  <CharactersWithSpaces>453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2020-09-29T06:37:00Z</dcterms:created>
  <dc:creator>嗜血的狼</dc:creator>
  <cp:lastModifiedBy>pc</cp:lastModifiedBy>
  <dcterms:modified xsi:type="dcterms:W3CDTF">2021-09-01T13:11:14Z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0B9A2796517D4CF883FA8E7BDF7203EE</vt:lpwstr>
  </property>
</Properties>
</file>