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2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2016"/>
        <w:gridCol w:w="4223"/>
        <w:gridCol w:w="447"/>
        <w:gridCol w:w="441"/>
        <w:gridCol w:w="1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名   称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型号、规格、性能参数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ind w:left="-105" w:leftChars="-50" w:right="-105" w:rightChars="-5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一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计算机监控系统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综合自动化主机柜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主机操作员工作站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国产设备,性能参数须满足应用系统要求；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4U机架式服务器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 CPU：2颗英特尔® 至强® E5-4108v4（8核）                                     内存：32GB DDR3 ECC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硬盘：300GB SAS *4(10000 rpm)                                     RAID：支持RAID0、1、10、5 (最低缓存512MB)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 xml:space="preserve">网卡：100/1000M自适应端口*4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光驱： DVD×1 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电源：标配2个；（支持冗余热插拔、可选配）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机架导轨配件        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IO插槽：支持至少6个 PCIe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机架式安装、国网公司认可的国产linux操作系统，服务器国产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KVM延长切换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接入服务器1台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组屏安装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显示器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尺寸： 23”液晶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分辨率: 1920×1080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布置在中控台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鼠标、键盘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1.1.5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软件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操作系统及版本：国产Linux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数据库：成熟正版产品。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应用软件、通信接口软件等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1.1.6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音响及语音报警装置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Web发布服务器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国产设备,性能参数须满足应用系统要求；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4U机架式服务器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 CPU：2颗英特尔® 至强® E5-4108v4（8核）                                     内存：32GB DDR3 ECC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硬盘：300GB SAS *4(10000 rpm)                                     RAID：支持RAID0、1、10、5 (最低缓存512MB)                        网卡：100/1000M自适应端口*4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光驱： DVD×1 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电源：标配2个；（支持冗余热插拔、可选配）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机架导轨配件                           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IO插槽：支持至少6个 PCIe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机架式安装、国网公司认可的国产linux操作系统，服务器国产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KVM延长切换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接入服务器1台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组屏安装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显示器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尺寸： 23”液晶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分辨率: 1920×1080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布置在中控台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鼠标、键盘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1.2.5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软件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操作系统及版本：国产Linux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数据库：成熟正版产品。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应用软件、通信接口软件等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1.2.6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音响及语音报警装置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1.2.7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电信通道租赁费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1.2.8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防火墙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Web操作服务器对外安全防护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1.2.9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正向隔离装置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Web操作服务器对外安全防护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五防工作站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国产设备,性能参数须满足应用系统要求；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1U机架式服务器                                                       CPU：英特尔® 至强® E3-1230v3（3.3 GHz、4核、8MB缓存）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内存：8GB DDR3 ECC                                                        硬盘：300 GB SAS (10000 rpm)*4；                                       RAID：支持RAID0、1、10、5                                                  网卡：100/1000M自适应端口*2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显卡：1GB显卡  HDMI接口；                                                     光驱： DVD×1                                                                电源：标配2个；（支持冗余热插拔、可选配）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机架导轨配件                                                               IO插槽：支持至少1个 PCIe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机架式安装、国网公司认可的国产linux操作系统，服务器国产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KVM延长切换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接入服务器1台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组屏安装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显示器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尺寸： 23”液晶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分辨率: 1920×1080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布置在中控台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鼠标、键盘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1.3.5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软件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操作系统及版本：国产Linux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数据库：成熟正版产品。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应用软件、通信接口软件等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1.3.6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音响及语音报警装置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1.3.7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五防软件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五防软件、操作票专家系统软件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1.3.8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五防锁具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1.3.9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电脑钥匙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把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1.3.10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电脑钥匙充电器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能量管理系统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国产设备,性能参数须满足应用系统要求；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 xml:space="preserve">1U机架式服务器                                                       CPU：英特尔® 至强® E3-1230v3（3.3 GHz、4核、8MB缓存）                                          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内存：8GB DDR3 ECC                                                        硬盘：300 GB SAS (10000 rpm)*4；                                       RAID：支持RAID0、1、10、5                                                  网卡：100/1000M自适应端口*2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显卡：1GB显卡  HDMI接口；                                                     光驱： DVD×1                                                                电源：标配2个；（支持冗余热插拔、可选配）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机架导轨配件                                                               IO插槽：支持至少1个 PCIe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机架式安装、国网公司认可的国产linux操作系统，服务器国产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KVM延长切换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接入服务器1台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组屏安装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显示器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尺寸： 23”液晶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分辨率: 1920×1080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布置在中控台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鼠标、键盘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1.4.5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软件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操作系统及版本：国产Linux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数据库：成熟正版产品。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应用软件、通信接口软件等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屏体及附件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2260mm×800mm×600mm（高×宽×深）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配置PDU插板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978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工业以太网交换机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背板带宽：19.2Gbps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转发性能：14.28Mpps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端口配置（不少于）：4个 100/1000M电口，4个1000M光口，16个100M 光口，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电源：DC220V，双电源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978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主机加固软件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（提供公安部颁发的计算机信息系统安全专用产品销售许可证；提供国家电网安全实验室测评合格报告）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国产软件，具备国家权威机构安全检测证明。采用专用软件和配置安全应用程序等方式，对生产控制大区主机操作系统进行安全加固，实现对系统非法外联、移动设备连接、安全加固策略、防病毒更新等情况进行实时监测和告警，以便运维人员能够及时处置各类安全事件，同时能够将系统本体安全告警信息实时传送至省、地调。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具有跨平台功能，可运行于LINUX，WINDOWS等多种平台。具有数字签名认证机制、帐号管理、口令质量控制、文件的访问控制、防止程序非法终止、程序自动权限设置、登录服务控制等功能。安装和卸载容易，安装不修改操作系统内核，不需重启系统，卸载后系统可完全恢复到安装前的状态，系统断电重启时仍能保持原有安全设置等功能。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安装于本站所有有操作系统的主机。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978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中控台（含现场安装）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3180mm×1000mm×750mm（长×宽×高），桌面中密度板贴防火板，下体采用冷轧钢板静电喷涂处理。含键盘抽屉，台下能放置主机。含2把工椅。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每个工位桌下安装一组PDU电力专用插排，柜体内设置电源线、网线金属槽盒。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协调控制装置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采集110kV线路电流、电压值，与能量管理系统通信，控制光伏、储能出力，避免反送电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全站时间同步系统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主时钟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GPS、北斗、B码输入，守时精度 1μs/h，不少于 96路电 B码对时回路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GPS天线及馈线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带防雷模块，50m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北斗天线及馈线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带防雷模块，50m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屏体及附件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2260mm×800mm×600mm（高×宽×深）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35kV开关柜舱公用测控柜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6.1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公用测控装置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每台装置含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模拟量： 8 路（直流采样8 路）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开入量： 96路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开出量： 8路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双以太网口，8个百兆光口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6.2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智能接口装置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每台装置含对上通信接口：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以太网口≥  2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串口≥  2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挂接通信协议种类≥  4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以太网口≥  4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串口（双绞线或光纤）≥ 12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挂接通信协议种类≥  8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6.3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光纤配线架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24口（含适配器、尾纤、跳线）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6.4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屏体及附件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2260mm×800mm×600mm（高×宽×深）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配置PDU插板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35kV母线保护屏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7.1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35kV母线保护装置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单母线接线方式，每台保护装置连接单元不少于12个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7.2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打印机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7.3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屏体及附件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2260mm×800mm×600mm（高×宽×深）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网络通信屏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8.1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光纤配线架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48 光配系统*2，共96；满配光纤适配器、尾纤及跳线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8.2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工业级交换机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14个 100M电口，2个 1000M电口，12个100M 光口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提供电力检测机构的A级检测合格报告，支持VLAN）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屏体及附件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2260mm×800mm×600mm（高×宽×深）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配置PDU插板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空调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3P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放置于集装箱内部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二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交直流电源系统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直流控制电源系统（1套）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蓄电池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100Ah，单体 2V，每组 103只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组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高频开关电源模块充电/浮充电装置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高频开关电源模块：10A 充电模块 3  个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直流集中监控装置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蓄电池巡检装置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直流系统绝缘监测装置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放电装置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母线电压变送器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温度变送器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按温度补偿控制方式需要配置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直流馈线断路器（专用小型直流空气断路器）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32A  10路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10A  16路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1.10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切换装置、熔断器、信号灯、端子排及相关附件等其它电气二次设备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蓄电池安装附件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2260mm×800mm×600mm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面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不间断电源屏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不间断电源装置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3kVA 逆变电源，不带蓄电池（主供为交流电源，备供为直流电源， 具备电源自动切换功能和主供电源恢复后的自恢复功能）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交流电源输入自动空气开关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 路 63A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直流电源输入自动空气开关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 路 32A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交流电源输出自动空气开关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20 路32A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20 路10A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不间断交流电源输出自动空气开关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18 路 10A 4 路 25A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安装附件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指示灯、指示仪表、变送器等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2260mm*800mm*600mm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面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0.4kV交流电源屏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双电源自动切换装置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250A/3P(CP 级 ) 1 个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交流电源输出自动空气开关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125A/3P 2 个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交流电源输出自动空气开关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 路32A/3P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4 路63A/3P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4 路80A/3P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安装附件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指示灯、指示仪表、变送器等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3.5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屏体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2260mm*800mm*600mm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面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三</w:t>
            </w:r>
          </w:p>
        </w:tc>
        <w:tc>
          <w:tcPr>
            <w:tcW w:w="8500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视频安防系统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8500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35kV预制舱汇集站视频监视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400万星光级网络球形摄像机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像素：400W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镜头：1/1.8英寸，焦距：5.5mm~220mm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成像传感单元：CMOS传感器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光学变倍≥40倍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防护等级≥IP67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工作温度≥-40℃至60℃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具有智能行为分析、侦测等功能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支持五码流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要求配套电源支架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支持无线4G物联网卡、支持国标协议、主动注册协议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布置于35kV预制舱汇集站室外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控制箱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1.1.2.1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网络防雷器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最大持续运行电压≥40V AC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最大放电电流≥10kA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视频信号电涌最大放电电流≥12kA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工作环境温度≥-40至70℃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1.1.2.2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箱体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不锈钢，壁厚2.0mm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立杆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不锈钢，6m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1.1.4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200万红外定焦防暴半球网络摄像机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像素：200万(1920*1080)@25fps；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镜头：1/2.8英寸，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成像传感单元：CMOS图像传感器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红外监控距离 ≥30米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防护等级≥IP54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具有智能行为分析、侦测等功能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配套电源支架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支持无线4G物联网卡、支持国标协议、主动注册协议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布置于35kV预制舱汇集站一次舱及二次舱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1.1.5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无线4G物联网卡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8500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阵列区视频监控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400万星光级网络球形摄像机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像素：400W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镜头：1/1.8英寸，焦距：5.5mm~220mm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成像传感单元：CMOS传感器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光学变倍≥40倍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防护等级≥IP67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工作温度≥-40℃至60℃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具有智能行为分析、侦测等功能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支持五码流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要求配套电源支架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支持无线4G物联网卡、支持国标协议、主动注册协议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布置于本期20MW光伏项目及前期3.5MWp光伏项目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控制箱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1.2.2.1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网络防雷器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最大持续运行电压≥40V AC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最大放电电流≥10kA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视频信号电涌最大放电电流≥12kA</w:t>
            </w:r>
          </w:p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工作环境温度≥-40至70℃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1.2.2.2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箱体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不锈钢，壁厚2.0mm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立杆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不锈钢，6m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1.2.4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无线4F物联网卡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二次电缆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ZC-KVVP-2*4mm</w:t>
            </w:r>
            <w:r>
              <w:rPr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8500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视频监控软件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1.4.1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视频监控软件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拥有专用IP地址，实现将视频流通过定向物联网实时向视频监控主平台传送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1.4.2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云储存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根据录像天数30天配置容量</w:t>
            </w: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78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视频安防系统安装施工费用</w:t>
            </w:r>
          </w:p>
        </w:tc>
        <w:tc>
          <w:tcPr>
            <w:tcW w:w="4252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四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打印机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激光打印机</w:t>
            </w:r>
            <w:r>
              <w:rPr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color w:val="000000"/>
                <w:kern w:val="0"/>
                <w:sz w:val="18"/>
                <w:szCs w:val="18"/>
              </w:rPr>
              <w:t>A3/A4幅面，双面打印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一期3.5MWp光储系统离网转并网运行策略调整及调试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对已建成的储能电站（阳光电源设备EMS200，储能电站容量为2802kWh）联系设备厂家对一期3.5MWp光储系统离网转并网运行策略调整及调试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五</w:t>
            </w:r>
          </w:p>
        </w:tc>
        <w:tc>
          <w:tcPr>
            <w:tcW w:w="8500" w:type="dxa"/>
            <w:gridSpan w:val="5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线缆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ZC-KVVP-22-450/750V 4×2.5mm</w:t>
            </w:r>
            <w:r>
              <w:rPr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ZC-KVVP-22-450/750V 7×2.5mm</w:t>
            </w:r>
            <w:r>
              <w:rPr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ZC-KVVP-22-450/750V 10×2.5mm</w:t>
            </w:r>
            <w:r>
              <w:rPr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0.2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GYTA53单模24芯铠装直埋光缆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km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F7688"/>
    <w:rsid w:val="031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3"/>
    <w:next w:val="4"/>
    <w:qFormat/>
    <w:uiPriority w:val="0"/>
    <w:pPr>
      <w:tabs>
        <w:tab w:val="left" w:pos="360"/>
        <w:tab w:val="left" w:pos="1200"/>
      </w:tabs>
      <w:ind w:left="1554" w:hanging="420"/>
    </w:pPr>
    <w:rPr>
      <w:b w:val="0"/>
    </w:rPr>
  </w:style>
  <w:style w:type="paragraph" w:customStyle="1" w:styleId="3">
    <w:name w:val="引言一级条标题"/>
    <w:basedOn w:val="1"/>
    <w:next w:val="4"/>
    <w:qFormat/>
    <w:uiPriority w:val="0"/>
    <w:pPr>
      <w:widowControl/>
      <w:tabs>
        <w:tab w:val="left" w:pos="1200"/>
      </w:tabs>
      <w:ind w:left="1200" w:hanging="720"/>
    </w:pPr>
    <w:rPr>
      <w:rFonts w:eastAsia="黑体"/>
      <w:b/>
      <w:szCs w:val="20"/>
    </w:rPr>
  </w:style>
  <w:style w:type="paragraph" w:customStyle="1" w:styleId="4">
    <w:name w:val="段"/>
    <w:basedOn w:val="5"/>
    <w:next w:val="5"/>
    <w:qFormat/>
    <w:uiPriority w:val="0"/>
    <w:pPr>
      <w:autoSpaceDE w:val="0"/>
      <w:autoSpaceDN w:val="0"/>
      <w:ind w:firstLine="200" w:firstLineChars="200"/>
    </w:pPr>
    <w:rPr>
      <w:rFonts w:hAnsi="Times New Roman"/>
    </w:r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2022-03-23T11:27:00Z</dcterms:created>
  <dc:creator>pc</dc:creator>
  <cp:lastModifiedBy>pc</cp:lastModifiedBy>
  <dcterms:modified xsi:type="dcterms:W3CDTF">2022-03-23T11:27:30Z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C2C65361F7AF4790A075D4D16157CED1</vt:lpwstr>
  </property>
</Properties>
</file>