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1427" w:tblpY="39"/>
        <w:tblOverlap w:val="never"/>
        <w:tblW w:w="9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75"/>
        <w:gridCol w:w="760"/>
        <w:gridCol w:w="650"/>
        <w:gridCol w:w="1013"/>
        <w:gridCol w:w="4937"/>
        <w:gridCol w:w="1073"/>
      </w:tblGrid>
      <w:tr w:rsidR="006B4F2F">
        <w:trPr>
          <w:trHeight w:val="894"/>
        </w:trPr>
        <w:tc>
          <w:tcPr>
            <w:tcW w:w="675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序号</w:t>
            </w:r>
          </w:p>
        </w:tc>
        <w:tc>
          <w:tcPr>
            <w:tcW w:w="760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分标编号</w:t>
            </w:r>
          </w:p>
        </w:tc>
        <w:tc>
          <w:tcPr>
            <w:tcW w:w="650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包号</w:t>
            </w:r>
          </w:p>
        </w:tc>
        <w:tc>
          <w:tcPr>
            <w:tcW w:w="101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包名称</w:t>
            </w:r>
          </w:p>
        </w:tc>
        <w:tc>
          <w:tcPr>
            <w:tcW w:w="4937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入围成交承包（服务）商名单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备注</w:t>
            </w:r>
          </w:p>
        </w:tc>
      </w:tr>
      <w:tr w:rsidR="006B4F2F">
        <w:trPr>
          <w:trHeight w:val="341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760" w:type="dxa"/>
            <w:vMerge w:val="restart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001</w:t>
            </w:r>
          </w:p>
        </w:tc>
        <w:tc>
          <w:tcPr>
            <w:tcW w:w="650" w:type="dxa"/>
            <w:vMerge w:val="restart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包</w:t>
            </w:r>
            <w:r>
              <w:rPr>
                <w:rFonts w:ascii="仿宋_GB2312" w:eastAsia="仿宋_GB2312" w:hint="eastAsia"/>
                <w:bCs/>
              </w:rPr>
              <w:t>1</w:t>
            </w:r>
          </w:p>
        </w:tc>
        <w:tc>
          <w:tcPr>
            <w:tcW w:w="1013" w:type="dxa"/>
            <w:vMerge w:val="restart"/>
            <w:vAlign w:val="center"/>
          </w:tcPr>
          <w:p w:rsidR="006B4F2F" w:rsidRDefault="0051090E">
            <w:pPr>
              <w:jc w:val="center"/>
              <w:rPr>
                <w:rFonts w:ascii="仿宋" w:eastAsia="仿宋" w:hAnsi="仿宋" w:cs="宋体"/>
                <w:bCs/>
                <w:szCs w:val="21"/>
              </w:rPr>
            </w:pPr>
            <w:r>
              <w:rPr>
                <w:rFonts w:ascii="仿宋" w:eastAsia="仿宋" w:hAnsi="仿宋" w:cs="宋体" w:hint="eastAsia"/>
                <w:bCs/>
                <w:szCs w:val="21"/>
              </w:rPr>
              <w:t>国网青海省电力公司所属集体企业</w:t>
            </w:r>
            <w:r>
              <w:rPr>
                <w:rFonts w:ascii="仿宋" w:eastAsia="仿宋" w:hAnsi="仿宋" w:cs="宋体" w:hint="eastAsia"/>
                <w:bCs/>
                <w:szCs w:val="21"/>
              </w:rPr>
              <w:t>2020</w:t>
            </w:r>
            <w:r>
              <w:rPr>
                <w:rFonts w:ascii="仿宋" w:eastAsia="仿宋" w:hAnsi="仿宋" w:cs="宋体" w:hint="eastAsia"/>
                <w:bCs/>
                <w:szCs w:val="21"/>
              </w:rPr>
              <w:t>年年度输变电（含配电）工程专业（非主体、非关键性）及劳务分包</w:t>
            </w: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青海北源建设工程有限公司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青海天华建安工程有限公司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青海恒通电力工程建设有限责任公司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青海顺浩电力工程有限公司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青海方洲安装工程有限公司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陕西秦中电力有限公司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青海圣鑫电力科技有限公司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青海水电实业有限责任公司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青海虹耀电力工程有限公司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青海华瑞电力建设有限公司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青海鸿祥建设工程有限公司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青海通力电力安装有限公司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青海兆安建设工程有限公司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青海天阳工程咨询有限公司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甘肃省安装建设集团公司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青海星致建筑工程有限责任公司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西宁华程机电设备有限公司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宁夏万成电力有限公司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青海汇能电力工程有限公司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20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青海正盛电力工程有限责任公司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21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四川省岳池电力建设总公司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22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西宁元隆电力建设有限公司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23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河南浩业电力设备有限公司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24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青海长宁电气安装有限公司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25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青海奇云设备工程有限公司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26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青海锋洲电力工程有限公司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27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青海智顺电力工程有限公司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28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29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西安康源电气工程有限公司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30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众信电力工程有限公司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31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青海飞速电力工程有限公司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32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青海多原机电设备安装有限公司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33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四川省丰达建设有限公司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34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青海成潞建设工程有限公司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35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西宁天瑞工程有限责任公司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36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宏新建设集团有限公司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37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中原豫安建设工程有限公司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38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青海四建建筑工程有限责任公司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39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青海创源电气安装有限责任公司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lastRenderedPageBreak/>
              <w:t>40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河南省国能建设集团有限公司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41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青海联视工程建设有限公司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42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青海正能建设工程有限公司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43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河南金信电力集团有限公司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44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青海安纳电力安装调试有限责任公司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45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青海孜创建设工程有限公司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46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青海诺克斯电力工程有限公司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47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陕西鼎成电力工程有限公司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48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青海广源电气安装有限责任公司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49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湖南鸿昌电力工程建设有限责任公司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50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青海辉浩电力工程有限公司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51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汉唐电力建设有限公司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52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青海中恒盛装饰安装工程有限公司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53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西宁荣智电力工程有限公司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54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青海神创电力工程有限公司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55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西宁万丰工贸有限公司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56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正昊能源设备防护安装工程有限公司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57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河南省沿程建筑工程有限公司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58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青海高通电力工程有限公司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59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陕西四腾科技设备有限公司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60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青海中麒电力建筑安装有限公司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61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河北中驰电力工程有限公司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62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青海华峰电力安装工程有限公司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63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金易建设工程有限公司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64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湖南北山建设集团电力机电设备安装有限公司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65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天特电力集团有限公司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66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弘毅建设集团有限公司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67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西宁宝盛实业有限公司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68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青海世珈电力工程有限公司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69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湖南锦泰电力建设有限公司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70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青海西宁建安有限公司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71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青海高源电力变压器有限公司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72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青海蒙汉电气技术有限公司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73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四川呈河建设工程有限公司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74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陕西恒通电气工程有限公司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75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青海长德电力工程有限公司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76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四川省大盛东华建筑工程有限责任公司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77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青海润电电力工程有限公司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78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河南裕鸿建筑工程有限公司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79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豪发建设有限公司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80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陕西和合建设工程有限公司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81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四川省广安佳霖建工集团有限公司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lastRenderedPageBreak/>
              <w:t>82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中青建设集团第一工程有限公司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83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青海兴旺交通能源开发有限责任公司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84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陕西隆地电力自动化有限公司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85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四川斌佳电力工程有限公司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86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青海延中建设工程有限公司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87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贵州仟亿筑城建设工程有限公司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88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青海力恒电力安装工程有限公司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89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青海凯兴水电建设工程有限公司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90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航天亮丽电气有限责任公司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91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中国能源建设集团华中电力试验研究院有限公司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92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西宁市水电安装工程有限公司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93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青海鼎晟电力建设有限公司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94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青海博雅建筑有限公司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95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山西环宇建筑工程有限公司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96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青海昕烨电力有限公司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97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青海永祥电力工程有限公司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98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青海卓郁建筑安装工程有限公司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99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河南省特种防腐有限公司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100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四川省鸿川建设工程有限公司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101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青海博嘉建设工程有限公司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102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青海路安交通科技有限公司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103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西安合容机电工程有限公司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104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青海天创水电工程有限公司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105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河南恒安电力股份有限公司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106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青海鸿朗电力安装有限公司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107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青海宝睿电力实业有限责任公司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108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青海德隆送变电工程有限公司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109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青海鸿鑫实业有限公司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110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陕西飞黄建筑工程有限公司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111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青海智诚电力工程有限公司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112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四川陵江电力工程有限公司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113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山东省昱通安装有限公司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114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四川省华蓥市南方送变电有限公司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115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新洋国际电力集团有限公司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116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中源建设有限公司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117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华瑞鼎兴电力工程有限公司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118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青海盛腾电力工程有限责任公司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119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青海翔若电力工程有限公司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120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保定市远东建筑安装工程有限公司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121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陕西众森建筑安装工程有限公司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122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青海宏安安装有限公司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123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安徽钜强电力工程有限公司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lastRenderedPageBreak/>
              <w:t>124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安徽怀电能源科技有限公司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125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中旭电力有限公司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126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甘肃省西部电力建设工程有限公司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127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青海向阳电力建设工程有限公司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128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青海锐创电力工程有限公司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129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陕西秦联电力工程有限公司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130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宁夏昊轩电力工程有限公司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131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特变电工湖南工程有限公司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</w:t>
            </w:r>
          </w:p>
        </w:tc>
        <w:tc>
          <w:tcPr>
            <w:tcW w:w="760" w:type="dxa"/>
            <w:vMerge w:val="restart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002</w:t>
            </w:r>
          </w:p>
        </w:tc>
        <w:tc>
          <w:tcPr>
            <w:tcW w:w="650" w:type="dxa"/>
            <w:vMerge w:val="restart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包</w:t>
            </w:r>
            <w:r>
              <w:rPr>
                <w:rFonts w:ascii="仿宋_GB2312" w:eastAsia="仿宋_GB2312" w:hint="eastAsia"/>
                <w:bCs/>
              </w:rPr>
              <w:t>1</w:t>
            </w:r>
          </w:p>
        </w:tc>
        <w:tc>
          <w:tcPr>
            <w:tcW w:w="1013" w:type="dxa"/>
            <w:vMerge w:val="restart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国网青海省电力公司所属集体企业</w:t>
            </w:r>
            <w:r>
              <w:rPr>
                <w:rFonts w:ascii="仿宋_GB2312" w:eastAsia="仿宋_GB2312" w:hint="eastAsia"/>
                <w:bCs/>
              </w:rPr>
              <w:t>2020</w:t>
            </w:r>
            <w:r>
              <w:rPr>
                <w:rFonts w:ascii="仿宋_GB2312" w:eastAsia="仿宋_GB2312" w:hint="eastAsia"/>
                <w:bCs/>
              </w:rPr>
              <w:t>年年度输变电（含配电）土建工程或房屋建筑及装修装饰工程专业（非主体、非关键性）及劳务分包</w:t>
            </w: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青海博雅建筑有限公司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青海科翔建设工程有限公司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青海万达建筑安装工程有限公司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青海富源建设工程有限公司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中国建筑技术集团有限公司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河南省国能建设集团有限公司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青海长丰建设工程有限公司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曲阜远大集团工程有限公司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宏星建设工程集团有限公司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青海世翔建筑工程有限公司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正昊能源设备防护安装工程有限公司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青海建和建设工程有限公司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青海二建建筑工程有限公司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河南省沿程建筑工程有限公司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青海乾海建设有限公司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江苏江都建设集团有限公司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青海正能建设工程有限公司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西宁天瑞工程有限责任公司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20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四川同达建设有限公司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21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青海中恒盛装饰安装工程有限公司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22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青海昊翔建设工程有限公司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23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中源建设有限公司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24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四川斌佳电力工程有限公司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25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青海泰丰建筑工程有限责任公司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26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青海天阳工程咨询有限公司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27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青海省土木建筑实业有限责任公司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28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四川宁沣建筑工程有限公司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29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青海晖程生态建设有限公司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30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青海顶立建筑工程有限责任公司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31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青海四建建筑工程有限责任公司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32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宏新建设集团有限公司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33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青海众信建筑安装有限公司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34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青海汉东建设工程有限公司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lastRenderedPageBreak/>
              <w:t>35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青海连寿建筑安装工程有限公司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36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青海明桢建筑工程有限公司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37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西宁宁大建筑有限公司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38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陕西和合建设工程有限公司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39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青海百聚建设工程有限公司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40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青海青成建设工程有限公司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41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新洋国际电力集团有限公司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42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青海鸿祥建设工程有限公司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43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青海华峰电力安装工程有限公司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44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豪发建设有限公司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45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青海名榜电力工程有限公司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46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陕西龙海工程建设有限公司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47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西宁鑫海丰建筑有限公司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48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河南省特种防腐有限公司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49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陕西天通瑞电力科技有限公司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50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青海旺佳建筑装饰工程有限公司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51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青海海亿工程建设有限公司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52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青海微著建筑装饰工程有限公司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53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宁夏万成电力有限公司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54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青海北源建设工程有限公司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55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青海广翔水利水电工程有限公司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56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青海中汇建筑装饰工程有限公司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</w:t>
            </w:r>
          </w:p>
        </w:tc>
        <w:tc>
          <w:tcPr>
            <w:tcW w:w="760" w:type="dxa"/>
            <w:vMerge w:val="restart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003</w:t>
            </w:r>
          </w:p>
        </w:tc>
        <w:tc>
          <w:tcPr>
            <w:tcW w:w="650" w:type="dxa"/>
            <w:vMerge w:val="restart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包</w:t>
            </w:r>
            <w:r>
              <w:rPr>
                <w:rFonts w:ascii="仿宋_GB2312" w:eastAsia="仿宋_GB2312" w:hint="eastAsia"/>
                <w:bCs/>
              </w:rPr>
              <w:t>1</w:t>
            </w:r>
          </w:p>
        </w:tc>
        <w:tc>
          <w:tcPr>
            <w:tcW w:w="1013" w:type="dxa"/>
            <w:vMerge w:val="restart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国网青海省电力公司所属集体企业</w:t>
            </w:r>
            <w:r>
              <w:rPr>
                <w:rFonts w:ascii="仿宋_GB2312" w:eastAsia="仿宋_GB2312" w:hint="eastAsia"/>
                <w:bCs/>
              </w:rPr>
              <w:t>2020</w:t>
            </w:r>
            <w:r>
              <w:rPr>
                <w:rFonts w:ascii="仿宋_GB2312" w:eastAsia="仿宋_GB2312" w:hint="eastAsia"/>
                <w:bCs/>
              </w:rPr>
              <w:t>年年度劳务派遣及劳务业务外包服务</w:t>
            </w: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青海蜂鸟人力资源有限公司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青海雨帆人力资源有限公司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青海政轩人力资源服务有限公司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青海信华人力资源有限公司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青海源宁物业管理有限公司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青海立人人力资源管理有限公司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青海拓成劳务分包有限公司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青海兆安建设工程有限公司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青海正能建设工程有限公司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西宁世平建筑劳务有限公司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西宁拓思人力资源管理咨询有限公司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青海君源人力资源服务有限公司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青海博维企业管理有限公司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青海硕硕人力资源有限公司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青海劳联人力资源管理服务有限公司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海东市乐都区源林电力劳务有限公司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</w:t>
            </w:r>
          </w:p>
        </w:tc>
        <w:tc>
          <w:tcPr>
            <w:tcW w:w="760" w:type="dxa"/>
            <w:vMerge w:val="restart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004</w:t>
            </w:r>
          </w:p>
        </w:tc>
        <w:tc>
          <w:tcPr>
            <w:tcW w:w="650" w:type="dxa"/>
            <w:vMerge w:val="restart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包</w:t>
            </w:r>
            <w:r>
              <w:rPr>
                <w:rFonts w:ascii="仿宋_GB2312" w:eastAsia="仿宋_GB2312" w:hint="eastAsia"/>
                <w:bCs/>
              </w:rPr>
              <w:t>1</w:t>
            </w:r>
          </w:p>
        </w:tc>
        <w:tc>
          <w:tcPr>
            <w:tcW w:w="1013" w:type="dxa"/>
            <w:vMerge w:val="restart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国网青海省电力公司所属集</w:t>
            </w:r>
            <w:r>
              <w:rPr>
                <w:rFonts w:ascii="仿宋_GB2312" w:eastAsia="仿宋_GB2312" w:hint="eastAsia"/>
                <w:bCs/>
              </w:rPr>
              <w:lastRenderedPageBreak/>
              <w:t>体企业</w:t>
            </w:r>
            <w:r>
              <w:rPr>
                <w:rFonts w:ascii="仿宋_GB2312" w:eastAsia="仿宋_GB2312" w:hint="eastAsia"/>
                <w:bCs/>
              </w:rPr>
              <w:t>2020</w:t>
            </w:r>
            <w:r>
              <w:rPr>
                <w:rFonts w:ascii="仿宋_GB2312" w:eastAsia="仿宋_GB2312" w:hint="eastAsia"/>
                <w:bCs/>
              </w:rPr>
              <w:t>年年度造价编制及审核服务</w:t>
            </w: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lastRenderedPageBreak/>
              <w:t>青海德铭工程咨询有限公司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青海省人防工程监理咨询有限公司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青海中旗工程管理咨询有限公司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青海方达工程咨询管理有限公司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lastRenderedPageBreak/>
              <w:t>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中环建（北京）工程管理有限公司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lastRenderedPageBreak/>
              <w:t>6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湖南博才电力工程咨询有限公司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7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青海智鑫电力监理咨询有限公司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8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青海中恒信工程咨询有限公司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9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北京中天银工程造价咨询事务所有限责任公司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10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西宁程辉工程咨询有限公司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11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广东中恒信工程造价咨询有限公司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12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福建安华发展有限公司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13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青海华翼会计师事务所有限公司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14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北京永达信工程造价咨询有限公司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  <w:tr w:rsidR="006B4F2F">
        <w:trPr>
          <w:trHeight w:val="90"/>
        </w:trPr>
        <w:tc>
          <w:tcPr>
            <w:tcW w:w="675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15</w:t>
            </w:r>
          </w:p>
        </w:tc>
        <w:tc>
          <w:tcPr>
            <w:tcW w:w="76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650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1013" w:type="dxa"/>
            <w:vMerge/>
            <w:vAlign w:val="center"/>
          </w:tcPr>
          <w:p w:rsidR="006B4F2F" w:rsidRDefault="006B4F2F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</w:p>
        </w:tc>
        <w:tc>
          <w:tcPr>
            <w:tcW w:w="4937" w:type="dxa"/>
            <w:vAlign w:val="center"/>
          </w:tcPr>
          <w:p w:rsidR="006B4F2F" w:rsidRDefault="0051090E">
            <w:pPr>
              <w:widowControl/>
              <w:jc w:val="center"/>
              <w:textAlignment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Ansi="宋体" w:cs="仿宋_GB2312"/>
                <w:kern w:val="0"/>
                <w:sz w:val="20"/>
                <w:szCs w:val="20"/>
                <w:lang/>
              </w:rPr>
              <w:t>北京中兴基业工程项目管理有限公司</w:t>
            </w:r>
          </w:p>
        </w:tc>
        <w:tc>
          <w:tcPr>
            <w:tcW w:w="1073" w:type="dxa"/>
            <w:vAlign w:val="center"/>
          </w:tcPr>
          <w:p w:rsidR="006B4F2F" w:rsidRDefault="0051090E">
            <w:pPr>
              <w:spacing w:line="240" w:lineRule="atLeast"/>
              <w:jc w:val="center"/>
              <w:rPr>
                <w:rFonts w:ascii="仿宋_GB2312" w:eastAsia="仿宋_GB2312"/>
                <w:bCs/>
              </w:rPr>
            </w:pPr>
            <w:r>
              <w:rPr>
                <w:rFonts w:ascii="仿宋_GB2312" w:eastAsia="仿宋_GB2312" w:hint="eastAsia"/>
                <w:bCs/>
              </w:rPr>
              <w:t>/</w:t>
            </w:r>
          </w:p>
        </w:tc>
      </w:tr>
    </w:tbl>
    <w:p w:rsidR="006B4F2F" w:rsidRDefault="006B4F2F">
      <w:pPr>
        <w:ind w:firstLineChars="200" w:firstLine="560"/>
        <w:rPr>
          <w:rFonts w:ascii="仿宋_GB2312" w:eastAsia="仿宋_GB2312" w:hAnsi="宋体"/>
          <w:sz w:val="28"/>
          <w:szCs w:val="28"/>
        </w:rPr>
      </w:pPr>
    </w:p>
    <w:p w:rsidR="006B4F2F" w:rsidRDefault="006B4F2F">
      <w:pPr>
        <w:adjustRightInd w:val="0"/>
        <w:spacing w:line="240" w:lineRule="atLeast"/>
        <w:jc w:val="right"/>
        <w:rPr>
          <w:rFonts w:ascii="仿宋_GB2312" w:eastAsia="仿宋_GB2312" w:hAnsi="宋体"/>
          <w:sz w:val="28"/>
          <w:szCs w:val="28"/>
        </w:rPr>
      </w:pPr>
      <w:bookmarkStart w:id="0" w:name="_GoBack"/>
      <w:bookmarkEnd w:id="0"/>
    </w:p>
    <w:p w:rsidR="006B4F2F" w:rsidRDefault="006B4F2F">
      <w:pPr>
        <w:jc w:val="center"/>
        <w:rPr>
          <w:rFonts w:ascii="仿宋_GB2312" w:eastAsia="仿宋_GB2312" w:hAnsi="宋体"/>
          <w:sz w:val="28"/>
          <w:szCs w:val="28"/>
        </w:rPr>
      </w:pPr>
    </w:p>
    <w:sectPr w:rsidR="006B4F2F" w:rsidSect="006B4F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932FDF"/>
    <w:rsid w:val="00000EF7"/>
    <w:rsid w:val="00003A6E"/>
    <w:rsid w:val="000069F0"/>
    <w:rsid w:val="000176C5"/>
    <w:rsid w:val="00024561"/>
    <w:rsid w:val="00036294"/>
    <w:rsid w:val="00051A44"/>
    <w:rsid w:val="00063C1A"/>
    <w:rsid w:val="00066B42"/>
    <w:rsid w:val="00066E0E"/>
    <w:rsid w:val="000830C7"/>
    <w:rsid w:val="00093F15"/>
    <w:rsid w:val="000968E1"/>
    <w:rsid w:val="000A1D96"/>
    <w:rsid w:val="000B0888"/>
    <w:rsid w:val="00133DEA"/>
    <w:rsid w:val="0014147B"/>
    <w:rsid w:val="0015091D"/>
    <w:rsid w:val="00150B33"/>
    <w:rsid w:val="00167D9D"/>
    <w:rsid w:val="00177596"/>
    <w:rsid w:val="00183A75"/>
    <w:rsid w:val="001C475D"/>
    <w:rsid w:val="001C4C5B"/>
    <w:rsid w:val="001D27E1"/>
    <w:rsid w:val="001E7D60"/>
    <w:rsid w:val="0020258F"/>
    <w:rsid w:val="002053D4"/>
    <w:rsid w:val="002064D3"/>
    <w:rsid w:val="002230FA"/>
    <w:rsid w:val="002279AB"/>
    <w:rsid w:val="00230EE0"/>
    <w:rsid w:val="00232769"/>
    <w:rsid w:val="002340CE"/>
    <w:rsid w:val="002405C1"/>
    <w:rsid w:val="002440B7"/>
    <w:rsid w:val="002756D2"/>
    <w:rsid w:val="0027799B"/>
    <w:rsid w:val="00283380"/>
    <w:rsid w:val="00283424"/>
    <w:rsid w:val="002A153F"/>
    <w:rsid w:val="002B3BB9"/>
    <w:rsid w:val="002D6174"/>
    <w:rsid w:val="002E0B87"/>
    <w:rsid w:val="002E2353"/>
    <w:rsid w:val="0031445E"/>
    <w:rsid w:val="00314DB1"/>
    <w:rsid w:val="00321BE6"/>
    <w:rsid w:val="003259BC"/>
    <w:rsid w:val="00340DBC"/>
    <w:rsid w:val="00343006"/>
    <w:rsid w:val="003435D6"/>
    <w:rsid w:val="00365481"/>
    <w:rsid w:val="00370229"/>
    <w:rsid w:val="00390CAC"/>
    <w:rsid w:val="00391CAD"/>
    <w:rsid w:val="003A3B8F"/>
    <w:rsid w:val="003B1EFF"/>
    <w:rsid w:val="003B778C"/>
    <w:rsid w:val="003C1C92"/>
    <w:rsid w:val="003C24BC"/>
    <w:rsid w:val="003D087C"/>
    <w:rsid w:val="004225C5"/>
    <w:rsid w:val="00444691"/>
    <w:rsid w:val="00467046"/>
    <w:rsid w:val="00480A12"/>
    <w:rsid w:val="00480F24"/>
    <w:rsid w:val="004D350C"/>
    <w:rsid w:val="0051090E"/>
    <w:rsid w:val="00510A53"/>
    <w:rsid w:val="0051567B"/>
    <w:rsid w:val="00523423"/>
    <w:rsid w:val="00537F9F"/>
    <w:rsid w:val="005739E8"/>
    <w:rsid w:val="00575259"/>
    <w:rsid w:val="00582AFB"/>
    <w:rsid w:val="005A293D"/>
    <w:rsid w:val="005B33BF"/>
    <w:rsid w:val="005E680B"/>
    <w:rsid w:val="006028A2"/>
    <w:rsid w:val="006104F4"/>
    <w:rsid w:val="00613016"/>
    <w:rsid w:val="0064241C"/>
    <w:rsid w:val="0065461E"/>
    <w:rsid w:val="00666201"/>
    <w:rsid w:val="0067150A"/>
    <w:rsid w:val="006859B9"/>
    <w:rsid w:val="00690A29"/>
    <w:rsid w:val="00690D5A"/>
    <w:rsid w:val="006945D5"/>
    <w:rsid w:val="006A0373"/>
    <w:rsid w:val="006A2908"/>
    <w:rsid w:val="006B049E"/>
    <w:rsid w:val="006B0F52"/>
    <w:rsid w:val="006B4F2F"/>
    <w:rsid w:val="006C1043"/>
    <w:rsid w:val="006C535E"/>
    <w:rsid w:val="006D2573"/>
    <w:rsid w:val="006E5AB1"/>
    <w:rsid w:val="006E7779"/>
    <w:rsid w:val="00716DB5"/>
    <w:rsid w:val="0074464D"/>
    <w:rsid w:val="00757C9F"/>
    <w:rsid w:val="007662FA"/>
    <w:rsid w:val="0077142D"/>
    <w:rsid w:val="007B3D9D"/>
    <w:rsid w:val="007C3E16"/>
    <w:rsid w:val="007D7088"/>
    <w:rsid w:val="008573D8"/>
    <w:rsid w:val="00881786"/>
    <w:rsid w:val="00884E0D"/>
    <w:rsid w:val="008A7E36"/>
    <w:rsid w:val="008D3120"/>
    <w:rsid w:val="008D6D20"/>
    <w:rsid w:val="008E19F8"/>
    <w:rsid w:val="008E476A"/>
    <w:rsid w:val="008F7111"/>
    <w:rsid w:val="00905A13"/>
    <w:rsid w:val="00932FDF"/>
    <w:rsid w:val="00992AF9"/>
    <w:rsid w:val="009A1E13"/>
    <w:rsid w:val="009B61C7"/>
    <w:rsid w:val="009F283A"/>
    <w:rsid w:val="009F346F"/>
    <w:rsid w:val="00A16327"/>
    <w:rsid w:val="00A2322D"/>
    <w:rsid w:val="00A404C8"/>
    <w:rsid w:val="00A4279B"/>
    <w:rsid w:val="00A553CC"/>
    <w:rsid w:val="00A63C04"/>
    <w:rsid w:val="00A64E68"/>
    <w:rsid w:val="00A71B12"/>
    <w:rsid w:val="00A84463"/>
    <w:rsid w:val="00A9621C"/>
    <w:rsid w:val="00AB33C0"/>
    <w:rsid w:val="00AD2A6E"/>
    <w:rsid w:val="00AD6D4F"/>
    <w:rsid w:val="00AE5D5C"/>
    <w:rsid w:val="00AE60F4"/>
    <w:rsid w:val="00AF0B5E"/>
    <w:rsid w:val="00B36A63"/>
    <w:rsid w:val="00B50C16"/>
    <w:rsid w:val="00B85A17"/>
    <w:rsid w:val="00BB2870"/>
    <w:rsid w:val="00BD3CF4"/>
    <w:rsid w:val="00BF2A84"/>
    <w:rsid w:val="00C12A65"/>
    <w:rsid w:val="00C16B64"/>
    <w:rsid w:val="00C37C75"/>
    <w:rsid w:val="00C517F7"/>
    <w:rsid w:val="00C55B5C"/>
    <w:rsid w:val="00C615B1"/>
    <w:rsid w:val="00C64C49"/>
    <w:rsid w:val="00CA59A2"/>
    <w:rsid w:val="00CA5B3C"/>
    <w:rsid w:val="00CC71EE"/>
    <w:rsid w:val="00CE557F"/>
    <w:rsid w:val="00D06C4F"/>
    <w:rsid w:val="00D14E51"/>
    <w:rsid w:val="00D3326F"/>
    <w:rsid w:val="00D55609"/>
    <w:rsid w:val="00D55B45"/>
    <w:rsid w:val="00D6095B"/>
    <w:rsid w:val="00D77484"/>
    <w:rsid w:val="00D82950"/>
    <w:rsid w:val="00DA0C38"/>
    <w:rsid w:val="00DA7D21"/>
    <w:rsid w:val="00DB4F0A"/>
    <w:rsid w:val="00DC0F38"/>
    <w:rsid w:val="00DD7389"/>
    <w:rsid w:val="00DE446B"/>
    <w:rsid w:val="00DE5758"/>
    <w:rsid w:val="00DF68C6"/>
    <w:rsid w:val="00E028AD"/>
    <w:rsid w:val="00E03E5A"/>
    <w:rsid w:val="00E138C1"/>
    <w:rsid w:val="00E350DC"/>
    <w:rsid w:val="00E36919"/>
    <w:rsid w:val="00E44DE1"/>
    <w:rsid w:val="00E45176"/>
    <w:rsid w:val="00E46BBA"/>
    <w:rsid w:val="00E6555F"/>
    <w:rsid w:val="00E84ACD"/>
    <w:rsid w:val="00E92483"/>
    <w:rsid w:val="00E95CE2"/>
    <w:rsid w:val="00EC4A2D"/>
    <w:rsid w:val="00EE16E9"/>
    <w:rsid w:val="00EE5F93"/>
    <w:rsid w:val="00F02F30"/>
    <w:rsid w:val="00F27764"/>
    <w:rsid w:val="00F40ED3"/>
    <w:rsid w:val="00F5064E"/>
    <w:rsid w:val="00F65B62"/>
    <w:rsid w:val="00F66D36"/>
    <w:rsid w:val="00F73B94"/>
    <w:rsid w:val="00F75F09"/>
    <w:rsid w:val="00F95F08"/>
    <w:rsid w:val="00FB4572"/>
    <w:rsid w:val="00FE104D"/>
    <w:rsid w:val="00FE45BE"/>
    <w:rsid w:val="00FF0358"/>
    <w:rsid w:val="011972D4"/>
    <w:rsid w:val="01F427CD"/>
    <w:rsid w:val="0245154F"/>
    <w:rsid w:val="035839DA"/>
    <w:rsid w:val="0393754A"/>
    <w:rsid w:val="046F1D8F"/>
    <w:rsid w:val="050F138F"/>
    <w:rsid w:val="057E7EE4"/>
    <w:rsid w:val="06E0730A"/>
    <w:rsid w:val="0745675B"/>
    <w:rsid w:val="07496325"/>
    <w:rsid w:val="074F4FAE"/>
    <w:rsid w:val="076A07BB"/>
    <w:rsid w:val="07CD556E"/>
    <w:rsid w:val="08364E5D"/>
    <w:rsid w:val="09835F97"/>
    <w:rsid w:val="0A8825AD"/>
    <w:rsid w:val="0B1F02E7"/>
    <w:rsid w:val="0D0D760A"/>
    <w:rsid w:val="0DCC5D7B"/>
    <w:rsid w:val="0F9D71B2"/>
    <w:rsid w:val="10A97663"/>
    <w:rsid w:val="13DD0B34"/>
    <w:rsid w:val="140B02B7"/>
    <w:rsid w:val="146A7EE7"/>
    <w:rsid w:val="147A12C5"/>
    <w:rsid w:val="149471DA"/>
    <w:rsid w:val="150F6500"/>
    <w:rsid w:val="153378C7"/>
    <w:rsid w:val="16D84593"/>
    <w:rsid w:val="171602FE"/>
    <w:rsid w:val="171F62D2"/>
    <w:rsid w:val="172D7981"/>
    <w:rsid w:val="17B741D4"/>
    <w:rsid w:val="17E67000"/>
    <w:rsid w:val="184A0FFA"/>
    <w:rsid w:val="1A3A159F"/>
    <w:rsid w:val="1AFC29CC"/>
    <w:rsid w:val="1BDC0D17"/>
    <w:rsid w:val="1C0223D3"/>
    <w:rsid w:val="1CE503ED"/>
    <w:rsid w:val="1DAF558C"/>
    <w:rsid w:val="1DCB05B1"/>
    <w:rsid w:val="1F422183"/>
    <w:rsid w:val="1F833F34"/>
    <w:rsid w:val="206342DF"/>
    <w:rsid w:val="2118783C"/>
    <w:rsid w:val="2182694A"/>
    <w:rsid w:val="224375A7"/>
    <w:rsid w:val="23B622DF"/>
    <w:rsid w:val="23D60951"/>
    <w:rsid w:val="23E741F5"/>
    <w:rsid w:val="247447BB"/>
    <w:rsid w:val="24D83A21"/>
    <w:rsid w:val="25ED7CC0"/>
    <w:rsid w:val="2729343F"/>
    <w:rsid w:val="28C17886"/>
    <w:rsid w:val="293E610F"/>
    <w:rsid w:val="2A8B78C9"/>
    <w:rsid w:val="2BB25FC1"/>
    <w:rsid w:val="2BCB024B"/>
    <w:rsid w:val="2C555254"/>
    <w:rsid w:val="2C81563F"/>
    <w:rsid w:val="2CB600E8"/>
    <w:rsid w:val="2DAE5DCE"/>
    <w:rsid w:val="2F1C3EB2"/>
    <w:rsid w:val="2F3026EA"/>
    <w:rsid w:val="2FBB5C0E"/>
    <w:rsid w:val="2FCC1586"/>
    <w:rsid w:val="2FD11EFE"/>
    <w:rsid w:val="300D153D"/>
    <w:rsid w:val="310050A2"/>
    <w:rsid w:val="31271F59"/>
    <w:rsid w:val="31B957E0"/>
    <w:rsid w:val="32E44EF8"/>
    <w:rsid w:val="33402DCB"/>
    <w:rsid w:val="33541C82"/>
    <w:rsid w:val="34116BC5"/>
    <w:rsid w:val="3425147A"/>
    <w:rsid w:val="3427195C"/>
    <w:rsid w:val="36476C09"/>
    <w:rsid w:val="364C22A2"/>
    <w:rsid w:val="37155A30"/>
    <w:rsid w:val="371B40EE"/>
    <w:rsid w:val="37351006"/>
    <w:rsid w:val="380860DF"/>
    <w:rsid w:val="381F6F15"/>
    <w:rsid w:val="385C3CDB"/>
    <w:rsid w:val="38661B46"/>
    <w:rsid w:val="38AC490E"/>
    <w:rsid w:val="39111E53"/>
    <w:rsid w:val="39B1230D"/>
    <w:rsid w:val="3A940537"/>
    <w:rsid w:val="3DD74E57"/>
    <w:rsid w:val="3E423005"/>
    <w:rsid w:val="3EFF1387"/>
    <w:rsid w:val="3F420CC3"/>
    <w:rsid w:val="42E60C9D"/>
    <w:rsid w:val="43894AA3"/>
    <w:rsid w:val="43BA6F26"/>
    <w:rsid w:val="43C62738"/>
    <w:rsid w:val="448C1807"/>
    <w:rsid w:val="46AA3AA6"/>
    <w:rsid w:val="46FF18EA"/>
    <w:rsid w:val="4786151C"/>
    <w:rsid w:val="4870360F"/>
    <w:rsid w:val="49AC2BDE"/>
    <w:rsid w:val="4A5D0024"/>
    <w:rsid w:val="4A6B0C34"/>
    <w:rsid w:val="4B29036F"/>
    <w:rsid w:val="4BC334A7"/>
    <w:rsid w:val="4C97431D"/>
    <w:rsid w:val="4CD32070"/>
    <w:rsid w:val="4DA325FD"/>
    <w:rsid w:val="4E740A62"/>
    <w:rsid w:val="4F002297"/>
    <w:rsid w:val="50243463"/>
    <w:rsid w:val="50A1441F"/>
    <w:rsid w:val="51C667BF"/>
    <w:rsid w:val="51CC00E3"/>
    <w:rsid w:val="51CD0DE2"/>
    <w:rsid w:val="53343B38"/>
    <w:rsid w:val="54C42843"/>
    <w:rsid w:val="562B38A5"/>
    <w:rsid w:val="565C2199"/>
    <w:rsid w:val="583A62CF"/>
    <w:rsid w:val="58F033DB"/>
    <w:rsid w:val="597871F3"/>
    <w:rsid w:val="5A395B90"/>
    <w:rsid w:val="5AF33D51"/>
    <w:rsid w:val="5B552421"/>
    <w:rsid w:val="5CB85F49"/>
    <w:rsid w:val="5D0621B7"/>
    <w:rsid w:val="5E0B00DC"/>
    <w:rsid w:val="5E30022C"/>
    <w:rsid w:val="5F1217DB"/>
    <w:rsid w:val="5F7A695E"/>
    <w:rsid w:val="5FBB7730"/>
    <w:rsid w:val="5FC056A1"/>
    <w:rsid w:val="600F5604"/>
    <w:rsid w:val="60F25ABC"/>
    <w:rsid w:val="61226609"/>
    <w:rsid w:val="614B38A4"/>
    <w:rsid w:val="61735695"/>
    <w:rsid w:val="62DF40EC"/>
    <w:rsid w:val="63541D20"/>
    <w:rsid w:val="63B206AB"/>
    <w:rsid w:val="646336EB"/>
    <w:rsid w:val="64F90138"/>
    <w:rsid w:val="65413F4B"/>
    <w:rsid w:val="669B6D10"/>
    <w:rsid w:val="67227E43"/>
    <w:rsid w:val="674E4856"/>
    <w:rsid w:val="67792791"/>
    <w:rsid w:val="68574DA2"/>
    <w:rsid w:val="68EE53C1"/>
    <w:rsid w:val="6938733E"/>
    <w:rsid w:val="6BB2550C"/>
    <w:rsid w:val="6BD33241"/>
    <w:rsid w:val="6BF108D4"/>
    <w:rsid w:val="6C2369B8"/>
    <w:rsid w:val="6E4D687F"/>
    <w:rsid w:val="6F010199"/>
    <w:rsid w:val="72E17AB0"/>
    <w:rsid w:val="736A63B1"/>
    <w:rsid w:val="74ED0901"/>
    <w:rsid w:val="75D26222"/>
    <w:rsid w:val="76001EBA"/>
    <w:rsid w:val="762C7943"/>
    <w:rsid w:val="773825B0"/>
    <w:rsid w:val="77C233E2"/>
    <w:rsid w:val="78945A81"/>
    <w:rsid w:val="790A32F1"/>
    <w:rsid w:val="794114EF"/>
    <w:rsid w:val="7A3A61A0"/>
    <w:rsid w:val="7C5E7850"/>
    <w:rsid w:val="7C8E003C"/>
    <w:rsid w:val="7CEA54FC"/>
    <w:rsid w:val="7D08689B"/>
    <w:rsid w:val="7F826AFB"/>
    <w:rsid w:val="7FBC0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uiPriority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F2F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sid w:val="006B4F2F"/>
    <w:rPr>
      <w:sz w:val="18"/>
      <w:szCs w:val="18"/>
    </w:rPr>
  </w:style>
  <w:style w:type="paragraph" w:styleId="a4">
    <w:name w:val="footer"/>
    <w:basedOn w:val="a"/>
    <w:link w:val="Char0"/>
    <w:unhideWhenUsed/>
    <w:qFormat/>
    <w:rsid w:val="006B4F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nhideWhenUsed/>
    <w:qFormat/>
    <w:rsid w:val="006B4F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FollowedHyperlink"/>
    <w:basedOn w:val="a0"/>
    <w:uiPriority w:val="99"/>
    <w:unhideWhenUsed/>
    <w:qFormat/>
    <w:rsid w:val="006B4F2F"/>
    <w:rPr>
      <w:color w:val="800080"/>
      <w:u w:val="single"/>
    </w:rPr>
  </w:style>
  <w:style w:type="character" w:styleId="a7">
    <w:name w:val="Hyperlink"/>
    <w:basedOn w:val="a0"/>
    <w:uiPriority w:val="99"/>
    <w:unhideWhenUsed/>
    <w:qFormat/>
    <w:rsid w:val="006B4F2F"/>
    <w:rPr>
      <w:color w:val="0000FF"/>
      <w:u w:val="single"/>
    </w:rPr>
  </w:style>
  <w:style w:type="character" w:customStyle="1" w:styleId="Char1">
    <w:name w:val="页眉 Char"/>
    <w:basedOn w:val="a0"/>
    <w:link w:val="a5"/>
    <w:qFormat/>
    <w:rsid w:val="006B4F2F"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sid w:val="006B4F2F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6B4F2F"/>
    <w:rPr>
      <w:kern w:val="2"/>
      <w:sz w:val="18"/>
      <w:szCs w:val="18"/>
    </w:rPr>
  </w:style>
  <w:style w:type="paragraph" w:customStyle="1" w:styleId="15">
    <w:name w:val="样式15"/>
    <w:basedOn w:val="a"/>
    <w:link w:val="15Char"/>
    <w:qFormat/>
    <w:rsid w:val="006B4F2F"/>
    <w:pPr>
      <w:spacing w:line="360" w:lineRule="auto"/>
      <w:ind w:right="-58" w:firstLineChars="200" w:firstLine="640"/>
    </w:pPr>
    <w:rPr>
      <w:rFonts w:ascii="仿宋_GB2312" w:eastAsia="仿宋_GB2312" w:hAnsi="宋体"/>
      <w:sz w:val="32"/>
      <w:szCs w:val="32"/>
    </w:rPr>
  </w:style>
  <w:style w:type="character" w:customStyle="1" w:styleId="15Char">
    <w:name w:val="样式15 Char"/>
    <w:basedOn w:val="a0"/>
    <w:link w:val="15"/>
    <w:qFormat/>
    <w:rsid w:val="006B4F2F"/>
    <w:rPr>
      <w:rFonts w:ascii="仿宋_GB2312" w:eastAsia="仿宋_GB2312" w:hAnsi="宋体"/>
      <w:kern w:val="2"/>
      <w:sz w:val="32"/>
      <w:szCs w:val="32"/>
    </w:rPr>
  </w:style>
  <w:style w:type="paragraph" w:customStyle="1" w:styleId="font5">
    <w:name w:val="font5"/>
    <w:basedOn w:val="a"/>
    <w:qFormat/>
    <w:rsid w:val="006B4F2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qFormat/>
    <w:rsid w:val="006B4F2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65">
    <w:name w:val="xl65"/>
    <w:basedOn w:val="a"/>
    <w:qFormat/>
    <w:rsid w:val="006B4F2F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  <w:szCs w:val="24"/>
    </w:rPr>
  </w:style>
  <w:style w:type="paragraph" w:customStyle="1" w:styleId="xl66">
    <w:name w:val="xl66"/>
    <w:basedOn w:val="a"/>
    <w:qFormat/>
    <w:rsid w:val="006B4F2F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  <w:szCs w:val="24"/>
    </w:rPr>
  </w:style>
  <w:style w:type="paragraph" w:customStyle="1" w:styleId="xl67">
    <w:name w:val="xl67"/>
    <w:basedOn w:val="a"/>
    <w:qFormat/>
    <w:rsid w:val="006B4F2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cs="宋体"/>
      <w:color w:val="000000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767</Words>
  <Characters>4374</Characters>
  <Application>Microsoft Office Word</Application>
  <DocSecurity>0</DocSecurity>
  <Lines>36</Lines>
  <Paragraphs>10</Paragraphs>
  <ScaleCrop>false</ScaleCrop>
  <Company>Lenovo (Beijing) Limited</Company>
  <LinksUpToDate>false</LinksUpToDate>
  <CharactersWithSpaces>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xbany</cp:lastModifiedBy>
  <cp:revision>2</cp:revision>
  <cp:lastPrinted>2014-04-28T05:39:00Z</cp:lastPrinted>
  <dcterms:created xsi:type="dcterms:W3CDTF">2020-01-21T01:43:00Z</dcterms:created>
  <dcterms:modified xsi:type="dcterms:W3CDTF">2020-01-21T01:43:00Z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