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15874" w:type="dxa"/>
        <w:jc w:val="center"/>
        <w:tblInd w:w="-943" w:type="dxa"/>
        <w:tblLayout w:type="fixed"/>
        <w:tblCellMar>
          <w:top w:w="15" w:type="dxa"/>
          <w:left w:w="15" w:type="dxa"/>
          <w:bottom w:w="15" w:type="dxa"/>
          <w:right w:w="15" w:type="dxa"/>
        </w:tblCellMar>
      </w:tblPr>
      <w:tblGrid>
        <w:gridCol w:w="263"/>
        <w:gridCol w:w="679"/>
        <w:gridCol w:w="526"/>
        <w:gridCol w:w="778"/>
        <w:gridCol w:w="952"/>
        <w:gridCol w:w="1040"/>
        <w:gridCol w:w="821"/>
        <w:gridCol w:w="2263"/>
        <w:gridCol w:w="922"/>
        <w:gridCol w:w="918"/>
        <w:gridCol w:w="534"/>
        <w:gridCol w:w="1019"/>
        <w:gridCol w:w="1337"/>
        <w:gridCol w:w="2372"/>
        <w:gridCol w:w="758"/>
        <w:gridCol w:w="692"/>
      </w:tblGrid>
      <w:tr>
        <w:tblPrEx>
          <w:tblLayout w:type="fixed"/>
          <w:tblCellMar>
            <w:top w:w="15" w:type="dxa"/>
            <w:left w:w="15" w:type="dxa"/>
            <w:bottom w:w="15" w:type="dxa"/>
            <w:right w:w="15" w:type="dxa"/>
          </w:tblCellMar>
        </w:tblPrEx>
        <w:trPr>
          <w:trHeight w:val="1110" w:hRule="atLeast"/>
          <w:jc w:val="center"/>
        </w:trPr>
        <w:tc>
          <w:tcPr>
            <w:tcW w:w="15874" w:type="dxa"/>
            <w:gridSpan w:val="16"/>
            <w:tcBorders>
              <w:bottom w:val="single" w:color="000000" w:sz="4" w:space="0"/>
            </w:tcBorders>
            <w:shd w:val="clear" w:color="auto" w:fill="auto"/>
            <w:vAlign w:val="center"/>
          </w:tcPr>
          <w:p>
            <w:pPr>
              <w:widowControl/>
              <w:jc w:val="center"/>
              <w:textAlignment w:val="center"/>
              <w:rPr>
                <w:rFonts w:ascii="宋体" w:hAnsi="宋体" w:cs="宋体"/>
                <w:b/>
                <w:color w:val="000000"/>
                <w:sz w:val="32"/>
                <w:szCs w:val="32"/>
              </w:rPr>
            </w:pPr>
            <w:r>
              <w:rPr>
                <w:rFonts w:hint="eastAsia" w:ascii="宋体" w:hAnsi="宋体" w:cs="宋体"/>
                <w:b/>
                <w:color w:val="000000"/>
                <w:sz w:val="32"/>
                <w:szCs w:val="32"/>
                <w:lang w:bidi="ar"/>
              </w:rPr>
              <w:t>附件1：国能大柴旦</w:t>
            </w:r>
            <w:r>
              <w:rPr>
                <w:rStyle w:val="16"/>
                <w:rFonts w:hint="default"/>
                <w:lang w:bidi="ar"/>
              </w:rPr>
              <w:t xml:space="preserve">330kV升压站新建工程招标采购项目（招标编号:FWGC2204）招标需求一览表                       </w:t>
            </w:r>
          </w:p>
        </w:tc>
      </w:tr>
      <w:tr>
        <w:tblPrEx>
          <w:tblLayout w:type="fixed"/>
          <w:tblCellMar>
            <w:top w:w="15" w:type="dxa"/>
            <w:left w:w="15" w:type="dxa"/>
            <w:bottom w:w="15" w:type="dxa"/>
            <w:right w:w="15" w:type="dxa"/>
          </w:tblCellMar>
        </w:tblPrEx>
        <w:trPr>
          <w:trHeight w:val="1140" w:hRule="atLeast"/>
          <w:jc w:val="center"/>
        </w:trPr>
        <w:tc>
          <w:tcPr>
            <w:tcW w:w="2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序号</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分标编号     分标名称</w:t>
            </w:r>
          </w:p>
        </w:tc>
        <w:tc>
          <w:tcPr>
            <w:tcW w:w="52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包号</w:t>
            </w:r>
          </w:p>
        </w:tc>
        <w:tc>
          <w:tcPr>
            <w:tcW w:w="7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包名称</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项目单位</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 xml:space="preserve"> 服务采购申请文本（</w:t>
            </w:r>
            <w:r>
              <w:rPr>
                <w:rStyle w:val="17"/>
                <w:rFonts w:hint="default"/>
                <w:lang w:bidi="ar"/>
              </w:rPr>
              <w:t>项目名称</w:t>
            </w:r>
            <w:r>
              <w:rPr>
                <w:rStyle w:val="18"/>
                <w:rFonts w:hint="default"/>
                <w:lang w:bidi="ar"/>
              </w:rPr>
              <w:t>）</w:t>
            </w:r>
          </w:p>
        </w:tc>
        <w:tc>
          <w:tcPr>
            <w:tcW w:w="821" w:type="dxa"/>
            <w:tcBorders>
              <w:top w:val="single" w:color="000000" w:sz="4" w:space="0"/>
              <w:left w:val="single" w:color="000000" w:sz="4" w:space="0"/>
              <w:bottom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短文本（服务描述）</w:t>
            </w:r>
          </w:p>
        </w:tc>
        <w:tc>
          <w:tcPr>
            <w:tcW w:w="22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工程规</w:t>
            </w:r>
            <w:bookmarkStart w:id="0" w:name="_GoBack"/>
            <w:bookmarkEnd w:id="0"/>
            <w:r>
              <w:rPr>
                <w:rFonts w:hint="eastAsia" w:ascii="宋体" w:hAnsi="宋体" w:cs="宋体"/>
                <w:b/>
                <w:color w:val="000000"/>
                <w:sz w:val="20"/>
                <w:szCs w:val="20"/>
                <w:lang w:bidi="ar"/>
              </w:rPr>
              <w:t>模</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单项最高限价含税（万元）</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合计最高限价含税（万元）</w:t>
            </w:r>
          </w:p>
        </w:tc>
        <w:tc>
          <w:tcPr>
            <w:tcW w:w="534"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税率（%）</w:t>
            </w:r>
          </w:p>
        </w:tc>
        <w:tc>
          <w:tcPr>
            <w:tcW w:w="101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建设地点及承包方式</w:t>
            </w:r>
          </w:p>
        </w:tc>
        <w:tc>
          <w:tcPr>
            <w:tcW w:w="13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计划开工（开始）、竣工（完成、结束）日期</w:t>
            </w:r>
          </w:p>
        </w:tc>
        <w:tc>
          <w:tcPr>
            <w:tcW w:w="23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专用资质条件</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标书购买费（元）</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0"/>
                <w:szCs w:val="20"/>
              </w:rPr>
            </w:pPr>
            <w:r>
              <w:rPr>
                <w:rFonts w:hint="eastAsia" w:ascii="宋体" w:hAnsi="宋体" w:cs="宋体"/>
                <w:b/>
                <w:color w:val="000000"/>
                <w:sz w:val="20"/>
                <w:szCs w:val="20"/>
                <w:lang w:bidi="ar"/>
              </w:rPr>
              <w:t>备注</w:t>
            </w:r>
          </w:p>
        </w:tc>
      </w:tr>
      <w:tr>
        <w:tblPrEx>
          <w:tblLayout w:type="fixed"/>
          <w:tblCellMar>
            <w:top w:w="15" w:type="dxa"/>
            <w:left w:w="15" w:type="dxa"/>
            <w:bottom w:w="15" w:type="dxa"/>
            <w:right w:w="15" w:type="dxa"/>
          </w:tblCellMar>
        </w:tblPrEx>
        <w:trPr>
          <w:trHeight w:val="2836" w:hRule="atLeast"/>
          <w:jc w:val="center"/>
        </w:trPr>
        <w:tc>
          <w:tcPr>
            <w:tcW w:w="2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cs="Arial"/>
                <w:color w:val="000000"/>
                <w:sz w:val="20"/>
                <w:szCs w:val="20"/>
                <w:lang w:bidi="ar"/>
              </w:rPr>
              <w:t>1</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001-输变电工程施工</w:t>
            </w:r>
          </w:p>
        </w:tc>
        <w:tc>
          <w:tcPr>
            <w:tcW w:w="52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包1</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国能大柴旦330kV升压站新建工程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中国电力工程顾问集团西北电力设计院有限公司</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国能大柴旦330kV升压站新建工程</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输变电工程施工</w:t>
            </w:r>
          </w:p>
        </w:tc>
        <w:tc>
          <w:tcPr>
            <w:tcW w:w="22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招标范围为国能大柴旦330kV升压站新建工程的施工，以及对端鱼卡750kV变电站330kV间隔改造、安全稳定控制系统。包括但不限于建安工程施工、代保管、试验、调试、并网、试运行、验收、移交生产、性能质量保证、工程质量保修期内的服务等全部工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本次招标采用竞争性降幅比例(%)方式进行报价</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本次招标采用竞争性降幅比例(%)方式进行报价</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101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青海省海西州；固定总价。</w:t>
            </w:r>
          </w:p>
        </w:tc>
        <w:tc>
          <w:tcPr>
            <w:tcW w:w="13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计划开工日期：2022年7月30日；计划竣工日期：2022年12月20日。</w:t>
            </w:r>
          </w:p>
        </w:tc>
        <w:tc>
          <w:tcPr>
            <w:tcW w:w="23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中华人民共和国注册并具有独立法人资格，具有一般纳税人资格；具有国家有关部门颁发的电力工程施工总承包一级及以上资质或具有输变电工程专业承包一级及以上资质；并具有电力监管机构核发的《承装（修、试）电力设施许可证》，许可范围包含二级及以上承装、承修、承试；具有安全生产许可证并在有效期内；</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免费获取</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FF0000"/>
                <w:sz w:val="20"/>
                <w:szCs w:val="20"/>
              </w:rPr>
            </w:pPr>
          </w:p>
        </w:tc>
      </w:tr>
    </w:tbl>
    <w:p>
      <w:pPr>
        <w:rPr>
          <w:rFonts w:ascii="仿宋" w:hAnsi="仿宋" w:eastAsia="仿宋" w:cs="Calibri"/>
        </w:rPr>
      </w:pPr>
    </w:p>
    <w:p>
      <w:pPr>
        <w:pStyle w:val="2"/>
      </w:pPr>
    </w:p>
    <w:sectPr>
      <w:pgSz w:w="16838" w:h="11906" w:orient="landscape"/>
      <w:pgMar w:top="1803" w:right="1440" w:bottom="1803" w:left="1440" w:header="851" w:footer="992" w:gutter="0"/>
      <w:cols w:space="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cumentProtection w:enforcement="0"/>
  <w:defaultTabStop w:val="420"/>
  <w:drawingGridVerticalSpacing w:val="166"/>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128"/>
    <w:rsid w:val="000A0CCD"/>
    <w:rsid w:val="001808BF"/>
    <w:rsid w:val="002C5128"/>
    <w:rsid w:val="00372E79"/>
    <w:rsid w:val="005C1E1D"/>
    <w:rsid w:val="005E46C8"/>
    <w:rsid w:val="00612912"/>
    <w:rsid w:val="00630B36"/>
    <w:rsid w:val="00776BC9"/>
    <w:rsid w:val="0092077A"/>
    <w:rsid w:val="00952BB0"/>
    <w:rsid w:val="00AA2D51"/>
    <w:rsid w:val="00B75A45"/>
    <w:rsid w:val="00CD0767"/>
    <w:rsid w:val="00DE3B13"/>
    <w:rsid w:val="00F146EF"/>
    <w:rsid w:val="01C57121"/>
    <w:rsid w:val="0296287F"/>
    <w:rsid w:val="02BF152A"/>
    <w:rsid w:val="034A0DE5"/>
    <w:rsid w:val="044A02EA"/>
    <w:rsid w:val="056440D3"/>
    <w:rsid w:val="067D651F"/>
    <w:rsid w:val="06D754E1"/>
    <w:rsid w:val="07B47EF7"/>
    <w:rsid w:val="07BE5813"/>
    <w:rsid w:val="08045ED5"/>
    <w:rsid w:val="09CB1E16"/>
    <w:rsid w:val="0AD42C72"/>
    <w:rsid w:val="0BA20A2F"/>
    <w:rsid w:val="0CA75070"/>
    <w:rsid w:val="0D6827AC"/>
    <w:rsid w:val="0E443BBB"/>
    <w:rsid w:val="0F9730E8"/>
    <w:rsid w:val="0FD165CF"/>
    <w:rsid w:val="100E77C4"/>
    <w:rsid w:val="1098639D"/>
    <w:rsid w:val="11A5272E"/>
    <w:rsid w:val="11B935AD"/>
    <w:rsid w:val="128B5FE8"/>
    <w:rsid w:val="156A43DE"/>
    <w:rsid w:val="15E74AD2"/>
    <w:rsid w:val="1642374F"/>
    <w:rsid w:val="16864F74"/>
    <w:rsid w:val="16925498"/>
    <w:rsid w:val="17866E13"/>
    <w:rsid w:val="17991369"/>
    <w:rsid w:val="179E7393"/>
    <w:rsid w:val="18CE489F"/>
    <w:rsid w:val="1B0F6F83"/>
    <w:rsid w:val="1B706DB1"/>
    <w:rsid w:val="1C220BD6"/>
    <w:rsid w:val="1C7E5730"/>
    <w:rsid w:val="1D2C3BAB"/>
    <w:rsid w:val="1D5B245D"/>
    <w:rsid w:val="1DB90D09"/>
    <w:rsid w:val="1E5E3EC3"/>
    <w:rsid w:val="1E937204"/>
    <w:rsid w:val="1ED81CCF"/>
    <w:rsid w:val="1F054F9C"/>
    <w:rsid w:val="1F184524"/>
    <w:rsid w:val="1F73027B"/>
    <w:rsid w:val="21DE6B61"/>
    <w:rsid w:val="251D3DCB"/>
    <w:rsid w:val="25495004"/>
    <w:rsid w:val="255473F6"/>
    <w:rsid w:val="255C5F19"/>
    <w:rsid w:val="2670050C"/>
    <w:rsid w:val="27D12160"/>
    <w:rsid w:val="2CA4110C"/>
    <w:rsid w:val="2CB21B65"/>
    <w:rsid w:val="2E51482B"/>
    <w:rsid w:val="2F047F39"/>
    <w:rsid w:val="2F265501"/>
    <w:rsid w:val="2F943EB5"/>
    <w:rsid w:val="2FB97D84"/>
    <w:rsid w:val="3019591E"/>
    <w:rsid w:val="30685156"/>
    <w:rsid w:val="31E200EE"/>
    <w:rsid w:val="32071555"/>
    <w:rsid w:val="32100F8E"/>
    <w:rsid w:val="321E4A56"/>
    <w:rsid w:val="337267D4"/>
    <w:rsid w:val="34241DEB"/>
    <w:rsid w:val="34E13201"/>
    <w:rsid w:val="36070A20"/>
    <w:rsid w:val="3706461E"/>
    <w:rsid w:val="376F56BA"/>
    <w:rsid w:val="378737C6"/>
    <w:rsid w:val="37DF3A14"/>
    <w:rsid w:val="38237B59"/>
    <w:rsid w:val="38C60EAD"/>
    <w:rsid w:val="397161CE"/>
    <w:rsid w:val="3AF011DA"/>
    <w:rsid w:val="3BA64B40"/>
    <w:rsid w:val="3C151892"/>
    <w:rsid w:val="3C323C8D"/>
    <w:rsid w:val="3CBE08A2"/>
    <w:rsid w:val="3D441281"/>
    <w:rsid w:val="3E343E25"/>
    <w:rsid w:val="3EB86269"/>
    <w:rsid w:val="3F004888"/>
    <w:rsid w:val="3F394E24"/>
    <w:rsid w:val="3F8E3FD7"/>
    <w:rsid w:val="3FB57F8E"/>
    <w:rsid w:val="402F0B33"/>
    <w:rsid w:val="40542C05"/>
    <w:rsid w:val="413277C6"/>
    <w:rsid w:val="41D651B0"/>
    <w:rsid w:val="42FE550C"/>
    <w:rsid w:val="43591CE0"/>
    <w:rsid w:val="43C42BDC"/>
    <w:rsid w:val="440B55DE"/>
    <w:rsid w:val="4475381C"/>
    <w:rsid w:val="460E55F0"/>
    <w:rsid w:val="4776139B"/>
    <w:rsid w:val="4A792784"/>
    <w:rsid w:val="4C833750"/>
    <w:rsid w:val="4EA71BA8"/>
    <w:rsid w:val="4EF50A07"/>
    <w:rsid w:val="514551E6"/>
    <w:rsid w:val="51FE5D05"/>
    <w:rsid w:val="52C3361D"/>
    <w:rsid w:val="5404129D"/>
    <w:rsid w:val="544C5DFD"/>
    <w:rsid w:val="54672EEB"/>
    <w:rsid w:val="55AF6E7F"/>
    <w:rsid w:val="55C03CFF"/>
    <w:rsid w:val="58C17FAA"/>
    <w:rsid w:val="59B663D7"/>
    <w:rsid w:val="59C53775"/>
    <w:rsid w:val="5A3568C7"/>
    <w:rsid w:val="5B2529A2"/>
    <w:rsid w:val="5C8F2AD8"/>
    <w:rsid w:val="5D0204C9"/>
    <w:rsid w:val="5D86025F"/>
    <w:rsid w:val="5F70220D"/>
    <w:rsid w:val="5F7C75D0"/>
    <w:rsid w:val="610419CB"/>
    <w:rsid w:val="612C7DDA"/>
    <w:rsid w:val="61CD7BAE"/>
    <w:rsid w:val="61F016E5"/>
    <w:rsid w:val="628A7414"/>
    <w:rsid w:val="64497204"/>
    <w:rsid w:val="65A01968"/>
    <w:rsid w:val="65CB372B"/>
    <w:rsid w:val="67021167"/>
    <w:rsid w:val="670F23F6"/>
    <w:rsid w:val="68555B36"/>
    <w:rsid w:val="68AB119D"/>
    <w:rsid w:val="68EA00E5"/>
    <w:rsid w:val="69CC0BBA"/>
    <w:rsid w:val="6A0969A1"/>
    <w:rsid w:val="6B7D133D"/>
    <w:rsid w:val="6BBD5624"/>
    <w:rsid w:val="6C0F428D"/>
    <w:rsid w:val="6C627F29"/>
    <w:rsid w:val="6CB65D19"/>
    <w:rsid w:val="6CBD04D8"/>
    <w:rsid w:val="6D275537"/>
    <w:rsid w:val="6D591FDF"/>
    <w:rsid w:val="6DEC4C25"/>
    <w:rsid w:val="70231DEF"/>
    <w:rsid w:val="707C35DA"/>
    <w:rsid w:val="71B172B9"/>
    <w:rsid w:val="71E14307"/>
    <w:rsid w:val="721315DA"/>
    <w:rsid w:val="7465630B"/>
    <w:rsid w:val="74CB23DB"/>
    <w:rsid w:val="769C0803"/>
    <w:rsid w:val="76A47439"/>
    <w:rsid w:val="76C4338D"/>
    <w:rsid w:val="77E56E56"/>
    <w:rsid w:val="77FB1219"/>
    <w:rsid w:val="78E661F4"/>
    <w:rsid w:val="793F11FC"/>
    <w:rsid w:val="79826278"/>
    <w:rsid w:val="79C4473B"/>
    <w:rsid w:val="79F8515C"/>
    <w:rsid w:val="7A871C97"/>
    <w:rsid w:val="7AA334F2"/>
    <w:rsid w:val="7AC92770"/>
    <w:rsid w:val="7BAA6B38"/>
    <w:rsid w:val="7C4C31AA"/>
    <w:rsid w:val="7E7B6962"/>
    <w:rsid w:val="7F6057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Calibri" w:hAnsi="Calibri" w:eastAsia="宋体" w:cs="Times New Roman"/>
      <w:sz w:val="24"/>
      <w:szCs w:val="24"/>
      <w:lang w:val="en-US" w:eastAsia="zh-CN" w:bidi="ar-SA"/>
    </w:rPr>
  </w:style>
  <w:style w:type="paragraph" w:styleId="3">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2">
    <w:name w:val="heading 4"/>
    <w:basedOn w:val="1"/>
    <w:next w:val="1"/>
    <w:link w:val="1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5">
    <w:name w:val="Balloon Text"/>
    <w:basedOn w:val="1"/>
    <w:link w:val="19"/>
    <w:unhideWhenUsed/>
    <w:qFormat/>
    <w:uiPriority w:val="99"/>
    <w:rPr>
      <w:sz w:val="18"/>
      <w:szCs w:val="18"/>
    </w:rPr>
  </w:style>
  <w:style w:type="paragraph" w:styleId="6">
    <w:name w:val="footer"/>
    <w:basedOn w:val="1"/>
    <w:link w:val="12"/>
    <w:unhideWhenUsed/>
    <w:qFormat/>
    <w:uiPriority w:val="99"/>
    <w:pPr>
      <w:tabs>
        <w:tab w:val="center" w:pos="4153"/>
        <w:tab w:val="right" w:pos="8306"/>
      </w:tabs>
      <w:snapToGrid w:val="0"/>
    </w:pPr>
    <w:rPr>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Hyperlink"/>
    <w:qFormat/>
    <w:uiPriority w:val="99"/>
    <w:rPr>
      <w:color w:val="0000FF"/>
      <w:u w:val="single"/>
    </w:rPr>
  </w:style>
  <w:style w:type="character" w:customStyle="1" w:styleId="11">
    <w:name w:val="页眉 Char"/>
    <w:basedOn w:val="8"/>
    <w:link w:val="7"/>
    <w:qFormat/>
    <w:uiPriority w:val="99"/>
    <w:rPr>
      <w:sz w:val="18"/>
      <w:szCs w:val="18"/>
    </w:rPr>
  </w:style>
  <w:style w:type="character" w:customStyle="1" w:styleId="12">
    <w:name w:val="页脚 Char"/>
    <w:basedOn w:val="8"/>
    <w:link w:val="6"/>
    <w:qFormat/>
    <w:uiPriority w:val="99"/>
    <w:rPr>
      <w:sz w:val="18"/>
      <w:szCs w:val="18"/>
    </w:rPr>
  </w:style>
  <w:style w:type="character" w:customStyle="1" w:styleId="13">
    <w:name w:val="标题 4 Char"/>
    <w:basedOn w:val="8"/>
    <w:link w:val="2"/>
    <w:semiHidden/>
    <w:qFormat/>
    <w:uiPriority w:val="9"/>
    <w:rPr>
      <w:rFonts w:asciiTheme="majorHAnsi" w:hAnsiTheme="majorHAnsi" w:eastAsiaTheme="majorEastAsia" w:cstheme="majorBidi"/>
      <w:b/>
      <w:bCs/>
      <w:kern w:val="0"/>
      <w:sz w:val="28"/>
      <w:szCs w:val="28"/>
    </w:rPr>
  </w:style>
  <w:style w:type="character" w:customStyle="1" w:styleId="14">
    <w:name w:val="标题 1 Char"/>
    <w:basedOn w:val="8"/>
    <w:link w:val="3"/>
    <w:qFormat/>
    <w:uiPriority w:val="9"/>
    <w:rPr>
      <w:rFonts w:ascii="Calibri" w:hAnsi="Calibri" w:eastAsia="宋体" w:cs="Times New Roman"/>
      <w:b/>
      <w:bCs/>
      <w:kern w:val="44"/>
      <w:sz w:val="44"/>
      <w:szCs w:val="44"/>
    </w:rPr>
  </w:style>
  <w:style w:type="character" w:customStyle="1" w:styleId="15">
    <w:name w:val="标题 2 Char"/>
    <w:basedOn w:val="8"/>
    <w:link w:val="4"/>
    <w:semiHidden/>
    <w:qFormat/>
    <w:uiPriority w:val="9"/>
    <w:rPr>
      <w:rFonts w:asciiTheme="majorHAnsi" w:hAnsiTheme="majorHAnsi" w:eastAsiaTheme="majorEastAsia" w:cstheme="majorBidi"/>
      <w:b/>
      <w:bCs/>
      <w:kern w:val="0"/>
      <w:sz w:val="32"/>
      <w:szCs w:val="32"/>
    </w:rPr>
  </w:style>
  <w:style w:type="character" w:customStyle="1" w:styleId="16">
    <w:name w:val="font31"/>
    <w:basedOn w:val="8"/>
    <w:qFormat/>
    <w:uiPriority w:val="0"/>
    <w:rPr>
      <w:rFonts w:hint="eastAsia" w:ascii="宋体" w:hAnsi="宋体" w:eastAsia="宋体" w:cs="宋体"/>
      <w:b/>
      <w:color w:val="000000"/>
      <w:sz w:val="32"/>
      <w:szCs w:val="32"/>
      <w:u w:val="none"/>
    </w:rPr>
  </w:style>
  <w:style w:type="character" w:customStyle="1" w:styleId="17">
    <w:name w:val="font01"/>
    <w:basedOn w:val="8"/>
    <w:qFormat/>
    <w:uiPriority w:val="0"/>
    <w:rPr>
      <w:rFonts w:hint="eastAsia" w:ascii="宋体" w:hAnsi="宋体" w:eastAsia="宋体" w:cs="宋体"/>
      <w:b/>
      <w:color w:val="000000"/>
      <w:sz w:val="20"/>
      <w:szCs w:val="20"/>
      <w:u w:val="none"/>
    </w:rPr>
  </w:style>
  <w:style w:type="character" w:customStyle="1" w:styleId="18">
    <w:name w:val="font21"/>
    <w:basedOn w:val="8"/>
    <w:qFormat/>
    <w:uiPriority w:val="0"/>
    <w:rPr>
      <w:rFonts w:hint="eastAsia" w:ascii="宋体" w:hAnsi="宋体" w:eastAsia="宋体" w:cs="宋体"/>
      <w:b/>
      <w:color w:val="000000"/>
      <w:sz w:val="20"/>
      <w:szCs w:val="20"/>
      <w:u w:val="none"/>
    </w:rPr>
  </w:style>
  <w:style w:type="character" w:customStyle="1" w:styleId="19">
    <w:name w:val="批注框文本 Char"/>
    <w:basedOn w:val="8"/>
    <w:link w:val="5"/>
    <w:semiHidden/>
    <w:qFormat/>
    <w:uiPriority w:val="99"/>
    <w:rPr>
      <w:rFonts w:ascii="Calibri" w:hAnsi="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839</Words>
  <Characters>4783</Characters>
  <Lines>39</Lines>
  <Paragraphs>11</Paragraphs>
  <TotalTime>63</TotalTime>
  <ScaleCrop>false</ScaleCrop>
  <LinksUpToDate>false</LinksUpToDate>
  <CharactersWithSpaces>5611</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2022-07-04T00:59:00Z</dcterms:created>
  <dc:creator>李怡慧</dc:creator>
  <cp:lastModifiedBy>Administrator</cp:lastModifiedBy>
  <dcterms:modified xsi:type="dcterms:W3CDTF">2022-07-05T06:36:07Z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