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97"/>
        <w:gridCol w:w="505"/>
        <w:gridCol w:w="845"/>
        <w:gridCol w:w="818"/>
        <w:gridCol w:w="382"/>
        <w:gridCol w:w="1064"/>
        <w:gridCol w:w="1050"/>
        <w:gridCol w:w="927"/>
        <w:gridCol w:w="1391"/>
        <w:gridCol w:w="614"/>
        <w:gridCol w:w="750"/>
        <w:gridCol w:w="1145"/>
        <w:gridCol w:w="1173"/>
        <w:gridCol w:w="2330"/>
        <w:gridCol w:w="933"/>
        <w:gridCol w:w="953"/>
        <w:gridCol w:w="5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trPr>
        <w:tc>
          <w:tcPr>
            <w:tcW w:w="15900" w:type="dxa"/>
            <w:gridSpan w:val="17"/>
            <w:tcBorders>
              <w:top w:val="nil"/>
              <w:left w:val="nil"/>
              <w:bottom w:val="nil"/>
              <w:right w:val="nil"/>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bookmarkStart w:id="0" w:name="_GoBack"/>
            <w:r>
              <w:rPr>
                <w:rFonts w:hint="eastAsia" w:ascii="宋体" w:hAnsi="宋体" w:eastAsia="宋体" w:cs="宋体"/>
                <w:b/>
                <w:i w:val="0"/>
                <w:color w:val="000000"/>
                <w:kern w:val="0"/>
                <w:sz w:val="28"/>
                <w:szCs w:val="28"/>
                <w:u w:val="none"/>
                <w:lang w:val="en-US" w:eastAsia="zh-CN" w:bidi="ar"/>
              </w:rPr>
              <w:t>附件1</w:t>
            </w:r>
            <w:bookmarkEnd w:id="0"/>
            <w:r>
              <w:rPr>
                <w:rFonts w:hint="eastAsia" w:ascii="宋体" w:hAnsi="宋体" w:eastAsia="宋体" w:cs="宋体"/>
                <w:b/>
                <w:i w:val="0"/>
                <w:color w:val="000000"/>
                <w:kern w:val="0"/>
                <w:sz w:val="28"/>
                <w:szCs w:val="28"/>
                <w:u w:val="none"/>
                <w:lang w:val="en-US" w:eastAsia="zh-CN" w:bidi="ar"/>
              </w:rPr>
              <w:t>：国网青海省电力公司2021年第四次服务竞争性谈判采购项目（采购编号：282148）采购需求一览表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20" w:hRule="atLeast"/>
        </w:trPr>
        <w:tc>
          <w:tcPr>
            <w:tcW w:w="4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采购申请</w:t>
            </w:r>
          </w:p>
        </w:tc>
        <w:tc>
          <w:tcPr>
            <w:tcW w:w="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行项目</w:t>
            </w:r>
          </w:p>
        </w:tc>
        <w:tc>
          <w:tcPr>
            <w:tcW w:w="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分标编号</w:t>
            </w:r>
          </w:p>
        </w:tc>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分标名称</w:t>
            </w:r>
          </w:p>
        </w:tc>
        <w:tc>
          <w:tcPr>
            <w:tcW w:w="3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包号</w:t>
            </w:r>
          </w:p>
        </w:tc>
        <w:tc>
          <w:tcPr>
            <w:tcW w:w="10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包名称</w:t>
            </w: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项目名称</w:t>
            </w: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技术规范书ID</w:t>
            </w:r>
          </w:p>
        </w:tc>
        <w:tc>
          <w:tcPr>
            <w:tcW w:w="13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工程规模</w:t>
            </w:r>
          </w:p>
        </w:tc>
        <w:tc>
          <w:tcPr>
            <w:tcW w:w="6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网省所属单位</w:t>
            </w:r>
          </w:p>
        </w:tc>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业务管理归口部门</w:t>
            </w:r>
          </w:p>
        </w:tc>
        <w:tc>
          <w:tcPr>
            <w:tcW w:w="11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分项最高限价（万元）     (不含税)</w:t>
            </w:r>
          </w:p>
        </w:tc>
        <w:tc>
          <w:tcPr>
            <w:tcW w:w="11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合计最高限价（万元）     （不含税）</w:t>
            </w:r>
          </w:p>
        </w:tc>
        <w:tc>
          <w:tcPr>
            <w:tcW w:w="2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专业资质要求</w:t>
            </w:r>
          </w:p>
        </w:tc>
        <w:tc>
          <w:tcPr>
            <w:tcW w:w="9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建设地点及承包方式</w:t>
            </w:r>
          </w:p>
        </w:tc>
        <w:tc>
          <w:tcPr>
            <w:tcW w:w="9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设计施工监理工期</w:t>
            </w:r>
          </w:p>
        </w:tc>
        <w:tc>
          <w:tcPr>
            <w:tcW w:w="5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标书费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20" w:hRule="atLeast"/>
        </w:trPr>
        <w:tc>
          <w:tcPr>
            <w:tcW w:w="4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0710311100</w:t>
            </w:r>
          </w:p>
        </w:tc>
        <w:tc>
          <w:tcPr>
            <w:tcW w:w="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00010</w:t>
            </w:r>
          </w:p>
        </w:tc>
        <w:tc>
          <w:tcPr>
            <w:tcW w:w="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282148-9001001-0101</w:t>
            </w:r>
          </w:p>
        </w:tc>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可研设计一体化</w:t>
            </w:r>
          </w:p>
        </w:tc>
        <w:tc>
          <w:tcPr>
            <w:tcW w:w="3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10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红旗#5汇集站330千伏送出线路工程可研设计一体化</w:t>
            </w: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红旗#5汇集站330千伏送出线路工程可研设计一体化</w:t>
            </w: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B00H-300004947-00016</w:t>
            </w:r>
          </w:p>
        </w:tc>
        <w:tc>
          <w:tcPr>
            <w:tcW w:w="13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红旗#5汇集站330千伏送出线路工程，拟建330千伏送出线路10公里。</w:t>
            </w:r>
          </w:p>
        </w:tc>
        <w:tc>
          <w:tcPr>
            <w:tcW w:w="6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经研院</w:t>
            </w:r>
          </w:p>
        </w:tc>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发展部</w:t>
            </w:r>
          </w:p>
        </w:tc>
        <w:tc>
          <w:tcPr>
            <w:tcW w:w="11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73.96（其中可研费13.58万元，勘察设计费60.38万元（含三维设计费6.03万元））</w:t>
            </w:r>
          </w:p>
        </w:tc>
        <w:tc>
          <w:tcPr>
            <w:tcW w:w="11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73.96（其中可研费13.58万元，勘察设计费60.38万元（含三维设计费6.03万元））</w:t>
            </w:r>
          </w:p>
        </w:tc>
        <w:tc>
          <w:tcPr>
            <w:tcW w:w="2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中华人民共和国境内依法注册的企业法人或其它组织，具有工程咨询甲级资信及以上或工程咨询甲级及以上企业资质，并具有输变电工程设计甲级及以上和勘察（含岩土工程、工程测量）甲级及以上企业资质。</w:t>
            </w:r>
          </w:p>
        </w:tc>
        <w:tc>
          <w:tcPr>
            <w:tcW w:w="9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青海省西宁市；总价承包</w:t>
            </w:r>
          </w:p>
        </w:tc>
        <w:tc>
          <w:tcPr>
            <w:tcW w:w="9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开始时间：2021年12月7日，结束时间2022年2月7日</w:t>
            </w:r>
          </w:p>
        </w:tc>
        <w:tc>
          <w:tcPr>
            <w:tcW w:w="5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60" w:hRule="atLeast"/>
        </w:trPr>
        <w:tc>
          <w:tcPr>
            <w:tcW w:w="4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0710310844</w:t>
            </w:r>
          </w:p>
        </w:tc>
        <w:tc>
          <w:tcPr>
            <w:tcW w:w="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00010</w:t>
            </w:r>
          </w:p>
        </w:tc>
        <w:tc>
          <w:tcPr>
            <w:tcW w:w="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282148-9001002-0101</w:t>
            </w:r>
          </w:p>
        </w:tc>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施工（基建35kV及以上）</w:t>
            </w:r>
          </w:p>
        </w:tc>
        <w:tc>
          <w:tcPr>
            <w:tcW w:w="3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10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Style w:val="8"/>
                <w:lang w:val="en-US" w:eastAsia="zh-CN" w:bidi="ar"/>
              </w:rPr>
              <w:t>青海海西</w:t>
            </w:r>
            <w:r>
              <w:rPr>
                <w:rFonts w:ascii="Arial" w:hAnsi="Arial" w:eastAsia="宋体" w:cs="Arial"/>
                <w:i w:val="0"/>
                <w:color w:val="000000"/>
                <w:kern w:val="0"/>
                <w:sz w:val="16"/>
                <w:szCs w:val="16"/>
                <w:u w:val="none"/>
                <w:lang w:val="en-US" w:eastAsia="zh-CN" w:bidi="ar"/>
              </w:rPr>
              <w:t>110</w:t>
            </w:r>
            <w:r>
              <w:rPr>
                <w:rFonts w:hint="eastAsia" w:ascii="宋体" w:hAnsi="宋体" w:eastAsia="宋体" w:cs="宋体"/>
                <w:i w:val="0"/>
                <w:color w:val="000000"/>
                <w:kern w:val="0"/>
                <w:sz w:val="16"/>
                <w:szCs w:val="16"/>
                <w:u w:val="none"/>
                <w:lang w:val="en-US" w:eastAsia="zh-CN" w:bidi="ar"/>
              </w:rPr>
              <w:t>千伏渔水河变</w:t>
            </w:r>
            <w:r>
              <w:rPr>
                <w:rFonts w:ascii="Arial" w:hAnsi="Arial" w:eastAsia="宋体" w:cs="Arial"/>
                <w:i w:val="0"/>
                <w:color w:val="000000"/>
                <w:kern w:val="0"/>
                <w:sz w:val="16"/>
                <w:szCs w:val="16"/>
                <w:u w:val="none"/>
                <w:lang w:val="en-US" w:eastAsia="zh-CN" w:bidi="ar"/>
              </w:rPr>
              <w:t>35</w:t>
            </w:r>
            <w:r>
              <w:rPr>
                <w:rFonts w:hint="eastAsia" w:ascii="宋体" w:hAnsi="宋体" w:eastAsia="宋体" w:cs="宋体"/>
                <w:i w:val="0"/>
                <w:color w:val="000000"/>
                <w:kern w:val="0"/>
                <w:sz w:val="16"/>
                <w:szCs w:val="16"/>
                <w:u w:val="none"/>
                <w:lang w:val="en-US" w:eastAsia="zh-CN" w:bidi="ar"/>
              </w:rPr>
              <w:t>千伏间隔扩建工程施工</w:t>
            </w: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Style w:val="8"/>
                <w:lang w:val="en-US" w:eastAsia="zh-CN" w:bidi="ar"/>
              </w:rPr>
              <w:t>青海海西</w:t>
            </w:r>
            <w:r>
              <w:rPr>
                <w:rFonts w:ascii="Arial" w:hAnsi="Arial" w:eastAsia="宋体" w:cs="Arial"/>
                <w:i w:val="0"/>
                <w:color w:val="000000"/>
                <w:kern w:val="0"/>
                <w:sz w:val="16"/>
                <w:szCs w:val="16"/>
                <w:u w:val="none"/>
                <w:lang w:val="en-US" w:eastAsia="zh-CN" w:bidi="ar"/>
              </w:rPr>
              <w:t>110</w:t>
            </w:r>
            <w:r>
              <w:rPr>
                <w:rFonts w:hint="eastAsia" w:ascii="宋体" w:hAnsi="宋体" w:eastAsia="宋体" w:cs="宋体"/>
                <w:i w:val="0"/>
                <w:color w:val="000000"/>
                <w:kern w:val="0"/>
                <w:sz w:val="16"/>
                <w:szCs w:val="16"/>
                <w:u w:val="none"/>
                <w:lang w:val="en-US" w:eastAsia="zh-CN" w:bidi="ar"/>
              </w:rPr>
              <w:t>千伏渔水河变</w:t>
            </w:r>
            <w:r>
              <w:rPr>
                <w:rFonts w:ascii="Arial" w:hAnsi="Arial" w:eastAsia="宋体" w:cs="Arial"/>
                <w:i w:val="0"/>
                <w:color w:val="000000"/>
                <w:kern w:val="0"/>
                <w:sz w:val="16"/>
                <w:szCs w:val="16"/>
                <w:u w:val="none"/>
                <w:lang w:val="en-US" w:eastAsia="zh-CN" w:bidi="ar"/>
              </w:rPr>
              <w:t>35</w:t>
            </w:r>
            <w:r>
              <w:rPr>
                <w:rFonts w:hint="eastAsia" w:ascii="宋体" w:hAnsi="宋体" w:eastAsia="宋体" w:cs="宋体"/>
                <w:i w:val="0"/>
                <w:color w:val="000000"/>
                <w:kern w:val="0"/>
                <w:sz w:val="16"/>
                <w:szCs w:val="16"/>
                <w:u w:val="none"/>
                <w:lang w:val="en-US" w:eastAsia="zh-CN" w:bidi="ar"/>
              </w:rPr>
              <w:t>千伏间隔扩建工程</w:t>
            </w: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B7YN-300000395-00003</w:t>
            </w:r>
          </w:p>
        </w:tc>
        <w:tc>
          <w:tcPr>
            <w:tcW w:w="13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扩建110KV渔水河变35KV间隔2个</w:t>
            </w:r>
          </w:p>
        </w:tc>
        <w:tc>
          <w:tcPr>
            <w:tcW w:w="6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海西供电公司</w:t>
            </w:r>
          </w:p>
        </w:tc>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设备部</w:t>
            </w:r>
          </w:p>
        </w:tc>
        <w:tc>
          <w:tcPr>
            <w:tcW w:w="11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20.71（含安全文明施工费0.5万元）</w:t>
            </w:r>
          </w:p>
        </w:tc>
        <w:tc>
          <w:tcPr>
            <w:tcW w:w="11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20.71（含安全文明施工费0.5万元）</w:t>
            </w:r>
          </w:p>
        </w:tc>
        <w:tc>
          <w:tcPr>
            <w:tcW w:w="2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机内依法注册的企业法人或其他组织，具有中华人民共和国住房和城乡建设部颁发的电力工程施工总承包三级或输变电工程专业承包三级资质，并具有电力监管机构核发的《承装（试）电力设施许可证》四级资质，许可范围包括承装、承试。</w:t>
            </w:r>
          </w:p>
        </w:tc>
        <w:tc>
          <w:tcPr>
            <w:tcW w:w="9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青海省海西州格尔木市；工程量清单计价</w:t>
            </w:r>
          </w:p>
        </w:tc>
        <w:tc>
          <w:tcPr>
            <w:tcW w:w="9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开始时间：2021年11月19日，竣工时间：2022年12月31日</w:t>
            </w:r>
          </w:p>
        </w:tc>
        <w:tc>
          <w:tcPr>
            <w:tcW w:w="5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80" w:hRule="atLeast"/>
        </w:trPr>
        <w:tc>
          <w:tcPr>
            <w:tcW w:w="4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0710310799</w:t>
            </w:r>
          </w:p>
        </w:tc>
        <w:tc>
          <w:tcPr>
            <w:tcW w:w="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00010</w:t>
            </w:r>
          </w:p>
        </w:tc>
        <w:tc>
          <w:tcPr>
            <w:tcW w:w="8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282148-9003002-0001</w:t>
            </w:r>
          </w:p>
        </w:tc>
        <w:tc>
          <w:tcPr>
            <w:tcW w:w="8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服务（运维实施）</w:t>
            </w:r>
          </w:p>
        </w:tc>
        <w:tc>
          <w:tcPr>
            <w:tcW w:w="3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10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Style w:val="8"/>
                <w:lang w:val="en-US" w:eastAsia="zh-CN" w:bidi="ar"/>
              </w:rPr>
              <w:t>国网青海省电力公司</w:t>
            </w:r>
            <w:r>
              <w:rPr>
                <w:rFonts w:ascii="Arial" w:hAnsi="Arial" w:eastAsia="宋体" w:cs="Arial"/>
                <w:i w:val="0"/>
                <w:color w:val="000000"/>
                <w:kern w:val="0"/>
                <w:sz w:val="16"/>
                <w:szCs w:val="16"/>
                <w:u w:val="none"/>
                <w:lang w:val="en-US" w:eastAsia="zh-CN" w:bidi="ar"/>
              </w:rPr>
              <w:t>2021</w:t>
            </w:r>
            <w:r>
              <w:rPr>
                <w:rFonts w:hint="eastAsia" w:ascii="宋体" w:hAnsi="宋体" w:eastAsia="宋体" w:cs="宋体"/>
                <w:i w:val="0"/>
                <w:color w:val="000000"/>
                <w:kern w:val="0"/>
                <w:sz w:val="16"/>
                <w:szCs w:val="16"/>
                <w:u w:val="none"/>
                <w:lang w:val="en-US" w:eastAsia="zh-CN" w:bidi="ar"/>
              </w:rPr>
              <w:t>年物资质量检测中心技术服务（仪器设备检定）</w:t>
            </w: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Style w:val="8"/>
                <w:lang w:val="en-US" w:eastAsia="zh-CN" w:bidi="ar"/>
              </w:rPr>
              <w:t>国网青海省电力公司</w:t>
            </w:r>
            <w:r>
              <w:rPr>
                <w:rFonts w:ascii="Arial" w:hAnsi="Arial" w:eastAsia="宋体" w:cs="Arial"/>
                <w:i w:val="0"/>
                <w:color w:val="000000"/>
                <w:kern w:val="0"/>
                <w:sz w:val="16"/>
                <w:szCs w:val="16"/>
                <w:u w:val="none"/>
                <w:lang w:val="en-US" w:eastAsia="zh-CN" w:bidi="ar"/>
              </w:rPr>
              <w:t>2021</w:t>
            </w:r>
            <w:r>
              <w:rPr>
                <w:rFonts w:hint="eastAsia" w:ascii="宋体" w:hAnsi="宋体" w:eastAsia="宋体" w:cs="宋体"/>
                <w:i w:val="0"/>
                <w:color w:val="000000"/>
                <w:kern w:val="0"/>
                <w:sz w:val="16"/>
                <w:szCs w:val="16"/>
                <w:u w:val="none"/>
                <w:lang w:val="en-US" w:eastAsia="zh-CN" w:bidi="ar"/>
              </w:rPr>
              <w:t>年物资质量检测中心技术服务（仪器设备检定）</w:t>
            </w: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E01W-300009927-00001</w:t>
            </w:r>
          </w:p>
        </w:tc>
        <w:tc>
          <w:tcPr>
            <w:tcW w:w="13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国网青海省电力公司2021年物资质量检测中心技术服务（仪器设备检定）</w:t>
            </w:r>
          </w:p>
        </w:tc>
        <w:tc>
          <w:tcPr>
            <w:tcW w:w="6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电科院</w:t>
            </w:r>
          </w:p>
        </w:tc>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物资部</w:t>
            </w:r>
          </w:p>
        </w:tc>
        <w:tc>
          <w:tcPr>
            <w:tcW w:w="114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94.33</w:t>
            </w:r>
          </w:p>
        </w:tc>
        <w:tc>
          <w:tcPr>
            <w:tcW w:w="11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94.33</w:t>
            </w:r>
          </w:p>
        </w:tc>
        <w:tc>
          <w:tcPr>
            <w:tcW w:w="233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中华人民共和国境内依法注册的企业法人或其它组织，具有CNAS实验室认可资质证书、省级及以上CMA资质评定资质证书、四级及以上承装（修、试）电力设施许可证。</w:t>
            </w:r>
          </w:p>
        </w:tc>
        <w:tc>
          <w:tcPr>
            <w:tcW w:w="9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青海省西宁市；总价承包</w:t>
            </w:r>
          </w:p>
        </w:tc>
        <w:tc>
          <w:tcPr>
            <w:tcW w:w="9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开始时间：2021年11月22日；结束时间：2021年12月30日</w:t>
            </w:r>
          </w:p>
        </w:tc>
        <w:tc>
          <w:tcPr>
            <w:tcW w:w="5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00" w:hRule="atLeast"/>
        </w:trPr>
        <w:tc>
          <w:tcPr>
            <w:tcW w:w="497"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0710318302</w:t>
            </w:r>
          </w:p>
        </w:tc>
        <w:tc>
          <w:tcPr>
            <w:tcW w:w="50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00010</w:t>
            </w:r>
          </w:p>
        </w:tc>
        <w:tc>
          <w:tcPr>
            <w:tcW w:w="84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282148-9001005-0011</w:t>
            </w:r>
          </w:p>
        </w:tc>
        <w:tc>
          <w:tcPr>
            <w:tcW w:w="81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服务（管理咨询）</w:t>
            </w:r>
          </w:p>
        </w:tc>
        <w:tc>
          <w:tcPr>
            <w:tcW w:w="382"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1064"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分子公司治理模式研究服务</w:t>
            </w:r>
          </w:p>
        </w:tc>
        <w:tc>
          <w:tcPr>
            <w:tcW w:w="105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分子公司治理模式研究项目</w:t>
            </w:r>
          </w:p>
        </w:tc>
        <w:tc>
          <w:tcPr>
            <w:tcW w:w="927"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B2W0-300009278-00002</w:t>
            </w:r>
          </w:p>
        </w:tc>
        <w:tc>
          <w:tcPr>
            <w:tcW w:w="1391"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青海公司对于分子公司治理模式的研究</w:t>
            </w:r>
          </w:p>
        </w:tc>
        <w:tc>
          <w:tcPr>
            <w:tcW w:w="614"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本部-法律部</w:t>
            </w:r>
          </w:p>
        </w:tc>
        <w:tc>
          <w:tcPr>
            <w:tcW w:w="75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法律部</w:t>
            </w:r>
          </w:p>
        </w:tc>
        <w:tc>
          <w:tcPr>
            <w:tcW w:w="114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28.3</w:t>
            </w:r>
          </w:p>
        </w:tc>
        <w:tc>
          <w:tcPr>
            <w:tcW w:w="117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28.3</w:t>
            </w:r>
          </w:p>
        </w:tc>
        <w:tc>
          <w:tcPr>
            <w:tcW w:w="233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中华人民共和国境内依法注册的企业法人或其它组织，具有独立的技术研究队伍，具备完成项目所需的设备和专业技术能力。</w:t>
            </w:r>
          </w:p>
        </w:tc>
        <w:tc>
          <w:tcPr>
            <w:tcW w:w="93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青海省西宁市；总价承包</w:t>
            </w:r>
          </w:p>
        </w:tc>
        <w:tc>
          <w:tcPr>
            <w:tcW w:w="95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开始日期：2021年11月18日，结束日期：2021年12月30日</w:t>
            </w:r>
          </w:p>
        </w:tc>
        <w:tc>
          <w:tcPr>
            <w:tcW w:w="52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20" w:hRule="atLeast"/>
        </w:trPr>
        <w:tc>
          <w:tcPr>
            <w:tcW w:w="497" w:type="dxa"/>
            <w:tcBorders>
              <w:top w:val="single" w:color="auto" w:sz="4" w:space="0"/>
              <w:left w:val="single" w:color="auto"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0710300040</w:t>
            </w:r>
          </w:p>
        </w:tc>
        <w:tc>
          <w:tcPr>
            <w:tcW w:w="50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00010</w:t>
            </w:r>
          </w:p>
        </w:tc>
        <w:tc>
          <w:tcPr>
            <w:tcW w:w="84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282148-9003001-0011</w:t>
            </w:r>
          </w:p>
        </w:tc>
        <w:tc>
          <w:tcPr>
            <w:tcW w:w="818"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服务（科技科研）</w:t>
            </w:r>
          </w:p>
        </w:tc>
        <w:tc>
          <w:tcPr>
            <w:tcW w:w="382"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1064"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输电专业多功能工具箱项目服务</w:t>
            </w:r>
          </w:p>
        </w:tc>
        <w:tc>
          <w:tcPr>
            <w:tcW w:w="1050"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输电专业多功能工具箱项目</w:t>
            </w:r>
          </w:p>
        </w:tc>
        <w:tc>
          <w:tcPr>
            <w:tcW w:w="927"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B8YC-300009250-00001</w:t>
            </w:r>
          </w:p>
        </w:tc>
        <w:tc>
          <w:tcPr>
            <w:tcW w:w="1391"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输电专业多功能工具箱</w:t>
            </w:r>
          </w:p>
        </w:tc>
        <w:tc>
          <w:tcPr>
            <w:tcW w:w="614"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黄化供电公司</w:t>
            </w:r>
          </w:p>
        </w:tc>
        <w:tc>
          <w:tcPr>
            <w:tcW w:w="750"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科技部</w:t>
            </w:r>
          </w:p>
        </w:tc>
        <w:tc>
          <w:tcPr>
            <w:tcW w:w="1145"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19.96</w:t>
            </w:r>
          </w:p>
        </w:tc>
        <w:tc>
          <w:tcPr>
            <w:tcW w:w="1173"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19.96</w:t>
            </w:r>
          </w:p>
        </w:tc>
        <w:tc>
          <w:tcPr>
            <w:tcW w:w="2330"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中华人民共和国境内依法注册的企业法人或其它组织，具有独立的技术研究队伍，具备完成项目所需的设备和专业技术能力。</w:t>
            </w:r>
          </w:p>
        </w:tc>
        <w:tc>
          <w:tcPr>
            <w:tcW w:w="933"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青海黄南尖扎；总价承包</w:t>
            </w:r>
          </w:p>
        </w:tc>
        <w:tc>
          <w:tcPr>
            <w:tcW w:w="953" w:type="dxa"/>
            <w:tcBorders>
              <w:top w:val="single" w:color="auto"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开始日期：2021年11月30日；完成日期：2021年12月30日</w:t>
            </w:r>
          </w:p>
        </w:tc>
        <w:tc>
          <w:tcPr>
            <w:tcW w:w="523" w:type="dxa"/>
            <w:tcBorders>
              <w:top w:val="single" w:color="auto" w:sz="4" w:space="0"/>
              <w:left w:val="single" w:color="000000"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20" w:hRule="atLeast"/>
        </w:trPr>
        <w:tc>
          <w:tcPr>
            <w:tcW w:w="497"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0710299335</w:t>
            </w:r>
          </w:p>
        </w:tc>
        <w:tc>
          <w:tcPr>
            <w:tcW w:w="505"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00020</w:t>
            </w:r>
          </w:p>
        </w:tc>
        <w:tc>
          <w:tcPr>
            <w:tcW w:w="845"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282148-9003001-0011</w:t>
            </w:r>
          </w:p>
        </w:tc>
        <w:tc>
          <w:tcPr>
            <w:tcW w:w="818"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服务（科技科研）</w:t>
            </w:r>
          </w:p>
        </w:tc>
        <w:tc>
          <w:tcPr>
            <w:tcW w:w="382"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包2</w:t>
            </w:r>
          </w:p>
        </w:tc>
        <w:tc>
          <w:tcPr>
            <w:tcW w:w="1064"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青海电网无功综合协调控制策略数模混合仿真平台模块加工与功能验证服务</w:t>
            </w:r>
          </w:p>
        </w:tc>
        <w:tc>
          <w:tcPr>
            <w:tcW w:w="1050"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青海电网无功综合协调控制策略数模混合仿真平台模块加工与功能验证服务（2021）</w:t>
            </w:r>
          </w:p>
        </w:tc>
        <w:tc>
          <w:tcPr>
            <w:tcW w:w="927"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B00H-300009601-00005</w:t>
            </w:r>
          </w:p>
        </w:tc>
        <w:tc>
          <w:tcPr>
            <w:tcW w:w="1391"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青海电网无功综合协调控制策略数模混合仿真平台模块加工与功能验证服务2021年</w:t>
            </w:r>
          </w:p>
        </w:tc>
        <w:tc>
          <w:tcPr>
            <w:tcW w:w="614"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电科院</w:t>
            </w:r>
          </w:p>
        </w:tc>
        <w:tc>
          <w:tcPr>
            <w:tcW w:w="750"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科技部</w:t>
            </w:r>
          </w:p>
        </w:tc>
        <w:tc>
          <w:tcPr>
            <w:tcW w:w="1145"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66.03</w:t>
            </w:r>
          </w:p>
        </w:tc>
        <w:tc>
          <w:tcPr>
            <w:tcW w:w="1173"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109.42</w:t>
            </w:r>
          </w:p>
        </w:tc>
        <w:tc>
          <w:tcPr>
            <w:tcW w:w="2330"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中华人民共和国境内依法注册的企业法人或其它组织，具有独立的技术研究队伍，具备完成项目所需的设备和专业技术能力。</w:t>
            </w:r>
          </w:p>
        </w:tc>
        <w:tc>
          <w:tcPr>
            <w:tcW w:w="933"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青海省西宁市；总价承包</w:t>
            </w:r>
          </w:p>
        </w:tc>
        <w:tc>
          <w:tcPr>
            <w:tcW w:w="953"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Style w:val="8"/>
                <w:lang w:val="en-US" w:eastAsia="zh-CN" w:bidi="ar"/>
              </w:rPr>
              <w:t>开始日期：</w:t>
            </w:r>
            <w:r>
              <w:rPr>
                <w:rFonts w:ascii="Arial" w:hAnsi="Arial" w:eastAsia="宋体" w:cs="Arial"/>
                <w:i w:val="0"/>
                <w:color w:val="000000"/>
                <w:kern w:val="0"/>
                <w:sz w:val="16"/>
                <w:szCs w:val="16"/>
                <w:u w:val="none"/>
                <w:lang w:val="en-US" w:eastAsia="zh-CN" w:bidi="ar"/>
              </w:rPr>
              <w:t>2021</w:t>
            </w:r>
            <w:r>
              <w:rPr>
                <w:rFonts w:hint="eastAsia" w:ascii="宋体" w:hAnsi="宋体" w:eastAsia="宋体" w:cs="宋体"/>
                <w:i w:val="0"/>
                <w:color w:val="000000"/>
                <w:kern w:val="0"/>
                <w:sz w:val="16"/>
                <w:szCs w:val="16"/>
                <w:u w:val="none"/>
                <w:lang w:val="en-US" w:eastAsia="zh-CN" w:bidi="ar"/>
              </w:rPr>
              <w:t>年</w:t>
            </w:r>
            <w:r>
              <w:rPr>
                <w:rFonts w:ascii="Arial" w:hAnsi="Arial" w:eastAsia="宋体" w:cs="Arial"/>
                <w:i w:val="0"/>
                <w:color w:val="000000"/>
                <w:kern w:val="0"/>
                <w:sz w:val="16"/>
                <w:szCs w:val="16"/>
                <w:u w:val="none"/>
                <w:lang w:val="en-US" w:eastAsia="zh-CN" w:bidi="ar"/>
              </w:rPr>
              <w:t>12</w:t>
            </w:r>
            <w:r>
              <w:rPr>
                <w:rFonts w:hint="eastAsia" w:ascii="宋体" w:hAnsi="宋体" w:eastAsia="宋体" w:cs="宋体"/>
                <w:i w:val="0"/>
                <w:color w:val="000000"/>
                <w:kern w:val="0"/>
                <w:sz w:val="16"/>
                <w:szCs w:val="16"/>
                <w:u w:val="none"/>
                <w:lang w:val="en-US" w:eastAsia="zh-CN" w:bidi="ar"/>
              </w:rPr>
              <w:t>月</w:t>
            </w:r>
            <w:r>
              <w:rPr>
                <w:rFonts w:ascii="Arial" w:hAnsi="Arial" w:eastAsia="宋体" w:cs="Arial"/>
                <w:i w:val="0"/>
                <w:color w:val="000000"/>
                <w:kern w:val="0"/>
                <w:sz w:val="16"/>
                <w:szCs w:val="16"/>
                <w:u w:val="none"/>
                <w:lang w:val="en-US" w:eastAsia="zh-CN" w:bidi="ar"/>
              </w:rPr>
              <w:t>15</w:t>
            </w:r>
            <w:r>
              <w:rPr>
                <w:rFonts w:hint="eastAsia" w:ascii="宋体" w:hAnsi="宋体" w:eastAsia="宋体" w:cs="宋体"/>
                <w:i w:val="0"/>
                <w:color w:val="000000"/>
                <w:kern w:val="0"/>
                <w:sz w:val="16"/>
                <w:szCs w:val="16"/>
                <w:u w:val="none"/>
                <w:lang w:val="en-US" w:eastAsia="zh-CN" w:bidi="ar"/>
              </w:rPr>
              <w:t>日，结束日期：</w:t>
            </w:r>
            <w:r>
              <w:rPr>
                <w:rFonts w:ascii="Arial" w:hAnsi="Arial" w:eastAsia="宋体" w:cs="Arial"/>
                <w:i w:val="0"/>
                <w:color w:val="000000"/>
                <w:kern w:val="0"/>
                <w:sz w:val="16"/>
                <w:szCs w:val="16"/>
                <w:u w:val="none"/>
                <w:lang w:val="en-US" w:eastAsia="zh-CN" w:bidi="ar"/>
              </w:rPr>
              <w:t>2021</w:t>
            </w:r>
            <w:r>
              <w:rPr>
                <w:rFonts w:hint="eastAsia" w:ascii="宋体" w:hAnsi="宋体" w:eastAsia="宋体" w:cs="宋体"/>
                <w:i w:val="0"/>
                <w:color w:val="000000"/>
                <w:kern w:val="0"/>
                <w:sz w:val="16"/>
                <w:szCs w:val="16"/>
                <w:u w:val="none"/>
                <w:lang w:val="en-US" w:eastAsia="zh-CN" w:bidi="ar"/>
              </w:rPr>
              <w:t>年</w:t>
            </w:r>
            <w:r>
              <w:rPr>
                <w:rFonts w:ascii="Arial" w:hAnsi="Arial" w:eastAsia="宋体" w:cs="Arial"/>
                <w:i w:val="0"/>
                <w:color w:val="000000"/>
                <w:kern w:val="0"/>
                <w:sz w:val="16"/>
                <w:szCs w:val="16"/>
                <w:u w:val="none"/>
                <w:lang w:val="en-US" w:eastAsia="zh-CN" w:bidi="ar"/>
              </w:rPr>
              <w:t>12</w:t>
            </w:r>
            <w:r>
              <w:rPr>
                <w:rFonts w:hint="eastAsia" w:ascii="宋体" w:hAnsi="宋体" w:eastAsia="宋体" w:cs="宋体"/>
                <w:i w:val="0"/>
                <w:color w:val="000000"/>
                <w:kern w:val="0"/>
                <w:sz w:val="16"/>
                <w:szCs w:val="16"/>
                <w:u w:val="none"/>
                <w:lang w:val="en-US" w:eastAsia="zh-CN" w:bidi="ar"/>
              </w:rPr>
              <w:t>月</w:t>
            </w:r>
            <w:r>
              <w:rPr>
                <w:rStyle w:val="8"/>
                <w:lang w:val="en-US" w:eastAsia="zh-CN" w:bidi="ar"/>
              </w:rPr>
              <w:t>3</w:t>
            </w:r>
            <w:r>
              <w:rPr>
                <w:rFonts w:ascii="Arial" w:hAnsi="Arial" w:eastAsia="宋体" w:cs="Arial"/>
                <w:i w:val="0"/>
                <w:color w:val="000000"/>
                <w:kern w:val="0"/>
                <w:sz w:val="16"/>
                <w:szCs w:val="16"/>
                <w:u w:val="none"/>
                <w:lang w:val="en-US" w:eastAsia="zh-CN" w:bidi="ar"/>
              </w:rPr>
              <w:t>0</w:t>
            </w:r>
            <w:r>
              <w:rPr>
                <w:rFonts w:hint="eastAsia" w:ascii="宋体" w:hAnsi="宋体" w:eastAsia="宋体" w:cs="宋体"/>
                <w:i w:val="0"/>
                <w:color w:val="000000"/>
                <w:kern w:val="0"/>
                <w:sz w:val="16"/>
                <w:szCs w:val="16"/>
                <w:u w:val="none"/>
                <w:lang w:val="en-US" w:eastAsia="zh-CN" w:bidi="ar"/>
              </w:rPr>
              <w:t>日</w:t>
            </w:r>
          </w:p>
        </w:tc>
        <w:tc>
          <w:tcPr>
            <w:tcW w:w="523" w:type="dxa"/>
            <w:vMerge w:val="restart"/>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20" w:hRule="atLeast"/>
        </w:trPr>
        <w:tc>
          <w:tcPr>
            <w:tcW w:w="49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0710299335</w:t>
            </w:r>
          </w:p>
        </w:tc>
        <w:tc>
          <w:tcPr>
            <w:tcW w:w="5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00030</w:t>
            </w:r>
          </w:p>
        </w:tc>
        <w:tc>
          <w:tcPr>
            <w:tcW w:w="84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8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38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6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0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青海电网无功综合协调控制策略数模混合仿真平台模块加工与功能验证服务（2022）</w:t>
            </w:r>
          </w:p>
        </w:tc>
        <w:tc>
          <w:tcPr>
            <w:tcW w:w="9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B00H-300009601-00005</w:t>
            </w:r>
          </w:p>
        </w:tc>
        <w:tc>
          <w:tcPr>
            <w:tcW w:w="139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青海电网无功综合协调控制策略数模混合仿真平台模块加工与功能验证服务2022年</w:t>
            </w:r>
          </w:p>
        </w:tc>
        <w:tc>
          <w:tcPr>
            <w:tcW w:w="61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1145"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43.39</w:t>
            </w:r>
          </w:p>
        </w:tc>
        <w:tc>
          <w:tcPr>
            <w:tcW w:w="1173"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233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c>
          <w:tcPr>
            <w:tcW w:w="9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青海省西宁市；总价承包</w:t>
            </w:r>
          </w:p>
        </w:tc>
        <w:tc>
          <w:tcPr>
            <w:tcW w:w="9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开始日期：2022年1月1日，结束日期：2022年12月1日</w:t>
            </w:r>
          </w:p>
        </w:tc>
        <w:tc>
          <w:tcPr>
            <w:tcW w:w="52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16"/>
                <w:szCs w:val="16"/>
                <w:u w:val="none"/>
              </w:rPr>
            </w:pPr>
          </w:p>
        </w:tc>
      </w:tr>
    </w:tbl>
    <w:p>
      <w:pPr>
        <w:widowControl/>
        <w:jc w:val="both"/>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F7367"/>
    <w:rsid w:val="03126A73"/>
    <w:rsid w:val="04A73955"/>
    <w:rsid w:val="0A3762A1"/>
    <w:rsid w:val="0C447DAA"/>
    <w:rsid w:val="1CA40C0C"/>
    <w:rsid w:val="1F480DA2"/>
    <w:rsid w:val="286D5B95"/>
    <w:rsid w:val="290F7367"/>
    <w:rsid w:val="370137E2"/>
    <w:rsid w:val="3C075823"/>
    <w:rsid w:val="403E5B41"/>
    <w:rsid w:val="49684AC4"/>
    <w:rsid w:val="4E5B1EBC"/>
    <w:rsid w:val="4F1B4FEB"/>
    <w:rsid w:val="50266F64"/>
    <w:rsid w:val="610700F4"/>
    <w:rsid w:val="6C77313D"/>
    <w:rsid w:val="6F2A0F7B"/>
    <w:rsid w:val="784927C6"/>
    <w:rsid w:val="79371D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pPr>
    <w:rPr>
      <w:rFonts w:hint="eastAsia" w:ascii="宋体" w:hAnsi="宋体" w:eastAsia="宋体" w:cs="宋体"/>
      <w:b/>
      <w:kern w:val="44"/>
      <w:sz w:val="24"/>
      <w:szCs w:val="24"/>
      <w:lang w:val="en-US" w:eastAsia="zh-CN" w:bidi="ar"/>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character" w:customStyle="1" w:styleId="8">
    <w:name w:val="font11"/>
    <w:basedOn w:val="7"/>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358</Words>
  <Characters>440</Characters>
  <Lines>0</Lines>
  <Paragraphs>0</Paragraphs>
  <TotalTime>1</TotalTime>
  <ScaleCrop>false</ScaleCrop>
  <LinksUpToDate>false</LinksUpToDate>
  <CharactersWithSpaces>442</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2019-09-28T07:30:00Z</dcterms:created>
  <dc:creator>______空巷1407998610</dc:creator>
  <cp:lastModifiedBy>pc</cp:lastModifiedBy>
  <dcterms:modified xsi:type="dcterms:W3CDTF">2021-10-09T12:32:20Z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A722C77F7A2046CAAE071E9FDB3490AF</vt:lpwstr>
  </property>
</Properties>
</file>