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r>
        <w:rPr>
          <w:rFonts w:hint="eastAsia" w:ascii="宋体" w:hAnsi="宋体" w:eastAsia="宋体" w:cs="宋体"/>
          <w:b w:val="0"/>
          <w:bCs/>
          <w:color w:val="auto"/>
          <w:sz w:val="21"/>
          <w:szCs w:val="21"/>
          <w:highlight w:val="none"/>
          <w:lang w:eastAsia="zh-CN"/>
        </w:rPr>
        <w:t>西宁方盛电力设计有限公司生产经营场所整治服务招标采购项目购项目</w:t>
      </w:r>
      <w:r>
        <w:rPr>
          <w:rFonts w:hint="eastAsia" w:ascii="宋体" w:hAnsi="宋体" w:cs="宋体"/>
          <w:color w:val="auto"/>
          <w:szCs w:val="21"/>
          <w:highlight w:val="none"/>
        </w:rPr>
        <w:t>（</w:t>
      </w:r>
      <w:r>
        <w:rPr>
          <w:rFonts w:hint="eastAsia" w:ascii="宋体" w:hAnsi="宋体" w:cs="宋体"/>
          <w:color w:val="auto"/>
          <w:szCs w:val="21"/>
          <w:highlight w:val="none"/>
          <w:lang w:eastAsia="zh-CN"/>
        </w:rPr>
        <w:t>采购编号：FWLX192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）报名表</w:t>
      </w:r>
    </w:p>
    <w:tbl>
      <w:tblPr>
        <w:tblStyle w:val="3"/>
        <w:tblW w:w="8600" w:type="dxa"/>
        <w:jc w:val="center"/>
        <w:tblInd w:w="341" w:type="dxa"/>
        <w:tblLayout w:type="fixed"/>
        <w:tblCellMar>
          <w:top w:w="0" w:type="dxa"/>
          <w:left w:w="0" w:type="dxa"/>
          <w:bottom w:w="0" w:type="dxa"/>
          <w:right w:w="0" w:type="dxa"/>
        </w:tblCellMar>
      </w:tblPr>
      <w:tblGrid>
        <w:gridCol w:w="2777"/>
        <w:gridCol w:w="5823"/>
      </w:tblGrid>
      <w:tr>
        <w:tblPrEx>
          <w:tblLayout w:type="fixed"/>
          <w:tblCellMar>
            <w:top w:w="0" w:type="dxa"/>
            <w:left w:w="0" w:type="dxa"/>
            <w:bottom w:w="0" w:type="dxa"/>
            <w:right w:w="0" w:type="dxa"/>
          </w:tblCellMar>
        </w:tblPrEx>
        <w:trPr>
          <w:trHeight w:val="827" w:hRule="atLeast"/>
          <w:jc w:val="center"/>
        </w:trPr>
        <w:tc>
          <w:tcPr>
            <w:tcW w:w="277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项目名称(必须填写)</w:t>
            </w:r>
          </w:p>
        </w:tc>
        <w:tc>
          <w:tcPr>
            <w:tcW w:w="5823"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23"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lang w:eastAsia="zh-CN"/>
              </w:rPr>
              <w:t>承包（服务）商单位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7"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823"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8" w:hRule="atLeast"/>
          <w:jc w:val="center"/>
        </w:trPr>
        <w:tc>
          <w:tcPr>
            <w:tcW w:w="277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823"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22"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41" w:hRule="atLeast"/>
          <w:jc w:val="center"/>
        </w:trPr>
        <w:tc>
          <w:tcPr>
            <w:tcW w:w="277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8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1404026853</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3431</w:t>
      </w:r>
    </w:p>
    <w:p>
      <w:pPr>
        <w:spacing w:line="360" w:lineRule="auto"/>
        <w:rPr>
          <w:rFonts w:ascii="宋体" w:hAnsi="宋体" w:cs="Calibri"/>
          <w:color w:val="auto"/>
          <w:kern w:val="0"/>
          <w:sz w:val="24"/>
          <w:szCs w:val="24"/>
          <w:highlight w:val="none"/>
        </w:rPr>
      </w:pPr>
      <w:r>
        <w:rPr>
          <w:rFonts w:hint="eastAsia" w:ascii="宋体" w:hAnsi="宋体" w:cs="宋体"/>
          <w:color w:val="auto"/>
          <w:szCs w:val="21"/>
          <w:highlight w:val="none"/>
        </w:rPr>
        <w:t>3.获取</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的</w:t>
      </w:r>
      <w:r>
        <w:rPr>
          <w:rFonts w:hint="eastAsia" w:ascii="宋体" w:hAnsi="宋体" w:cs="宋体"/>
          <w:color w:val="auto"/>
          <w:szCs w:val="21"/>
          <w:highlight w:val="none"/>
          <w:lang w:eastAsia="zh-CN"/>
        </w:rPr>
        <w:t>承包（服务）商</w:t>
      </w:r>
      <w:r>
        <w:rPr>
          <w:rFonts w:hint="eastAsia" w:ascii="宋体" w:hAnsi="宋体" w:cs="宋体"/>
          <w:color w:val="auto"/>
          <w:szCs w:val="21"/>
          <w:highlight w:val="none"/>
        </w:rPr>
        <w:t>，不按此单填写的报名表不予受理。</w:t>
      </w:r>
      <w:r>
        <w:rPr>
          <w:rFonts w:hint="eastAsia" w:ascii="仿宋" w:hAnsi="仿宋" w:eastAsia="仿宋" w:cs="Calibri"/>
          <w:color w:val="auto"/>
          <w:kern w:val="0"/>
          <w:sz w:val="24"/>
          <w:szCs w:val="24"/>
          <w:highlight w:val="none"/>
        </w:rPr>
        <w:t xml:space="preserve">               </w:t>
      </w:r>
    </w:p>
    <w:p>
      <w:pPr>
        <w:spacing w:line="500" w:lineRule="exact"/>
        <w:jc w:val="left"/>
        <w:rPr>
          <w:rFonts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 xml:space="preserve">  </w:t>
      </w:r>
      <w:r>
        <w:rPr>
          <w:rFonts w:hint="eastAsia" w:ascii="仿宋" w:hAnsi="仿宋" w:eastAsia="仿宋" w:cs="Calibri"/>
          <w:color w:val="auto"/>
          <w:kern w:val="0"/>
          <w:sz w:val="24"/>
          <w:szCs w:val="24"/>
          <w:highlight w:val="none"/>
          <w:lang w:val="en-US" w:eastAsia="zh-CN"/>
        </w:rPr>
        <w:t xml:space="preserve">                                     </w:t>
      </w:r>
      <w:r>
        <w:rPr>
          <w:rFonts w:hint="eastAsia" w:ascii="仿宋" w:hAnsi="仿宋" w:eastAsia="仿宋" w:cs="Calibri"/>
          <w:color w:val="auto"/>
          <w:kern w:val="0"/>
          <w:sz w:val="24"/>
          <w:szCs w:val="24"/>
          <w:highlight w:val="none"/>
          <w:lang w:eastAsia="zh-CN"/>
        </w:rPr>
        <w:t>青海省电力技术开发实业公司</w:t>
      </w:r>
    </w:p>
    <w:p>
      <w:pPr>
        <w:spacing w:line="500" w:lineRule="exact"/>
        <w:ind w:firstLine="435"/>
        <w:rPr>
          <w:color w:val="auto"/>
          <w:highlight w:val="none"/>
        </w:rPr>
      </w:pPr>
      <w:r>
        <w:rPr>
          <w:rFonts w:hint="eastAsia" w:ascii="仿宋" w:hAnsi="仿宋" w:eastAsia="仿宋" w:cs="Calibri"/>
          <w:color w:val="auto"/>
          <w:kern w:val="0"/>
          <w:sz w:val="24"/>
          <w:szCs w:val="24"/>
          <w:highlight w:val="none"/>
        </w:rPr>
        <w:t xml:space="preserve">                                 </w:t>
      </w:r>
      <w:r>
        <w:rPr>
          <w:rFonts w:hint="eastAsia" w:ascii="仿宋" w:hAnsi="仿宋" w:eastAsia="仿宋" w:cs="Calibri"/>
          <w:color w:val="auto"/>
          <w:kern w:val="0"/>
          <w:sz w:val="24"/>
          <w:szCs w:val="24"/>
          <w:highlight w:val="none"/>
          <w:lang w:val="en-US" w:eastAsia="zh-CN"/>
        </w:rPr>
        <w:t xml:space="preserve">        2019</w:t>
      </w:r>
      <w:r>
        <w:rPr>
          <w:rFonts w:ascii="仿宋" w:hAnsi="仿宋" w:eastAsia="仿宋" w:cs="Calibri"/>
          <w:color w:val="auto"/>
          <w:kern w:val="0"/>
          <w:sz w:val="24"/>
          <w:szCs w:val="24"/>
          <w:highlight w:val="none"/>
        </w:rPr>
        <w:t>年</w:t>
      </w:r>
      <w:r>
        <w:rPr>
          <w:rFonts w:hint="eastAsia" w:ascii="仿宋" w:hAnsi="仿宋" w:eastAsia="仿宋" w:cs="Calibri"/>
          <w:color w:val="auto"/>
          <w:kern w:val="0"/>
          <w:sz w:val="24"/>
          <w:szCs w:val="24"/>
          <w:highlight w:val="none"/>
          <w:lang w:val="en-US" w:eastAsia="zh-CN"/>
        </w:rPr>
        <w:t>6</w:t>
      </w:r>
      <w:r>
        <w:rPr>
          <w:rFonts w:ascii="仿宋" w:hAnsi="仿宋" w:eastAsia="仿宋" w:cs="Calibri"/>
          <w:color w:val="auto"/>
          <w:kern w:val="0"/>
          <w:sz w:val="24"/>
          <w:szCs w:val="24"/>
          <w:highlight w:val="none"/>
        </w:rPr>
        <w:t>月</w:t>
      </w:r>
      <w:r>
        <w:rPr>
          <w:rFonts w:hint="eastAsia" w:ascii="仿宋" w:hAnsi="仿宋" w:eastAsia="仿宋" w:cs="Calibri"/>
          <w:color w:val="auto"/>
          <w:kern w:val="0"/>
          <w:sz w:val="24"/>
          <w:szCs w:val="24"/>
          <w:highlight w:val="none"/>
          <w:lang w:val="en-US" w:eastAsia="zh-CN"/>
        </w:rPr>
        <w:t>27</w:t>
      </w:r>
      <w:r>
        <w:rPr>
          <w:rFonts w:ascii="仿宋" w:hAnsi="仿宋" w:eastAsia="仿宋" w:cs="Calibri"/>
          <w:color w:val="auto"/>
          <w:kern w:val="0"/>
          <w:sz w:val="24"/>
          <w:szCs w:val="24"/>
          <w:highlight w:val="none"/>
        </w:rPr>
        <w:t>日</w:t>
      </w:r>
    </w:p>
    <w:p>
      <w:bookmarkStart w:id="0" w:name="_GoBack"/>
      <w:bookmarkEnd w:id="0"/>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BD0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B7E8BD"/>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2019-06-27T08:18:37Z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