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615084"/>
      <w:bookmarkStart w:id="1" w:name="_Toc385584503"/>
      <w:bookmarkStart w:id="2" w:name="_Toc390063399"/>
      <w:bookmarkStart w:id="3" w:name="_Toc384982824"/>
      <w:bookmarkStart w:id="4" w:name="_Toc384982721"/>
      <w:bookmarkStart w:id="5" w:name="_Toc385783727"/>
      <w:bookmarkStart w:id="6" w:name="_Toc387167800"/>
      <w:bookmarkStart w:id="7" w:name="_Toc386987368"/>
      <w:bookmarkStart w:id="8" w:name="_Toc385586225"/>
      <w:bookmarkStart w:id="9" w:name="_Toc385609766"/>
      <w:bookmarkStart w:id="10" w:name="_Toc386559306"/>
      <w:bookmarkStart w:id="11" w:name="_Toc390063255"/>
      <w:bookmarkStart w:id="12" w:name="_Toc389216840"/>
      <w:bookmarkStart w:id="13" w:name="_Toc389718322"/>
      <w:bookmarkStart w:id="14" w:name="_Toc385787472"/>
      <w:bookmarkStart w:id="15" w:name="_Toc389216451"/>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国网青海省电力公司2019年集体企业车辆购置招标采购项目（采购编号：WZSC1941）</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3850D66"/>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2019-07-08T03:51:22Z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