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color w:val="auto"/>
          <w:szCs w:val="21"/>
          <w:highlight w:val="none"/>
          <w:lang w:eastAsia="zh-CN"/>
        </w:rPr>
      </w:pPr>
      <w:bookmarkStart w:id="0" w:name="_Toc390063399"/>
      <w:bookmarkStart w:id="1" w:name="_Toc385787472"/>
      <w:bookmarkStart w:id="2" w:name="_Toc389216451"/>
      <w:bookmarkStart w:id="3" w:name="_Toc384982824"/>
      <w:bookmarkStart w:id="4" w:name="_Toc384982721"/>
      <w:bookmarkStart w:id="5" w:name="_Toc389216840"/>
      <w:bookmarkStart w:id="6" w:name="_Toc386559306"/>
      <w:bookmarkStart w:id="7" w:name="_Toc385783727"/>
      <w:bookmarkStart w:id="8" w:name="_Toc389718322"/>
      <w:bookmarkStart w:id="9" w:name="_Toc387167800"/>
      <w:bookmarkStart w:id="10" w:name="_Toc386615084"/>
      <w:bookmarkStart w:id="11" w:name="_Toc385586225"/>
      <w:bookmarkStart w:id="12" w:name="_Toc385584503"/>
      <w:bookmarkStart w:id="13" w:name="_Toc385609766"/>
      <w:bookmarkStart w:id="14" w:name="_Toc386987368"/>
      <w:bookmarkStart w:id="15" w:name="_Toc390063255"/>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宋体" w:hAnsi="宋体" w:cs="宋体"/>
          <w:color w:val="auto"/>
          <w:szCs w:val="21"/>
          <w:highlight w:val="none"/>
          <w:lang w:eastAsia="zh-CN"/>
        </w:rPr>
        <w:t xml:space="preserve">  西宁电力实业有限公司（国网青海省电力公司西宁供电公司2018年第二、三、四、五、六批</w:t>
      </w:r>
    </w:p>
    <w:p>
      <w:pPr>
        <w:jc w:val="center"/>
        <w:rPr>
          <w:rFonts w:hint="eastAsia" w:ascii="宋体" w:hAnsi="宋体" w:cs="宋体"/>
          <w:color w:val="auto"/>
          <w:szCs w:val="21"/>
          <w:highlight w:val="none"/>
          <w:lang w:eastAsia="zh-CN"/>
        </w:rPr>
      </w:pPr>
      <w:bookmarkStart w:id="17" w:name="_GoBack"/>
      <w:bookmarkEnd w:id="17"/>
      <w:r>
        <w:rPr>
          <w:rFonts w:hint="eastAsia" w:ascii="宋体" w:hAnsi="宋体" w:cs="宋体"/>
          <w:color w:val="auto"/>
          <w:szCs w:val="21"/>
          <w:highlight w:val="none"/>
          <w:lang w:eastAsia="zh-CN"/>
        </w:rPr>
        <w:t>国有企业职工家属区供电设施接收改造EPC总承包工程）第二批物资类招标采购项目</w:t>
      </w:r>
    </w:p>
    <w:p>
      <w:pPr>
        <w:jc w:val="center"/>
        <w:rPr>
          <w:rFonts w:ascii="宋体" w:hAnsi="宋体" w:cs="宋体"/>
          <w:color w:val="auto"/>
          <w:szCs w:val="21"/>
          <w:highlight w:val="none"/>
        </w:rPr>
      </w:pPr>
      <w:r>
        <w:rPr>
          <w:rFonts w:hint="eastAsia" w:ascii="宋体" w:hAnsi="宋体" w:cs="宋体"/>
          <w:color w:val="auto"/>
          <w:szCs w:val="21"/>
          <w:highlight w:val="none"/>
          <w:lang w:eastAsia="zh-CN"/>
        </w:rPr>
        <w:t>（采购编号：WZSC1948）</w:t>
      </w:r>
      <w:r>
        <w:rPr>
          <w:rFonts w:hint="eastAsia" w:ascii="宋体" w:hAnsi="宋体" w:cs="宋体"/>
          <w:color w:val="auto"/>
          <w:szCs w:val="21"/>
          <w:highlight w:val="none"/>
        </w:rPr>
        <w:t>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727306814</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607341</w:t>
      </w:r>
      <w:r>
        <w:rPr>
          <w:rFonts w:hint="eastAsia" w:ascii="宋体" w:hAnsi="宋体" w:cs="宋体"/>
          <w:color w:val="auto"/>
          <w:szCs w:val="21"/>
          <w:highlight w:val="none"/>
          <w:lang w:val="en-US" w:eastAsia="zh-CN"/>
        </w:rPr>
        <w:t>0</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swiss"/>
    <w:pitch w:val="default"/>
    <w:sig w:usb0="E0002A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A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Dotum"/>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hakuyoxingshu7000"/>
    <w:panose1 w:val="00000000000000000000"/>
    <w:charset w:val="86"/>
    <w:family w:val="auto"/>
    <w:pitch w:val="default"/>
    <w:sig w:usb0="00000000" w:usb1="00000000" w:usb2="00000000" w:usb3="00000000" w:csb0="0004009F" w:csb1="DFD70000"/>
  </w:font>
  <w:font w:name="hakuyoxingshu7000">
    <w:panose1 w:val="02000600000000000000"/>
    <w:charset w:val="86"/>
    <w:family w:val="auto"/>
    <w:pitch w:val="default"/>
    <w:sig w:usb0="FFFFFFFF" w:usb1="E9FFFFFF"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panose1 w:val="02010601030101010101"/>
    <w:charset w:val="86"/>
    <w:family w:val="auto"/>
    <w:pitch w:val="default"/>
    <w:sig w:usb0="00000001" w:usb1="080E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Gulim">
    <w:panose1 w:val="020B0600000101010101"/>
    <w:charset w:val="81"/>
    <w:family w:val="auto"/>
    <w:pitch w:val="default"/>
    <w:sig w:usb0="B00002AF" w:usb1="69D77CFB"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Calibri"/>
    <w:panose1 w:val="020F0302020204030204"/>
    <w:charset w:val="00"/>
    <w:family w:val="swiss"/>
    <w:pitch w:val="default"/>
    <w:sig w:usb0="00000000" w:usb1="00000000" w:usb2="00000000" w:usb3="00000000" w:csb0="2000019F"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00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7A42A0C"/>
    <w:rsid w:val="0B7D4399"/>
    <w:rsid w:val="0C0F5A28"/>
    <w:rsid w:val="0DBB0020"/>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912AAC"/>
    <w:rsid w:val="2BCB2333"/>
    <w:rsid w:val="2C986F9A"/>
    <w:rsid w:val="2F85606B"/>
    <w:rsid w:val="2FC80E61"/>
    <w:rsid w:val="303F7D18"/>
    <w:rsid w:val="30995DA9"/>
    <w:rsid w:val="30B14734"/>
    <w:rsid w:val="334C3343"/>
    <w:rsid w:val="33606E7B"/>
    <w:rsid w:val="35FB24BC"/>
    <w:rsid w:val="36EF0AD2"/>
    <w:rsid w:val="3C2348EF"/>
    <w:rsid w:val="3D8B2070"/>
    <w:rsid w:val="4100211E"/>
    <w:rsid w:val="42E773A7"/>
    <w:rsid w:val="486F32C9"/>
    <w:rsid w:val="4BF25EDF"/>
    <w:rsid w:val="4C7801D0"/>
    <w:rsid w:val="4C936A6D"/>
    <w:rsid w:val="4D4A4CE9"/>
    <w:rsid w:val="4FEA5D82"/>
    <w:rsid w:val="4FFA24C9"/>
    <w:rsid w:val="52C1192B"/>
    <w:rsid w:val="53EA5C44"/>
    <w:rsid w:val="567B0615"/>
    <w:rsid w:val="57A2142A"/>
    <w:rsid w:val="57B62019"/>
    <w:rsid w:val="590C6B05"/>
    <w:rsid w:val="596D4E30"/>
    <w:rsid w:val="5AA03F28"/>
    <w:rsid w:val="6129531C"/>
    <w:rsid w:val="620500C9"/>
    <w:rsid w:val="636C5AB0"/>
    <w:rsid w:val="63FD303C"/>
    <w:rsid w:val="67CB5407"/>
    <w:rsid w:val="69F75404"/>
    <w:rsid w:val="69FD7BF4"/>
    <w:rsid w:val="6A5D7F8C"/>
    <w:rsid w:val="6A821722"/>
    <w:rsid w:val="6FA74955"/>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58</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2019-07-16T08:40:46Z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