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17" w:name="_GoBack"/>
      <w:bookmarkStart w:id="0" w:name="_Toc386987368"/>
      <w:bookmarkStart w:id="1" w:name="_Toc390063255"/>
      <w:bookmarkStart w:id="2" w:name="_Toc390063399"/>
      <w:bookmarkStart w:id="3" w:name="_Toc387167800"/>
      <w:bookmarkStart w:id="4" w:name="_Toc386615084"/>
      <w:bookmarkStart w:id="5" w:name="_Toc385586225"/>
      <w:bookmarkStart w:id="6" w:name="_Toc385584503"/>
      <w:bookmarkStart w:id="7" w:name="_Toc385787472"/>
      <w:bookmarkStart w:id="8" w:name="_Toc385609766"/>
      <w:bookmarkStart w:id="9" w:name="_Toc389216451"/>
      <w:bookmarkStart w:id="10" w:name="_Toc384982721"/>
      <w:bookmarkStart w:id="11" w:name="_Toc389216840"/>
      <w:bookmarkStart w:id="12" w:name="_Toc389718322"/>
      <w:bookmarkStart w:id="13" w:name="_Toc386559306"/>
      <w:bookmarkStart w:id="14" w:name="_Toc384982824"/>
      <w:bookmarkStart w:id="15" w:name="_Toc385783727"/>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青海电力集体产业管理有限公司2019年-2020年度物资招标采购项目（采购编号：WZSC19101）</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bookmarkEnd w:id="17"/>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5412CD4"/>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2019-11-01T01:16:47Z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