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35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  <w:insideH w:val="outset" w:sz="6" w:space="0" w:color="auto"/>
          <w:insideV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1951"/>
        <w:gridCol w:w="1576"/>
        <w:gridCol w:w="816"/>
        <w:gridCol w:w="1854"/>
        <w:gridCol w:w="1305"/>
        <w:gridCol w:w="1276"/>
      </w:tblGrid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rPr>
                <w:sz w:val="20"/>
              </w:rPr>
            </w:pPr>
            <w:r>
              <w:rPr>
                <w:rFonts w:ascii="宋体" w:eastAsia="宋体" w:hAnsi="宋体" w:cs="宋体" w:hint="eastAsia"/>
                <w:b/>
                <w:color w:val="333333"/>
                <w:kern w:val="0"/>
                <w:sz w:val="20"/>
                <w:szCs w:val="20"/>
                <w:lang/>
              </w:rPr>
              <w:t>序号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rPr>
                <w:sz w:val="20"/>
              </w:rPr>
            </w:pPr>
            <w:r>
              <w:rPr>
                <w:rFonts w:ascii="宋体" w:eastAsia="宋体" w:hAnsi="宋体" w:cs="宋体" w:hint="eastAsia"/>
                <w:b/>
                <w:color w:val="333333"/>
                <w:kern w:val="0"/>
                <w:sz w:val="20"/>
                <w:szCs w:val="20"/>
                <w:lang/>
              </w:rPr>
              <w:t>分标编号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rPr>
                <w:sz w:val="20"/>
              </w:rPr>
            </w:pPr>
            <w:r>
              <w:rPr>
                <w:rFonts w:ascii="宋体" w:eastAsia="宋体" w:hAnsi="宋体" w:cs="宋体" w:hint="eastAsia"/>
                <w:b/>
                <w:color w:val="333333"/>
                <w:kern w:val="0"/>
                <w:sz w:val="20"/>
                <w:szCs w:val="20"/>
                <w:lang/>
              </w:rPr>
              <w:t>分标名称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rPr>
                <w:sz w:val="20"/>
              </w:rPr>
            </w:pPr>
            <w:r>
              <w:rPr>
                <w:rFonts w:ascii="宋体" w:eastAsia="宋体" w:hAnsi="宋体" w:cs="宋体" w:hint="eastAsia"/>
                <w:b/>
                <w:color w:val="333333"/>
                <w:kern w:val="0"/>
                <w:sz w:val="20"/>
                <w:szCs w:val="20"/>
                <w:lang/>
              </w:rPr>
              <w:t>包号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rPr>
                <w:sz w:val="20"/>
              </w:rPr>
            </w:pPr>
            <w:r>
              <w:rPr>
                <w:rFonts w:ascii="宋体" w:eastAsia="宋体" w:hAnsi="宋体" w:cs="宋体" w:hint="eastAsia"/>
                <w:b/>
                <w:color w:val="333333"/>
                <w:kern w:val="0"/>
                <w:sz w:val="20"/>
                <w:szCs w:val="20"/>
                <w:lang/>
              </w:rPr>
              <w:t>推荐的中标候选人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rPr>
                <w:sz w:val="20"/>
              </w:rPr>
            </w:pPr>
            <w:r>
              <w:rPr>
                <w:rFonts w:ascii="宋体" w:eastAsia="宋体" w:hAnsi="宋体" w:cs="宋体" w:hint="eastAsia"/>
                <w:b/>
                <w:color w:val="333333"/>
                <w:kern w:val="0"/>
                <w:sz w:val="20"/>
                <w:szCs w:val="20"/>
                <w:lang/>
              </w:rPr>
              <w:t>正本投标文件（开标/报价/商务/技术）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rPr>
                <w:sz w:val="20"/>
              </w:rPr>
            </w:pPr>
            <w:r>
              <w:rPr>
                <w:rFonts w:ascii="宋体" w:eastAsia="宋体" w:hAnsi="宋体" w:cs="宋体" w:hint="eastAsia"/>
                <w:b/>
                <w:color w:val="333333"/>
                <w:kern w:val="0"/>
                <w:sz w:val="20"/>
                <w:szCs w:val="20"/>
                <w:lang/>
              </w:rPr>
              <w:t>副本投标文件（开标/报价/商务/技术）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海南州宏海电力勘察设计有限责任公司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可研设计一体化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青海建研建筑勘察设计有限公司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青海建研建筑勘察设计有限公司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中国电建集团青海省电力设计院有限公司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青海恒兴工程设计有限责任公司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青海天慧电力设计咨询有限责任公司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青海海润电力设计咨询有限公司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西宁方盛电力设计有限公司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北京恒华伟业科技股份有限公司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282134-9001001-1902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勘察设计（综合类）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北京恒华伟业科技股份有限公司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青海万立建设有限公司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青海送变电工程有限公司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青海星致建筑工程有限责任公司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21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四川省广安江泓输变电有限公司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青海兆安建设工程有限公司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青海宏海电力科技有限公司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西宁天瑞工程有限责任公司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282134-9001002-0102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西宁电力实业有限公司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海东天润实业有限责任公司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39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航天亮丽电气有限责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lastRenderedPageBreak/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43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航天亮丽电气有限责任公司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航天亮丽电气有限责任公司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青海省海北宏达电力有限责任公司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深圳市国电科技通信有限公司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青海黄化电业实业有限公司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49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山东德源电力科技股份有限公司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282134-9001002-1004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施工（综合类）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青海综合能源服务有限公司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青海智鑫电力监理咨询有限公司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监理（基建35kV及以上）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59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青海恒鑫工程建设监理有限责任公司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7套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4套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64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282134-9001003-0502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监理（运检35kV及以下）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青海省迪康咨询监理有限公司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2套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Cs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江苏希地丰华项目管理集团有限公司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北京数银英才咨询服务有限公司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69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北京英大长安风险管理咨询有限公司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北京英大长安风险管理咨询有限公司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282134-9001005-0011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服务（管理咨询）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远光软件股份有限公司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青海电研科技有限责任公司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青海电研科技有限责任公司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282134-9003002-0001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服务（运维实施）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中国电建集团青海工程有限公司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国电南瑞南京控制系统有限公司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清华四川能源互联网研究院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79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青海大学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沈阳工业大学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华北电力大学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华北电力大学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清华大学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清华大学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南京南瑞继保工程技术有限公司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88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南京南瑞继保工程技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lastRenderedPageBreak/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lastRenderedPageBreak/>
              <w:t>89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浙江大学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北京科东电力控制系统有限责任公司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282134-9003001-0011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服务（科技科研）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南京南瑞继保工程技术有限公司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上海泽鑫电力科技股份有限公司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四川中电启明星信息技术有限公司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96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包4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北京四方继保工程技术有限公司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97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包5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上海柒志科技有限公司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98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包6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中国电力科学研究院有限公司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99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包7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100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包8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101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包9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北京京杭天丽科技有限公司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102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包10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南京南瑞信息通信科技有限公司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103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包11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江西博微新技术有限公司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104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包12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南京南瑞信息通信科技有限公司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  <w:tr w:rsidR="00C15A57" w:rsidTr="00DC4571">
        <w:tc>
          <w:tcPr>
            <w:tcW w:w="4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105</w:t>
            </w:r>
          </w:p>
        </w:tc>
        <w:tc>
          <w:tcPr>
            <w:tcW w:w="19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282134-9007001-0003</w:t>
            </w:r>
          </w:p>
        </w:tc>
        <w:tc>
          <w:tcPr>
            <w:tcW w:w="15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服务（信息系统）</w:t>
            </w:r>
          </w:p>
        </w:tc>
        <w:tc>
          <w:tcPr>
            <w:tcW w:w="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包13</w:t>
            </w:r>
          </w:p>
        </w:tc>
        <w:tc>
          <w:tcPr>
            <w:tcW w:w="1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jc w:val="left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国网电力科学研究院武汉南瑞有限责任公司</w:t>
            </w:r>
          </w:p>
        </w:tc>
        <w:tc>
          <w:tcPr>
            <w:tcW w:w="13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15A57" w:rsidRDefault="00C15A57" w:rsidP="00DC4571">
            <w:pPr>
              <w:widowControl/>
              <w:ind w:firstLine="400"/>
              <w:rPr>
                <w:rFonts w:ascii="宋体" w:eastAsia="宋体" w:hAnsi="宋体" w:cs="宋体"/>
                <w:b/>
                <w:color w:val="333333"/>
                <w:kern w:val="0"/>
                <w:sz w:val="20"/>
                <w:lang/>
              </w:rPr>
            </w:pPr>
            <w:r>
              <w:rPr>
                <w:rFonts w:ascii="宋体" w:eastAsia="宋体" w:hAnsi="宋体" w:cs="宋体" w:hint="eastAsia"/>
                <w:bCs/>
                <w:color w:val="333333"/>
                <w:kern w:val="0"/>
                <w:sz w:val="20"/>
                <w:szCs w:val="20"/>
                <w:lang/>
              </w:rPr>
              <w:t>1套</w:t>
            </w:r>
          </w:p>
        </w:tc>
      </w:tr>
    </w:tbl>
    <w:p w:rsidR="00695C4A" w:rsidRPr="00C15A57" w:rsidRDefault="00695C4A" w:rsidP="00C15A57">
      <w:pPr>
        <w:rPr>
          <w:szCs w:val="20"/>
        </w:rPr>
      </w:pPr>
    </w:p>
    <w:sectPr w:rsidR="00695C4A" w:rsidRPr="00C15A57" w:rsidSect="001030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1C65" w:rsidRDefault="00D91C65" w:rsidP="00C15A57">
      <w:r>
        <w:separator/>
      </w:r>
    </w:p>
  </w:endnote>
  <w:endnote w:type="continuationSeparator" w:id="1">
    <w:p w:rsidR="00D91C65" w:rsidRDefault="00D91C65" w:rsidP="00C15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1C65" w:rsidRDefault="00D91C65" w:rsidP="00C15A57">
      <w:r>
        <w:separator/>
      </w:r>
    </w:p>
  </w:footnote>
  <w:footnote w:type="continuationSeparator" w:id="1">
    <w:p w:rsidR="00D91C65" w:rsidRDefault="00D91C65" w:rsidP="00C15A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5E81"/>
    <w:rsid w:val="001030E9"/>
    <w:rsid w:val="004D5E81"/>
    <w:rsid w:val="00695C4A"/>
    <w:rsid w:val="00C15A57"/>
    <w:rsid w:val="00D91C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0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E8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nhideWhenUsed/>
    <w:rsid w:val="00C15A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C15A57"/>
    <w:rPr>
      <w:sz w:val="18"/>
      <w:szCs w:val="18"/>
    </w:rPr>
  </w:style>
  <w:style w:type="paragraph" w:styleId="a5">
    <w:name w:val="footer"/>
    <w:basedOn w:val="a"/>
    <w:link w:val="Char0"/>
    <w:unhideWhenUsed/>
    <w:rsid w:val="00C15A5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C15A5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5E8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3872">
              <w:marLeft w:val="15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0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49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2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97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913</Words>
  <Characters>5209</Characters>
  <Application>Microsoft Office Word</Application>
  <DocSecurity>0</DocSecurity>
  <Lines>43</Lines>
  <Paragraphs>12</Paragraphs>
  <ScaleCrop>false</ScaleCrop>
  <Company>2012dnd.com</Company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2021-08-31T07:28:00Z</dcterms:created>
  <dcterms:modified xsi:type="dcterms:W3CDTF">2021-08-31T07:28:00Z</dcterms:modified>
</cp:coreProperties>
</file>