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3：货物清单表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001-包1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5825"/>
        <w:gridCol w:w="582"/>
        <w:gridCol w:w="5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设备材料名称</w:t>
            </w:r>
          </w:p>
        </w:tc>
        <w:tc>
          <w:tcPr>
            <w:tcW w:w="582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指标</w:t>
            </w:r>
          </w:p>
        </w:tc>
        <w:tc>
          <w:tcPr>
            <w:tcW w:w="58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单位</w:t>
            </w:r>
          </w:p>
        </w:tc>
        <w:tc>
          <w:tcPr>
            <w:tcW w:w="583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方正书宋_GBK" w:hAnsi="等线" w:eastAsia="方正书宋_GBK"/>
                <w:sz w:val="20"/>
              </w:rPr>
            </w:pPr>
            <w:r>
              <w:rPr>
                <w:rFonts w:hint="eastAsia" w:ascii="方正书宋_GBK" w:hAnsi="等线" w:eastAsia="方正书宋_GBK"/>
                <w:sz w:val="20"/>
              </w:rPr>
              <w:t>分布式存储</w:t>
            </w:r>
          </w:p>
        </w:tc>
        <w:tc>
          <w:tcPr>
            <w:tcW w:w="5825" w:type="dxa"/>
            <w:shd w:val="clear" w:color="auto" w:fill="FFFFFF"/>
            <w:vAlign w:val="center"/>
          </w:tcPr>
          <w:p>
            <w:pPr>
              <w:pStyle w:val="3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软硬件配置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：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通用服务器硬件，2U机型，配置冗余风扇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每台(节点)2颗CPU，每CPU≥ 8物理核，主频≥2.5GHz。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每台服务器配置≥160GB内存。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每台配置≥1块 3.2TB NVMe SSD，满足在3 DWPD的前提下，SSD寿命&gt;= 5年，要求提供SSD的官方彩页。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每台配置≥4个10GE/25GE接口，配置≥4个GE接口。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所投软硬件满足160TB可得容量需求。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每台配置≥12块10TB 3.5寸 7.2K rpm SATA硬盘，≥2块600GB 10K rpm SAS盘作为系统盘。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要求能扩容要现网华为分布式存储系统中去，实现统一管理和资源分配。</w:t>
            </w:r>
          </w:p>
          <w:p>
            <w:pPr>
              <w:pStyle w:val="3"/>
              <w:numPr>
                <w:ilvl w:val="0"/>
                <w:numId w:val="1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卖方应提供详细配置，对于承诺容量无法满足的情况，卖方应免费补齐软硬件。</w:t>
            </w:r>
          </w:p>
          <w:p>
            <w:pPr>
              <w:widowControl/>
              <w:numPr>
                <w:ilvl w:val="0"/>
                <w:numId w:val="0"/>
              </w:numPr>
              <w:adjustRightIn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2.</w:t>
            </w:r>
            <w:r>
              <w:rPr>
                <w:rFonts w:hint="eastAsia" w:ascii="仿宋_GB2312" w:hAnsi="宋体" w:eastAsia="仿宋_GB2312"/>
                <w:szCs w:val="21"/>
              </w:rPr>
              <w:t>提供原厂软件实施服务，原厂三年软件维护服务。</w:t>
            </w:r>
          </w:p>
          <w:p>
            <w:pPr>
              <w:pStyle w:val="3"/>
              <w:numPr>
                <w:ilvl w:val="0"/>
                <w:numId w:val="0"/>
              </w:numPr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每台配置用于部署分布式存储软件的操作系统。</w:t>
            </w:r>
          </w:p>
        </w:tc>
        <w:tc>
          <w:tcPr>
            <w:tcW w:w="58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台(节点</w:t>
            </w:r>
            <w:r>
              <w:rPr>
                <w:rFonts w:ascii="仿宋_GB2312" w:hAnsi="宋体" w:eastAsia="仿宋_GB2312"/>
                <w:szCs w:val="21"/>
              </w:rPr>
              <w:t>)</w:t>
            </w:r>
          </w:p>
        </w:tc>
        <w:tc>
          <w:tcPr>
            <w:tcW w:w="583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ascii="仿宋_GB2312" w:hAnsi="宋体" w:eastAsia="仿宋_GB2312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方正书宋_GBK" w:hAnsi="等线" w:eastAsia="方正书宋_GBK"/>
                <w:sz w:val="20"/>
              </w:rPr>
            </w:pPr>
            <w:r>
              <w:rPr>
                <w:rFonts w:hint="eastAsia" w:ascii="方正书宋_GBK" w:hAnsi="等线" w:eastAsia="方正书宋_GBK"/>
                <w:sz w:val="20"/>
              </w:rPr>
              <w:t>存储接入交换机</w:t>
            </w:r>
          </w:p>
        </w:tc>
        <w:tc>
          <w:tcPr>
            <w:tcW w:w="5825" w:type="dxa"/>
            <w:shd w:val="clear" w:color="auto" w:fill="FFFFFF"/>
            <w:vAlign w:val="center"/>
          </w:tcPr>
          <w:p>
            <w:pPr>
              <w:pStyle w:val="3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软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硬件配置要求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：</w:t>
            </w:r>
          </w:p>
          <w:p>
            <w:pPr>
              <w:pStyle w:val="3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1）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40/100GE QSFP28≥6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3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2）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10GE以太网光接口≥48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3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3）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40GE多模光模块≥4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3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4）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10GE多模光模块≥48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3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5）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2根40G高速电缆3m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3"/>
              <w:ind w:firstLine="0"/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6）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提供三年维保服务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58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台</w:t>
            </w:r>
          </w:p>
        </w:tc>
        <w:tc>
          <w:tcPr>
            <w:tcW w:w="583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ascii="仿宋_GB2312" w:hAnsi="宋体" w:eastAsia="仿宋_GB2312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方正书宋_GBK" w:hAnsi="等线" w:eastAsia="方正书宋_GBK"/>
                <w:sz w:val="20"/>
              </w:rPr>
            </w:pPr>
            <w:r>
              <w:rPr>
                <w:rFonts w:hint="eastAsia" w:ascii="方正书宋_GBK" w:hAnsi="等线" w:eastAsia="方正书宋_GBK"/>
                <w:sz w:val="20"/>
              </w:rPr>
              <w:t>数据仓库节点服务器及配套软件</w:t>
            </w:r>
          </w:p>
        </w:tc>
        <w:tc>
          <w:tcPr>
            <w:tcW w:w="5825" w:type="dxa"/>
            <w:shd w:val="clear" w:color="auto" w:fill="FFFFFF"/>
            <w:vAlign w:val="center"/>
          </w:tcPr>
          <w:p>
            <w:pPr>
              <w:pStyle w:val="3"/>
              <w:ind w:firstLine="0"/>
              <w:rPr>
                <w:rFonts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软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硬件配置要求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：</w:t>
            </w:r>
          </w:p>
          <w:p>
            <w:pPr>
              <w:pStyle w:val="3"/>
              <w:numPr>
                <w:ilvl w:val="0"/>
                <w:numId w:val="2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通用服务器硬件，2U机型，配置冗余风扇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pStyle w:val="3"/>
              <w:numPr>
                <w:ilvl w:val="0"/>
                <w:numId w:val="2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每台(节点)2颗CPU，每CPU≥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48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物理核，主频≥2.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6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GHz。</w:t>
            </w:r>
          </w:p>
          <w:p>
            <w:pPr>
              <w:pStyle w:val="3"/>
              <w:numPr>
                <w:ilvl w:val="0"/>
                <w:numId w:val="2"/>
              </w:numPr>
              <w:rPr>
                <w:rFonts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每台服务器配置≥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512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GB内存。</w:t>
            </w:r>
          </w:p>
          <w:p>
            <w:pPr>
              <w:pStyle w:val="3"/>
              <w:numPr>
                <w:ilvl w:val="0"/>
                <w:numId w:val="2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每台配置≥4个10GE/25GE接口，配置≥4个GE接口。</w:t>
            </w:r>
          </w:p>
          <w:p>
            <w:pPr>
              <w:pStyle w:val="3"/>
              <w:numPr>
                <w:ilvl w:val="0"/>
                <w:numId w:val="2"/>
              </w:numPr>
              <w:rPr>
                <w:rFonts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每台配置≥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24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块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1.8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 xml:space="preserve">TB 3.5寸 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10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K rpm SA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S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硬盘，≥2块</w:t>
            </w: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480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GB SSD盘作为系统盘。</w:t>
            </w:r>
          </w:p>
          <w:p>
            <w:pPr>
              <w:pStyle w:val="3"/>
              <w:numPr>
                <w:ilvl w:val="0"/>
                <w:numId w:val="2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ascii="仿宋_GB2312" w:hAnsi="宋体" w:eastAsia="仿宋_GB2312"/>
                <w:kern w:val="0"/>
                <w:sz w:val="21"/>
                <w:szCs w:val="21"/>
              </w:rPr>
              <w:t>配置对应容量的数据仓库软件授权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。</w:t>
            </w:r>
          </w:p>
          <w:p>
            <w:pPr>
              <w:pStyle w:val="3"/>
              <w:numPr>
                <w:ilvl w:val="0"/>
                <w:numId w:val="0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要求能扩容要现网云平台的数据仓库系统中，实现统一管理和资源分配。</w:t>
            </w:r>
          </w:p>
          <w:p>
            <w:pPr>
              <w:pStyle w:val="3"/>
              <w:numPr>
                <w:ilvl w:val="0"/>
                <w:numId w:val="0"/>
              </w:numP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kern w:val="0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仿宋_GB2312" w:hAnsi="宋体" w:eastAsia="仿宋_GB2312"/>
                <w:kern w:val="0"/>
                <w:sz w:val="21"/>
                <w:szCs w:val="21"/>
              </w:rPr>
              <w:t>提供原厂软件实施服务，原厂三年软件维护服务。</w:t>
            </w:r>
          </w:p>
        </w:tc>
        <w:tc>
          <w:tcPr>
            <w:tcW w:w="58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套</w:t>
            </w:r>
          </w:p>
        </w:tc>
        <w:tc>
          <w:tcPr>
            <w:tcW w:w="583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方正书宋_GBK" w:hAnsi="等线" w:eastAsia="方正书宋_GBK"/>
                <w:sz w:val="20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平台消缺完善所需耗材</w:t>
            </w:r>
          </w:p>
        </w:tc>
        <w:tc>
          <w:tcPr>
            <w:tcW w:w="5825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/>
                <w:szCs w:val="21"/>
                <w:highlight w:val="none"/>
              </w:rPr>
              <w:t>11个16G FC模块，24个license，20米多模光纤、3米40G多模光纤、30米10G多模光纤、5米网线若干</w:t>
            </w:r>
          </w:p>
        </w:tc>
        <w:tc>
          <w:tcPr>
            <w:tcW w:w="582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/>
                <w:szCs w:val="21"/>
                <w:highlight w:val="none"/>
              </w:rPr>
              <w:t>套</w:t>
            </w:r>
          </w:p>
        </w:tc>
        <w:tc>
          <w:tcPr>
            <w:tcW w:w="583" w:type="dxa"/>
            <w:shd w:val="clear" w:color="auto" w:fill="FFFFFF"/>
            <w:vAlign w:val="center"/>
          </w:tcPr>
          <w:p>
            <w:pPr>
              <w:widowControl/>
              <w:adjustRightIn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zCs w:val="21"/>
                <w:highlight w:val="none"/>
              </w:rPr>
            </w:pPr>
            <w:r>
              <w:rPr>
                <w:rFonts w:ascii="仿宋_GB2312" w:hAnsi="宋体" w:eastAsia="仿宋_GB2312"/>
                <w:szCs w:val="21"/>
                <w:highlight w:val="none"/>
              </w:rPr>
              <w:t>1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001-包2</w:t>
      </w:r>
    </w:p>
    <w:tbl>
      <w:tblPr>
        <w:tblStyle w:val="5"/>
        <w:tblW w:w="833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1829"/>
        <w:gridCol w:w="4589"/>
        <w:gridCol w:w="106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名称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描述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骨干路由器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网络路由器,100Mpps,4个155M CPOS,8个千兆光,8个千兆电,交流电源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汇聚路由器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网络路由器,100Mpps,4个155M CPOS,8个千兆光,8个千兆电,交流电源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千兆纵向加密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内网≥4个1000M网口，支持电力系统专用加密卡和证书签名验签的“安全模块”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一区前置交换机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千兆接入交换机，48个千兆电口，4个万兆光口，2个40G QSFP+，双电源，配置4个10G光模块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二区前置交换机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千兆接入交换机，48个千兆电口，4个万兆光口，2个40G QSFP+，双电源，配置4个10G光模块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一二区千兆高端防火墙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防火墙,10Gbps,2个万兆,4个千兆光,4个千兆电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传输8端口155M板卡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8口155M光接口板L1.1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传输千兆以太网板卡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8FE+2GE接口板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传输2.5G光板卡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单2.5G接口STM格式板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杨乐变至黄河新能源公司光缆</w:t>
            </w:r>
          </w:p>
        </w:tc>
        <w:tc>
          <w:tcPr>
            <w:tcW w:w="4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0" w:leftChars="0" w:firstLine="0" w:firstLineChars="0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24芯ADSS光缆（公里）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kern w:val="0"/>
                <w:sz w:val="21"/>
                <w:szCs w:val="21"/>
                <w:lang w:val="en-US" w:eastAsia="zh-CN" w:bidi="ar-SA"/>
              </w:rPr>
              <w:t>10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850" w:right="1800" w:bottom="85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E-F1">
    <w:altName w:val="Malgun Gothic"/>
    <w:panose1 w:val="00000000000000000000"/>
    <w:charset w:val="81"/>
    <w:family w:val="auto"/>
    <w:pitch w:val="default"/>
    <w:sig w:usb0="00000000" w:usb1="00000000" w:usb2="00000033" w:usb3="00000000" w:csb0="00080000" w:csb1="0000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汉仪大宋简">
    <w:altName w:val="宋体"/>
    <w:panose1 w:val="00000000000000000000"/>
    <w:charset w:val="86"/>
    <w:family w:val="auto"/>
    <w:pitch w:val="default"/>
    <w:sig w:usb0="00000000" w:usb1="00000000" w:usb2="00000012" w:usb3="00000000" w:csb0="00040000" w:csb1="0000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Sim Sun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honar Bangl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auto"/>
    <w:pitch w:val="default"/>
    <w:sig w:usb0="00000000" w:usb1="00000000" w:usb2="00000000" w:usb3="00000000" w:csb0="00000041" w:csb1="20080000"/>
  </w:font>
  <w:font w:name="Simplified Arabic Fixed">
    <w:altName w:val="Courier New"/>
    <w:panose1 w:val="02070309020205020404"/>
    <w:charset w:val="00"/>
    <w:family w:val="auto"/>
    <w:pitch w:val="default"/>
    <w:sig w:usb0="00000000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altName w:val="宋体"/>
    <w:panose1 w:val="02000600000000000000"/>
    <w:charset w:val="86"/>
    <w:family w:val="auto"/>
    <w:pitch w:val="default"/>
    <w:sig w:usb0="00000000" w:usb1="00000000" w:usb2="0000003F" w:usb3="00000000" w:csb0="603F00FF" w:csb1="FFFF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Dotu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parajit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rabic Typesetting">
    <w:altName w:val="Ink Free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altName w:val="Microsoft JhengHei Light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Guli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Meiryo UI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LNUHNF+SimSu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ung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Traditional Arabic">
    <w:altName w:val="Times New Roman"/>
    <w:panose1 w:val="02020603050405020304"/>
    <w:charset w:val="00"/>
    <w:family w:val="auto"/>
    <w:pitch w:val="default"/>
    <w:sig w:usb0="00000000" w:usb1="00000000" w:usb2="00000008" w:usb3="00000000" w:csb0="00000041" w:csb1="20080000"/>
  </w:font>
  <w:font w:name="Van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Utsaah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p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YaHei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长城仿宋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E0DE0"/>
    <w:multiLevelType w:val="multilevel"/>
    <w:tmpl w:val="2E5E0DE0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1">
    <w:nsid w:val="6F3518F0"/>
    <w:multiLevelType w:val="multilevel"/>
    <w:tmpl w:val="6F3518F0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722E3"/>
    <w:rsid w:val="1176184A"/>
    <w:rsid w:val="1B0722E3"/>
    <w:rsid w:val="3DCE6B6B"/>
    <w:rsid w:val="49F5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outlineLvl w:val="3"/>
    </w:pPr>
    <w:rPr>
      <w:rFonts w:eastAsia="黑体" w:asciiTheme="majorHAnsi" w:hAnsiTheme="majorHAnsi" w:cstheme="majorBidi"/>
      <w:bCs/>
      <w:szCs w:val="28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autoSpaceDE w:val="0"/>
      <w:autoSpaceDN w:val="0"/>
      <w:spacing w:after="80" w:afterLines="0" w:afterAutospacing="0" w:line="300" w:lineRule="atLeast"/>
      <w:ind w:firstLine="482"/>
    </w:pPr>
    <w:rPr>
      <w:rFonts w:ascii="Arial" w:hAnsi="Arial"/>
      <w:kern w:val="2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2021-07-21T02:52:00Z</dcterms:created>
  <dc:creator>Administrator</dc:creator>
  <cp:lastModifiedBy>Administrator</cp:lastModifiedBy>
  <dcterms:modified xsi:type="dcterms:W3CDTF">2021-11-19T07:15:35Z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