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ilvl w:val="0"/>
          <w:numId w:val="0"/>
        </w:numPr>
        <w:jc w:val="center"/>
        <w:rPr>
          <w:rFonts w:hint="eastAsia" w:ascii="宋体" w:hAnsi="宋体" w:cs="华文中宋"/>
          <w:color w:val="auto"/>
          <w:szCs w:val="36"/>
          <w:lang w:val="zh-CN"/>
        </w:rPr>
      </w:pPr>
      <w:r>
        <w:rPr>
          <w:rFonts w:hint="eastAsia" w:ascii="宋体" w:hAnsi="宋体" w:cs="华文中宋"/>
          <w:color w:val="auto"/>
          <w:szCs w:val="36"/>
          <w:lang w:val="zh-CN"/>
        </w:rPr>
        <w:t>技术要求</w:t>
      </w:r>
    </w:p>
    <w:tbl>
      <w:tblPr>
        <w:tblStyle w:val="6"/>
        <w:tblW w:w="9065" w:type="dxa"/>
        <w:tblInd w:w="93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1431"/>
        <w:gridCol w:w="1034"/>
        <w:gridCol w:w="5215"/>
        <w:gridCol w:w="865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产品规格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参数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最高限价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MC303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1、临床用途：用于软组织切割、消融、凝血和干燥  2、适配参数：交流0~360Vrms，100KHz~5MHz、额定电压：500V  3、部分刀头含有吸引软管和滴注生理盐水功能  4、电极（刀头）为已灭菌一次性无菌产品 5、根据不同手术部位，不同的病症配备不同长短、粗细、弧度、能量级的治疗刀头 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1933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5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2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MC304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1、临床用途：用于软组织切割、消融、凝血和干燥   2、适配参数：交流0~360Vrms，100KHz~5MHz、额定电压：500V  3、部分刀头含有吸引软管和滴注生理盐水功能   4、电极（刀头）为已灭菌一次性无菌产品 5、根据不同手术部位，不同的病症配备不同长短、粗细、弧度、能量级的治疗刀头  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1723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5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3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MC305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1、临床用途：用于软组织切割、消融、凝血和干燥  2、适配参数：交流0~360Vrms，100KHz~5MHz、额定电压：500V   3、部分刀头含有吸引软管和滴注生理盐水功能  4、电极（刀头）为已灭菌一次性无菌产品 5、根据不同手术部位，不同的病症配备不同长短、粗细、弧度、能量级的治疗刀头 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1899.2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9" w:hRule="atLeast"/>
        </w:trPr>
        <w:tc>
          <w:tcPr>
            <w:tcW w:w="5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4</w:t>
            </w:r>
          </w:p>
        </w:tc>
        <w:tc>
          <w:tcPr>
            <w:tcW w:w="143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MC401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1、临床用途：用于软组织切割、消融、凝血和干燥  2、适配参数：交流0~360Vrms，100KHz~5MHz、额定电压：500V  3、部分刀头含有吸引软管和滴注生理盐水功能  4、电极（刀头）为已灭菌一次性无菌产品  5、根据不同手术部位，不同的病症配备不同长短、粗细、弧度、能量级的治疗刀头 6、在同一支刀头、同一个输出接口输出，能同时实现消融、凝固、止血、切割功能，避免了手术操作过程中频繁更换治疗刀头的麻烦，具备多极吸引切割功能及配置，适合开展扁桃体、腺样体、乳头状瘤、息肉、CAUP、UPPP等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2560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2" w:hRule="atLeast"/>
        </w:trPr>
        <w:tc>
          <w:tcPr>
            <w:tcW w:w="5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5</w:t>
            </w:r>
          </w:p>
        </w:tc>
        <w:tc>
          <w:tcPr>
            <w:tcW w:w="143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MC402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1、临床用途：用于软组织切割、消融、凝血和干燥  2、适配参数：交流0~360Vrms，100KHz~5MHz、额定电压：500V  3、部分刀头含有吸引软管和滴注生理盐水功能  4、电极（刀头）为已灭菌一次性无菌产品 5、根据不同手术部位，不同的病症配备不同长短、粗细、弧度、能量级的治疗刀头 6、在同一支刀头、同一个输出接口输出，能同时实现消融、凝固、止血、切割功能，避免了手术操作过程中频繁更换治疗刀头的麻烦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具备多极吸引切割功能及配置，适合开展扁桃体、腺样体、乳头状瘤、息肉、CAUP、UPPP等  7、专为儿童耳鼻喉科手术设计的儿童专用刀头（刀杆长：130毫米；外刀杆直径：3.8毫米，常规刀头在4.2-6.0mm的直径）。通过双环特殊设计，使该刀头切割、消融、吸引能力更强，刀头更细，对周围组织损伤小，适宜精准操作和儿童狭窄的生理结构下的手术操作，能适应更窄小的位置手术，同时能够到达传统刀头到达不了的位置 8、专为头颈肿瘤制作了满足头颈肿瘤手术的刀头，能满足滴注、吸引、切割、止血，刀头采用双极方式设计，实现双侧吸引，双侧切割、止血的功能。刀头前段直径0.3mm,实现精准切割、精准剥离组织。刀杆抓手到刀头尖端小于130mm,使得操作者作用力精准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3640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5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MC403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1、临床用途：用于软组织切割、消融、凝血和干燥 2、适配参数：交流0~360Vrms，100KHz~5MHz、额定电压：500V  3、部分刀头含有吸引软管和滴注生理盐水功能  4、电极（刀头）为已灭菌一次性无菌产品  5、根据不同手术部位，不同的病症配备不同长短、粗细、弧度、能量级的治疗刀头 6、喉科专用刀头，设计有1.9mm，2.5mm，3.4mm，3.8mm等直径的刀头，能充分满足喉深部、声门等的各种病变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3340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9" w:hRule="atLeast"/>
        </w:trPr>
        <w:tc>
          <w:tcPr>
            <w:tcW w:w="5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7</w:t>
            </w: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8</w:t>
            </w:r>
          </w:p>
        </w:tc>
        <w:tc>
          <w:tcPr>
            <w:tcW w:w="143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AC401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1、临床用途：用于软组织切割、消融、凝血和干燥 2、适配参数：交流0~360Vrms，100KHz~5MHz、额定电压：500V 3、部分刀头含有吸引软管和滴注生理盐水功能  4、电极（刀头）为已灭菌一次性无菌产品  5、根据不同手术部位，不同的病症配备不同长短、粗细、弧度、能量级的治疗刀头 6、在同一支刀头、同一个输出接口输出，能同时实现消融、凝固、止血、切割功能，避免了手术操作过程中频繁更换治疗刀头的麻烦，具备多极吸引切割功能及配置，适合开展扁桃体、腺样体、乳头状瘤、息肉、CAUP、UPPP等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0" w:hRule="atLeast"/>
        </w:trPr>
        <w:tc>
          <w:tcPr>
            <w:tcW w:w="5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AC306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1、适配参数：交流0~360Vrms，100KHz~5MHz  2、临床用途：用于软组织切割、消融、凝血和干燥 3、部分刀头含有吸引软管和滴注生理盐水功能 4、电极（刀头）为已灭菌一次性无菌产品 5、根据不同手术部位，不同的病症配备不同长短、粗细、弧度、能量级的治疗刀头 6、在同一支刀头、同一个输出接口输出，能同时实现消融、凝固、止血、切割功能，避免了手术操作过程中频繁更换治疗刀头的麻烦 7、适用手术：颈椎病的间盘消融减压术、腰椎病的键盘消融减压术、膝关节镜手术、髋关节镜手术、半月板和关节软骨手术、十字韧带重建手术、肩关节镜手术、肩下减压手术等。  8、手术效果：使用微创手术对门诊病人实施椎间盘减压的手术，在较低温度下直接汽化髓核组织，同时能够为术者提供足够的触觉反馈，对椎间盘进行精确减压。精确移除目标组织，对周围组织无伤害，椎间盘内减压效果明显；止痛作用显著，持久地提高生活质量，降低疼痛等级；无需固定装置，迅速恢复健康；局部麻醉，常规椎间盘造影入路，操作简便快捷；特别适合关节镜手术；方便各种狭小腔道，让切入更加容易，消融和止血更加精准，更适合于广泛病变滑膜清理和软组织清理。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9" w:hRule="atLeast"/>
        </w:trPr>
        <w:tc>
          <w:tcPr>
            <w:tcW w:w="52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 w:eastAsia="zh-CN"/>
              </w:rPr>
              <w:t>9</w:t>
            </w:r>
          </w:p>
        </w:tc>
        <w:tc>
          <w:tcPr>
            <w:tcW w:w="143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AC404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1、适配参数：交流0~360Vrms，100KHz~5MHz 2、临床用途：用于软组织切割、消融、凝血和干燥  3、部分刀头含有吸引软管和滴注生理盐水功能 4、电极（刀头）为已灭菌一次性无菌产品 5、根据不同手术部位，不同的病症配备不同长短、粗细、弧度、能量级的治疗刀头 6、具有独立的医疗器械注册证的一次性双极射频等离子体手术电极 7、在同一支刀头、同一个输出接口输出，能同时实现消融、凝固、止血、切割功能，避免了手术操作过程中频繁更换治疗刀头的麻烦 8、能提供国内部分耗材中标的相关依据 9、适用手术：颈椎病的间盘消融减压术、腰椎病的键盘消融减压术、膝关节镜手术、髋关节镜手术、半月板和关节软骨手术、十字韧带重建手术、肩关节镜手术、肩下减压手术等。 10、手术效果：使用微创手术对门诊病人实施椎间盘减压的手术，在较低温度下直接汽化髓核组织，同时能够为术者提供足够的触觉反馈，对椎间盘进行精确减压。精确移除目标组织，对周围组织无伤害，椎间盘内减压效果明显；止痛作用显著，持久地提高生活质量，降低疼痛等级；无需固定装置，迅速恢复健康；局部麻醉，常规椎间盘造影入路，操作简便快捷；特别适合关节镜手术；方便各种狭小腔道，让切入更加容易，消融和止血更加精准，更适合于广泛病变滑膜清理和软组织清理。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4" w:hRule="atLeast"/>
        </w:trPr>
        <w:tc>
          <w:tcPr>
            <w:tcW w:w="52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一次性双极射频等离子体手术电极（国产）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  <w:t>AC405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1、电源: AC220V±10%，50Hz±1Hz 2、工作频率：100KHz±10% 3、输入功率： 550W 4、输出功率：≤400W（可实现多级分段功率输出）。 5、工作模式：具有消融切割(ABLATE)、凝固止血(COAG)两种模式。6、时间控制：百毫秒内精准控制，设置时间到后自动切断输出（针对部分手术电极）7、阻抗检测：实时检测并控制输出能量，根据不同组织阻抗，进行有效输出及保护，减少组织损伤。</w:t>
            </w:r>
          </w:p>
        </w:tc>
        <w:tc>
          <w:tcPr>
            <w:tcW w:w="8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4500</w:t>
            </w:r>
          </w:p>
        </w:tc>
      </w:tr>
    </w:tbl>
    <w:p>
      <w:pPr>
        <w:pStyle w:val="9"/>
        <w:rPr>
          <w:rFonts w:hint="eastAsia"/>
          <w:b/>
          <w:bCs/>
          <w:i w:val="0"/>
          <w:iCs w:val="0"/>
          <w:color w:val="auto"/>
          <w:lang w:val="en-US" w:eastAsia="zh-CN"/>
        </w:rPr>
      </w:pPr>
    </w:p>
    <w:p>
      <w:pPr>
        <w:pStyle w:val="9"/>
        <w:rPr>
          <w:rFonts w:hint="eastAsia"/>
          <w:b/>
          <w:bCs/>
          <w:i w:val="0"/>
          <w:iCs w:val="0"/>
          <w:color w:val="auto"/>
          <w:lang w:val="en-US" w:eastAsia="zh-CN"/>
        </w:rPr>
      </w:pPr>
    </w:p>
    <w:p>
      <w:pPr>
        <w:pStyle w:val="9"/>
        <w:rPr>
          <w:rFonts w:hint="eastAsia"/>
          <w:b/>
          <w:bCs/>
          <w:i w:val="0"/>
          <w:iCs w:val="0"/>
          <w:color w:val="auto"/>
          <w:lang w:val="en-US" w:eastAsia="zh-CN"/>
        </w:rPr>
      </w:pPr>
    </w:p>
    <w:p>
      <w:pPr>
        <w:pStyle w:val="9"/>
        <w:rPr>
          <w:rFonts w:hint="eastAsia"/>
          <w:b/>
          <w:bCs/>
          <w:i w:val="0"/>
          <w:iCs w:val="0"/>
          <w:color w:val="auto"/>
          <w:lang w:val="en-US" w:eastAsia="zh-CN"/>
        </w:rPr>
      </w:pPr>
      <w:r>
        <w:rPr>
          <w:rFonts w:hint="eastAsia"/>
          <w:b/>
          <w:bCs/>
          <w:i w:val="0"/>
          <w:iCs w:val="0"/>
          <w:color w:val="auto"/>
          <w:lang w:val="en-US" w:eastAsia="zh-CN"/>
        </w:rPr>
        <w:t>注（1）投标人必须对所投项目中的所有内容作为一个整体进行投标，不能拆分或少报。否则，投标无效。</w:t>
      </w:r>
    </w:p>
    <w:p>
      <w:pPr>
        <w:pStyle w:val="9"/>
        <w:rPr>
          <w:rFonts w:hint="eastAsia"/>
          <w:b/>
          <w:bCs/>
          <w:i w:val="0"/>
          <w:iCs w:val="0"/>
          <w:color w:val="auto"/>
          <w:lang w:val="en-US" w:eastAsia="zh-CN"/>
        </w:rPr>
      </w:pPr>
      <w:r>
        <w:rPr>
          <w:rFonts w:hint="eastAsia"/>
          <w:b/>
          <w:bCs/>
          <w:i w:val="0"/>
          <w:iCs w:val="0"/>
          <w:color w:val="auto"/>
          <w:lang w:val="en-US" w:eastAsia="zh-CN"/>
        </w:rPr>
        <w:t>(2)投标人如对项目参数有疑问，请咨询杨老师，联系电话：0971-8277370</w:t>
      </w:r>
    </w:p>
    <w:p>
      <w:pPr>
        <w:pStyle w:val="9"/>
        <w:rPr>
          <w:rFonts w:hint="eastAsia"/>
          <w:b/>
          <w:bCs/>
          <w:i w:val="0"/>
          <w:iCs w:val="0"/>
          <w:color w:val="auto"/>
          <w:lang w:val="en-US" w:eastAsia="zh-CN"/>
        </w:rPr>
      </w:pPr>
      <w:r>
        <w:rPr>
          <w:rFonts w:hint="eastAsia"/>
          <w:b/>
          <w:bCs/>
          <w:i w:val="0"/>
          <w:iCs w:val="0"/>
          <w:color w:val="auto"/>
          <w:lang w:val="en-US" w:eastAsia="zh-CN"/>
        </w:rPr>
        <w:t>(3)投标人报价超过最高限价的报价，投标无效。</w:t>
      </w:r>
    </w:p>
    <w:p>
      <w:pPr>
        <w:rPr>
          <w:rFonts w:hint="eastAsia"/>
          <w:color w:val="auto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i w:val="0"/>
          <w:iCs w:val="0"/>
          <w:color w:val="auto"/>
          <w:kern w:val="2"/>
          <w:sz w:val="21"/>
          <w:szCs w:val="24"/>
          <w:lang w:val="en-US" w:eastAsia="zh-CN" w:bidi="ar-SA"/>
        </w:rPr>
        <w:t>(4)投标人所投产品使用范围、功能需与参数要求一致，规格与参数要求相近或同类。如达不到要求依据评审标准，相应扣分，直至扣完为止。</w:t>
      </w:r>
    </w:p>
    <w:p>
      <w:bookmarkStart w:id="0" w:name="_GoBack"/>
      <w:bookmarkEnd w:id="0"/>
    </w:p>
    <w:sectPr>
      <w:headerReference r:id="rId3" w:type="default"/>
      <w:footerReference r:id="rId4" w:type="default"/>
      <w:pgSz w:w="12240" w:h="15840"/>
      <w:pgMar w:top="1440" w:right="1797" w:bottom="1440" w:left="1797" w:header="720" w:footer="720" w:gutter="0"/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4935" cy="131445"/>
              <wp:effectExtent l="0" t="0" r="0" b="0"/>
              <wp:wrapNone/>
              <wp:docPr id="1" name="Text Box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Style w:val="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8"/>
                            </w:rPr>
                            <w:t>60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Text Box 1025" o:spid="_x0000_s1026" o:spt="202" type="#_x0000_t202" style="position:absolute;left:0pt;margin-top:0pt;height:10.35pt;width:9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EPlfknQAAAAAwEAAA8AAAAAAAAAAQAgAAAAIgAAAGRycy9kb3ducmV2LnhtbFBLAQIU&#10;ABQAAAAIAIdO4kDhZr4B+wEAAAQEAAAOAAAAAAAAAAEAIAAAAB8BAABkcnMvZTJvRG9jLnhtbFBL&#10;BQYAAAAABgAGAFkBAACM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Style w:val="8"/>
                      </w:rPr>
                    </w:pPr>
                    <w:r>
                      <w:fldChar w:fldCharType="begin"/>
                    </w:r>
                    <w:r>
                      <w:rPr>
                        <w:rStyle w:val="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</w:rPr>
                      <w:t>60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E3189A"/>
    <w:rsid w:val="5CE3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</w:pPr>
    <w:rPr>
      <w:bCs/>
      <w:spacing w:val="10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character" w:styleId="8">
    <w:name w:val="page number"/>
    <w:basedOn w:val="7"/>
    <w:qFormat/>
    <w:uiPriority w:val="0"/>
  </w:style>
  <w:style w:type="paragraph" w:customStyle="1" w:styleId="9">
    <w:name w:val="引用1"/>
    <w:basedOn w:val="1"/>
    <w:next w:val="1"/>
    <w:qFormat/>
    <w:uiPriority w:val="29"/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2021-08-16T09:31:00Z</dcterms:created>
  <dc:creator>Administrator</dc:creator>
  <cp:lastModifiedBy>Administrator</cp:lastModifiedBy>
  <dcterms:modified xsi:type="dcterms:W3CDTF">2021-08-16T09:31:50Z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2052-11.1.0.9991</vt:lpwstr>
  </property>
</Properties>
</file>