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rPr>
      </w:pPr>
      <w:bookmarkStart w:id="0" w:name="_GoBack"/>
      <w:bookmarkEnd w:id="0"/>
    </w:p>
    <w:p>
      <w:pPr>
        <w:rPr>
          <w:b/>
        </w:rPr>
      </w:pPr>
      <w:r>
        <w:rPr>
          <w:rFonts w:hint="eastAsia"/>
          <w:b/>
        </w:rPr>
        <w:t>附件2：专用资质业绩要求</w:t>
      </w:r>
    </w:p>
    <w:tbl>
      <w:tblPr>
        <w:tblStyle w:val="95"/>
        <w:tblW w:w="14194" w:type="dxa"/>
        <w:tblInd w:w="0" w:type="dxa"/>
        <w:tblLayout w:type="fixed"/>
        <w:tblCellMar>
          <w:top w:w="15" w:type="dxa"/>
          <w:left w:w="15" w:type="dxa"/>
          <w:bottom w:w="15" w:type="dxa"/>
          <w:right w:w="15" w:type="dxa"/>
        </w:tblCellMar>
      </w:tblPr>
      <w:tblGrid>
        <w:gridCol w:w="675"/>
        <w:gridCol w:w="705"/>
        <w:gridCol w:w="810"/>
        <w:gridCol w:w="675"/>
        <w:gridCol w:w="900"/>
        <w:gridCol w:w="1275"/>
        <w:gridCol w:w="1275"/>
        <w:gridCol w:w="1275"/>
        <w:gridCol w:w="1084"/>
        <w:gridCol w:w="1466"/>
        <w:gridCol w:w="1275"/>
        <w:gridCol w:w="1275"/>
        <w:gridCol w:w="1504"/>
      </w:tblGrid>
      <w:tr>
        <w:tblPrEx>
          <w:tblLayout w:type="fixed"/>
          <w:tblCellMar>
            <w:top w:w="15" w:type="dxa"/>
            <w:left w:w="15" w:type="dxa"/>
            <w:bottom w:w="15" w:type="dxa"/>
            <w:right w:w="15" w:type="dxa"/>
          </w:tblCellMar>
        </w:tblPrEx>
        <w:trPr>
          <w:trHeight w:val="375" w:hRule="atLeast"/>
          <w:tblHeader/>
        </w:trPr>
        <w:tc>
          <w:tcPr>
            <w:tcW w:w="6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序号</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物资大类</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物资中类</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物资小类</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物资种类</w:t>
            </w:r>
          </w:p>
        </w:tc>
        <w:tc>
          <w:tcPr>
            <w:tcW w:w="10429"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资质要求</w:t>
            </w:r>
          </w:p>
        </w:tc>
      </w:tr>
      <w:tr>
        <w:tblPrEx>
          <w:tblLayout w:type="fixed"/>
          <w:tblCellMar>
            <w:top w:w="15" w:type="dxa"/>
            <w:left w:w="15" w:type="dxa"/>
            <w:bottom w:w="15" w:type="dxa"/>
            <w:right w:w="15" w:type="dxa"/>
          </w:tblCellMar>
        </w:tblPrEx>
        <w:trPr>
          <w:trHeight w:val="795" w:hRule="atLeast"/>
          <w:tblHead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供货业绩</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注册资本金</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生产设备</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生产能力</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认证证书</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生产许可证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入网许可证/其他资质要求</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产品型式试验报告或检测报告或鉴定报告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一次设备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开关柜（箱）</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高压开关柜</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10kV高压开关柜</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近三年内（以投标截止日计算）累计的销售业绩不少于500面</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kern w:val="0"/>
                <w:sz w:val="18"/>
                <w:szCs w:val="18"/>
              </w:rPr>
            </w:pPr>
            <w:r>
              <w:rPr>
                <w:rFonts w:hint="eastAsia" w:ascii="宋体" w:hAnsi="宋体" w:cs="宋体"/>
                <w:kern w:val="0"/>
                <w:sz w:val="18"/>
                <w:szCs w:val="18"/>
              </w:rPr>
              <w:t>1000万元及以上人民币（注册资本金如为外币，以投标文件递交截止日中国银行公布的外汇牌价买入价折算）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具有完整的制造、工艺装备和试验设备；具有同等电压等级及以上高压开关柜研发、设计、制造和出厂试验的能力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kern w:val="0"/>
                <w:sz w:val="18"/>
                <w:szCs w:val="18"/>
              </w:rPr>
            </w:pPr>
            <w:r>
              <w:rPr>
                <w:rFonts w:hint="eastAsia" w:ascii="宋体" w:hAnsi="宋体" w:cs="宋体"/>
                <w:kern w:val="0"/>
                <w:sz w:val="18"/>
                <w:szCs w:val="18"/>
              </w:rPr>
              <w:t>年生产能力需达1000面及以上</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具有ISO9000系列质量保证体系认证书及年检记录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kern w:val="0"/>
                <w:sz w:val="18"/>
                <w:szCs w:val="18"/>
              </w:rPr>
            </w:pPr>
            <w:r>
              <w:rPr>
                <w:rFonts w:hint="eastAsia" w:ascii="宋体" w:hAnsi="宋体" w:cs="宋体"/>
                <w:kern w:val="0"/>
                <w:sz w:val="18"/>
                <w:szCs w:val="18"/>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电力设施安全防护防盗、消防系统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火灾报警系统</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注册资金不小于200万元人民币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具有ISO9000系列质量管理体系认证证书及年检记录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具有公安消防部门颁发的产品生产许可证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供应商应提供公安消防检测机构颁发的有效的型式试验报告或鉴定合格证</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3</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一次设备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避雷器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交流避雷器</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35kV及以下避雷器</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近三年（以投标截止日计算）内同电压等级及以上同类产品累计供货业绩不少于 -500台</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kern w:val="0"/>
                <w:sz w:val="18"/>
                <w:szCs w:val="18"/>
              </w:rPr>
            </w:pPr>
            <w:r>
              <w:rPr>
                <w:rFonts w:hint="eastAsia" w:ascii="宋体" w:hAnsi="宋体" w:cs="宋体"/>
                <w:kern w:val="0"/>
                <w:sz w:val="18"/>
                <w:szCs w:val="18"/>
              </w:rPr>
              <w:t>1000万元及以上人民币（注册资本金如为外币，以投标文件递交截止日中国银行公布的外汇牌价买入价折算）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具有完整的制造、工艺装备和试验设备；具有同等电压等级及以上交流避雷器研发、设计、制造和出厂试验的能力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kern w:val="0"/>
                <w:sz w:val="18"/>
                <w:szCs w:val="18"/>
              </w:rPr>
            </w:pPr>
            <w:r>
              <w:rPr>
                <w:rFonts w:hint="eastAsia" w:ascii="宋体" w:hAnsi="宋体" w:cs="宋体"/>
                <w:kern w:val="0"/>
                <w:sz w:val="18"/>
                <w:szCs w:val="18"/>
              </w:rPr>
              <w:t>年生产能力需达1000台及以上</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具有ISO9000系列质量保证体系认证书及年检记录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kern w:val="0"/>
                <w:sz w:val="18"/>
                <w:szCs w:val="18"/>
              </w:rPr>
            </w:pPr>
            <w:r>
              <w:rPr>
                <w:rFonts w:hint="eastAsia" w:ascii="宋体" w:hAnsi="宋体" w:cs="宋体"/>
                <w:kern w:val="0"/>
                <w:sz w:val="18"/>
                <w:szCs w:val="18"/>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4</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sz w:val="20"/>
                <w:szCs w:val="20"/>
              </w:rPr>
            </w:pPr>
            <w:r>
              <w:rPr>
                <w:rFonts w:hint="eastAsia" w:ascii="宋体" w:hAnsi="宋体" w:cs="宋体"/>
                <w:kern w:val="0"/>
                <w:sz w:val="18"/>
                <w:szCs w:val="18"/>
              </w:rPr>
              <w:t>低压电器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sz w:val="20"/>
                <w:szCs w:val="20"/>
              </w:rPr>
            </w:pPr>
            <w:r>
              <w:rPr>
                <w:rFonts w:hint="eastAsia" w:ascii="宋体" w:hAnsi="宋体" w:cs="宋体"/>
                <w:kern w:val="0"/>
                <w:sz w:val="18"/>
                <w:szCs w:val="18"/>
              </w:rPr>
              <w:t>低压电器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sz w:val="20"/>
                <w:szCs w:val="20"/>
              </w:rPr>
            </w:pPr>
            <w:r>
              <w:rPr>
                <w:rFonts w:hint="eastAsia" w:ascii="宋体" w:hAnsi="宋体" w:cs="宋体"/>
                <w:kern w:val="0"/>
                <w:sz w:val="18"/>
                <w:szCs w:val="18"/>
              </w:rPr>
              <w:t>低压电流互感器</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sz w:val="20"/>
                <w:szCs w:val="20"/>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b/>
                <w:kern w:val="0"/>
                <w:sz w:val="20"/>
                <w:szCs w:val="20"/>
              </w:rPr>
            </w:pPr>
            <w:r>
              <w:rPr>
                <w:rFonts w:hint="eastAsia" w:ascii="宋体" w:hAnsi="宋体" w:cs="宋体"/>
                <w:kern w:val="0"/>
                <w:sz w:val="18"/>
                <w:szCs w:val="18"/>
              </w:rPr>
              <w:t>近三年内（以投标截止日计算）累计至少有1000台同等电压等级及以上同类互感器的销售业绩；</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b/>
                <w:kern w:val="0"/>
                <w:sz w:val="20"/>
                <w:szCs w:val="20"/>
              </w:rPr>
            </w:pPr>
            <w:r>
              <w:rPr>
                <w:rFonts w:hint="eastAsia" w:ascii="宋体" w:hAnsi="宋体" w:cs="宋体"/>
                <w:kern w:val="0"/>
                <w:sz w:val="18"/>
                <w:szCs w:val="18"/>
              </w:rPr>
              <w:t>1000万元及以上人民币（注册资本金如为外币，以投标文件递交截止日中国银行公布的外汇牌价买入价折算）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b/>
                <w:kern w:val="0"/>
                <w:sz w:val="20"/>
                <w:szCs w:val="20"/>
              </w:rPr>
            </w:pPr>
            <w:r>
              <w:rPr>
                <w:rFonts w:hint="eastAsia" w:ascii="宋体" w:hAnsi="宋体" w:cs="宋体"/>
                <w:kern w:val="0"/>
                <w:sz w:val="18"/>
                <w:szCs w:val="18"/>
              </w:rPr>
              <w:t>具有完整的制造、工艺装备和试验设备；具有同等电压等级及以上同类互感器研发、设计、制造和出厂试验的能力。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b/>
                <w:kern w:val="0"/>
                <w:sz w:val="20"/>
                <w:szCs w:val="20"/>
              </w:rPr>
            </w:pPr>
            <w:r>
              <w:rPr>
                <w:rFonts w:hint="eastAsia" w:ascii="宋体" w:hAnsi="宋体" w:cs="宋体"/>
                <w:kern w:val="0"/>
                <w:sz w:val="18"/>
                <w:szCs w:val="18"/>
              </w:rPr>
              <w:t>　</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b/>
                <w:kern w:val="0"/>
                <w:sz w:val="20"/>
                <w:szCs w:val="20"/>
              </w:rPr>
            </w:pPr>
            <w:r>
              <w:rPr>
                <w:rFonts w:hint="eastAsia" w:ascii="宋体" w:hAnsi="宋体" w:cs="宋体"/>
                <w:kern w:val="0"/>
                <w:sz w:val="18"/>
                <w:szCs w:val="18"/>
              </w:rPr>
              <w:t>具有ISO9009系列质量保证体系认证书及年检记录。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b/>
                <w:kern w:val="0"/>
                <w:sz w:val="20"/>
                <w:szCs w:val="20"/>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b/>
                <w:kern w:val="0"/>
                <w:sz w:val="20"/>
                <w:szCs w:val="20"/>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b/>
                <w:kern w:val="0"/>
                <w:sz w:val="20"/>
                <w:szCs w:val="20"/>
              </w:rPr>
            </w:pPr>
            <w:r>
              <w:rPr>
                <w:rFonts w:hint="eastAsia" w:ascii="宋体" w:hAnsi="宋体" w:cs="宋体"/>
                <w:kern w:val="0"/>
                <w:sz w:val="18"/>
                <w:szCs w:val="18"/>
              </w:rPr>
              <w:t>供应商应提供国家认可第三方权威检测机构的有效的型式试验报告。并提供计量许可证</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5</w:t>
            </w:r>
          </w:p>
          <w:p>
            <w:pPr>
              <w:jc w:val="center"/>
              <w:rPr>
                <w:rFonts w:ascii="宋体" w:hAnsi="宋体" w:cs="宋体"/>
                <w:b/>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低压屏（柜）、箱</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端子箱</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近三年内（以投标截止日计算）同电压等级及以上累计销售业绩 100台及以上</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注册资金不少于500万元人民币（外币按投标截止当日汇率折合）</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具有完整的制造、工艺装备和试验设备；具有设计、制造能力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6</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电源系统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一体化电源系统</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近三年内（以投标截止日计算）同电压等级及以上累计销售业绩10套及以上</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注册资金不少于500万元人民币（外币按投标截止当日汇率折合）</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具有完整的制造、工艺装备和试验设备；具有同等电压等级及以上研发、设计、制造和出厂试验的能力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供应商应提供国家认可第三方权威检测机构的有效的型式试验报告及动模试验报告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7</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智能变电站二次设备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智能变电站测控及在线监测系统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智能变电站辅助系统综合监控平台</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近三年内（以投标截止日计算）同电压等级及以上累计销售业绩2套及以上</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注册资金不少于1000万元人民币（外币按投标截止当日汇率折合）</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具有完整的制造、工艺装备和试验设备；具有同等电压等级及以上研发、设计、制造和出厂试验的能力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8</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测控及在线监测系统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变电在线监测装置</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避雷器在线监测系统</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近三年内（以投标截止日计算）同电压等级及以上累计销售业绩不少于 10套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企业注册资本人民币1000万元以上（外币按投标截止当日汇率折合）</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具有完整的制造、工艺装备和试验设备；具有同等电压等级及以上研发、设计、制造和出厂试验的能力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投标人应提供省级及以上第三方权威检测机构的合格全性能试验报告，或提供相关证明文件。</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9</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通信设备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通信网络管理系统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光缆在线监测系统</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制造商：投标产品近三年内（以制造商：投标截止日计算）累计销售业绩不少于20套。</w:t>
            </w:r>
            <w:r>
              <w:rPr>
                <w:rFonts w:hint="eastAsia" w:ascii="宋体" w:hAnsi="宋体" w:cs="宋体"/>
                <w:kern w:val="0"/>
                <w:sz w:val="18"/>
                <w:szCs w:val="18"/>
              </w:rPr>
              <w:br w:type="textWrapping"/>
            </w:r>
            <w:r>
              <w:rPr>
                <w:rFonts w:hint="eastAsia" w:ascii="宋体" w:hAnsi="宋体" w:cs="宋体"/>
                <w:kern w:val="0"/>
                <w:sz w:val="18"/>
                <w:szCs w:val="18"/>
              </w:rPr>
              <w:t>代理商：投标产品近三年内（以代理商：投标截止日计算）累计销售业绩不少于20套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制造商:注册资金不少于500万元人民币（外币按投标截止当日汇率折合）。</w:t>
            </w:r>
            <w:r>
              <w:rPr>
                <w:rFonts w:hint="eastAsia" w:ascii="宋体" w:hAnsi="宋体" w:cs="宋体"/>
                <w:kern w:val="0"/>
                <w:sz w:val="18"/>
                <w:szCs w:val="18"/>
              </w:rPr>
              <w:br w:type="textWrapping"/>
            </w:r>
            <w:r>
              <w:rPr>
                <w:rFonts w:hint="eastAsia" w:ascii="宋体" w:hAnsi="宋体" w:cs="宋体"/>
                <w:kern w:val="0"/>
                <w:sz w:val="18"/>
                <w:szCs w:val="18"/>
              </w:rPr>
              <w:t>代理商:注册资金不少于100万元人民币（外币按投标截止当日汇率折合）。</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年生产能力需达100套及以上。</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供应商应提供国家认可第三方权威检测机构的有效的检测报告。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10</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电力设施安全防护防盗、消防系统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防鸟设备</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注册资金不小于200万元人民币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具有ISO9000系列质量管理体系认证证书及年检记录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具有国家指定机构颁发的检测报告以及实行许可证管理的必须提供国家有权机关颁发的生产许可证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供应商应提供国家级检测机构的有效的型式试验报告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工器具</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辅助工器具</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RFID电子标签</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RFID电子标签</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近三年内（以投标截止日计算）辅助工器具类产品供货业绩不少于 30万元。</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注册资金不少于100万元人民币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制造厂家具有完整的制造、工艺装备和试验设备；具有同类设备研发、设计、制造和出厂试验的能力。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供应商应根据产品性能提供有效的鉴定报告或检测报告。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装置性材料</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电缆</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低压电力电缆</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近三年内（以投标截止日计算）累计销售业绩不少于 400km</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2000万元及以上人民币（注册资本金如为外币，以投标文件递交截止日中国银行公布的外汇牌价买入价折算）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具有完整的制造、工艺装备和试验设备；具有同等电压等级及以上电缆研发、设计、制造和出厂试验的能力；具备例行试验所需的试验设备。</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产品制造商须具备至少3条硅烷或辐照交联电缆能力</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13</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装置性材料</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杆塔类</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铁塔</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近三年内（以投标截止日计算）累计销售业绩不少于 3000吨</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1500万元及以上人民币（注册资本金如为外币，以投标文件递交截止日中国银行公布的外汇牌价买入价折算）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具有同等电压等级及以上铁塔研发、设计、制造和出厂试验的能力；具有完整的制造、工艺装备和试验设备，且角钢塔生产装备要求：</w:t>
            </w:r>
            <w:r>
              <w:rPr>
                <w:rFonts w:hint="eastAsia" w:ascii="宋体" w:hAnsi="宋体" w:cs="宋体"/>
                <w:kern w:val="0"/>
                <w:sz w:val="18"/>
                <w:szCs w:val="18"/>
              </w:rPr>
              <w:br w:type="textWrapping"/>
            </w:r>
            <w:r>
              <w:rPr>
                <w:rFonts w:hint="eastAsia" w:ascii="宋体" w:hAnsi="宋体" w:cs="宋体"/>
                <w:kern w:val="0"/>
                <w:sz w:val="18"/>
                <w:szCs w:val="18"/>
              </w:rPr>
              <w:t>具备角钢及板材自动生产线；</w:t>
            </w:r>
            <w:r>
              <w:rPr>
                <w:rFonts w:hint="eastAsia" w:ascii="宋体" w:hAnsi="宋体" w:cs="宋体"/>
                <w:kern w:val="0"/>
                <w:sz w:val="18"/>
                <w:szCs w:val="18"/>
              </w:rPr>
              <w:br w:type="textWrapping"/>
            </w:r>
            <w:r>
              <w:rPr>
                <w:rFonts w:hint="eastAsia" w:ascii="宋体" w:hAnsi="宋体" w:cs="宋体"/>
                <w:kern w:val="0"/>
                <w:sz w:val="18"/>
                <w:szCs w:val="18"/>
              </w:rPr>
              <w:t>具备焊接探伤等无损检测设备；</w:t>
            </w:r>
            <w:r>
              <w:rPr>
                <w:rFonts w:hint="eastAsia" w:ascii="宋体" w:hAnsi="宋体" w:cs="宋体"/>
                <w:kern w:val="0"/>
                <w:sz w:val="18"/>
                <w:szCs w:val="18"/>
              </w:rPr>
              <w:br w:type="textWrapping"/>
            </w:r>
            <w:r>
              <w:rPr>
                <w:rFonts w:hint="eastAsia" w:ascii="宋体" w:hAnsi="宋体" w:cs="宋体"/>
                <w:kern w:val="0"/>
                <w:sz w:val="18"/>
                <w:szCs w:val="18"/>
              </w:rPr>
              <w:t>具备12米长度构件的热镀锌能力；</w:t>
            </w:r>
            <w:r>
              <w:rPr>
                <w:rFonts w:hint="eastAsia" w:ascii="宋体" w:hAnsi="宋体" w:cs="宋体"/>
                <w:kern w:val="0"/>
                <w:sz w:val="18"/>
                <w:szCs w:val="18"/>
              </w:rPr>
              <w:br w:type="textWrapping"/>
            </w:r>
            <w:r>
              <w:rPr>
                <w:rFonts w:hint="eastAsia" w:ascii="宋体" w:hAnsi="宋体" w:cs="宋体"/>
                <w:kern w:val="0"/>
                <w:sz w:val="18"/>
                <w:szCs w:val="18"/>
              </w:rPr>
              <w:t>具备试组装场地及设备。</w:t>
            </w:r>
            <w:r>
              <w:rPr>
                <w:rFonts w:hint="eastAsia" w:ascii="宋体" w:hAnsi="宋体" w:cs="宋体"/>
                <w:kern w:val="0"/>
                <w:sz w:val="18"/>
                <w:szCs w:val="18"/>
              </w:rPr>
              <w:br w:type="textWrapping"/>
            </w:r>
            <w:r>
              <w:rPr>
                <w:rFonts w:hint="eastAsia" w:ascii="宋体" w:hAnsi="宋体" w:cs="宋体"/>
                <w:kern w:val="0"/>
                <w:sz w:val="18"/>
                <w:szCs w:val="18"/>
              </w:rPr>
              <w:t>大跨越和钢管塔的生产装备要求，除满足角钢塔要求外，还应满足以下条件：</w:t>
            </w:r>
            <w:r>
              <w:rPr>
                <w:rFonts w:hint="eastAsia" w:ascii="宋体" w:hAnsi="宋体" w:cs="宋体"/>
                <w:kern w:val="0"/>
                <w:sz w:val="18"/>
                <w:szCs w:val="18"/>
              </w:rPr>
              <w:br w:type="textWrapping"/>
            </w:r>
            <w:r>
              <w:rPr>
                <w:rFonts w:hint="eastAsia" w:ascii="宋体" w:hAnsi="宋体" w:cs="宋体"/>
                <w:kern w:val="0"/>
                <w:sz w:val="18"/>
                <w:szCs w:val="18"/>
              </w:rPr>
              <w:t>具备剪板机、12米长或两台6米长的折弯机、数控相贯式切割机；</w:t>
            </w:r>
            <w:r>
              <w:rPr>
                <w:rFonts w:hint="eastAsia" w:ascii="宋体" w:hAnsi="宋体" w:cs="宋体"/>
                <w:kern w:val="0"/>
                <w:sz w:val="18"/>
                <w:szCs w:val="18"/>
              </w:rPr>
              <w:br w:type="textWrapping"/>
            </w:r>
            <w:r>
              <w:rPr>
                <w:rFonts w:hint="eastAsia" w:ascii="宋体" w:hAnsi="宋体" w:cs="宋体"/>
                <w:kern w:val="0"/>
                <w:sz w:val="18"/>
                <w:szCs w:val="18"/>
              </w:rPr>
              <w:t>具备可处理12米长钢材的火焰自动切割机、自动焊接设备；</w:t>
            </w:r>
            <w:r>
              <w:rPr>
                <w:rFonts w:hint="eastAsia" w:ascii="宋体" w:hAnsi="宋体" w:cs="宋体"/>
                <w:kern w:val="0"/>
                <w:sz w:val="18"/>
                <w:szCs w:val="18"/>
              </w:rPr>
              <w:br w:type="textWrapping"/>
            </w:r>
            <w:r>
              <w:rPr>
                <w:rFonts w:hint="eastAsia" w:ascii="宋体" w:hAnsi="宋体" w:cs="宋体"/>
                <w:kern w:val="0"/>
                <w:sz w:val="18"/>
                <w:szCs w:val="18"/>
              </w:rPr>
              <w:t>具备相应根开的钢管塔立式组装条件。</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地市级以上检验报告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14</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电力设施安全防护防盗、消防系统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防鸟设备</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注册资金不小于200万元人民币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具有ISO9000系列质量管理体系认证证书及年检记录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具有国家指定机构颁发的检测报告以及实行许可证管理的必须提供国家有权机关颁发的生产许可证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供应商应提供国家级检测机构的有效的型式试验报告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15</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电网仿真分析数据平台</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ascii="宋体" w:hAnsi="宋体" w:cs="宋体"/>
                <w:kern w:val="0"/>
                <w:sz w:val="18"/>
                <w:szCs w:val="18"/>
              </w:rPr>
              <w:t>提供银行资信证明及</w:t>
            </w:r>
            <w:r>
              <w:rPr>
                <w:rFonts w:hint="eastAsia" w:ascii="宋体" w:hAnsi="宋体" w:cs="宋体"/>
                <w:kern w:val="0"/>
                <w:sz w:val="18"/>
                <w:szCs w:val="18"/>
              </w:rPr>
              <w:t>3A证书</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16</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高压设备参数测量系统</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近三年供货业绩20（套）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100万元及以上人民币（注册资本金如为外币，以投标文件递交截止日中国银行公布的外汇牌价买入价折算）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具有完整的制造、工艺装备和试验设备；具有同类型产品研发、设计、制造和出厂检测的能力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年生产能力需达10（套）及以上</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国家权威部门颁发的和招标产品对应的有效生产制造许可证（如需要）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17</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开关机械特性测试仪</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近三年供货业绩200台</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100万元及以上人民币（注册资本金如为外币，以投标文件递交截止日中国银行公布的外汇牌价买入价折算）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具有完整的制造、工艺装备和试验设备；具有同类型产品研发、设计、制造和出厂检测的能力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年生产能力需达100台及以上</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国家权威部门颁发的和招标产品对应的有效生产制造许可证（如需要）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18</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相位伏安表</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近三年供货业绩500（台）</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50万元及以上人民币（注册资本金如为外币，以投标文件递交截止日中国银行公布的外汇牌价买入价折算）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具有完整的制造、工艺装备和试验设备；具有同类型产品研发、设计、制造和出厂检测的能力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年生产能力需达500（台）及以上</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19</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蓄电池内阻测试仪</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近三年供货业绩100台</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50万元及以上人民币（注册资本金如为外币，以投标文件递交截止日中国银行公布的外汇牌价买入价折算）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具有完整的制造、工艺装备和试验设备；具有同类型产品研发、设计、制造和出厂检测的能力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年生产能力需达50台及以上</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省级及以上权威检测机构的有效型式试验（鉴定）报告</w:t>
            </w:r>
          </w:p>
        </w:tc>
      </w:tr>
    </w:tbl>
    <w:p>
      <w:pPr>
        <w:rPr>
          <w:b/>
        </w:rPr>
      </w:pPr>
      <w:r>
        <w:rPr>
          <w:rFonts w:hint="eastAsia"/>
          <w:b/>
        </w:rPr>
        <w:t>022分标-办公家具：必须满足国家相关环保要求的优良标准，且须提供所供家具的环保测试证明；具有ISO9000系列认证证书或等同的质量体系认证证书。</w:t>
      </w:r>
    </w:p>
    <w:p>
      <w:pPr>
        <w:rPr>
          <w:b/>
        </w:rPr>
      </w:pPr>
      <w:r>
        <w:rPr>
          <w:rFonts w:hint="eastAsia"/>
          <w:b/>
        </w:rPr>
        <w:t>025分标-人脸识别消费机：营业范围包含计算机服务的相关内容，具有人脸识别消费机生产能力。</w:t>
      </w: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r>
        <w:rPr>
          <w:rFonts w:hint="eastAsia"/>
          <w:b/>
        </w:rPr>
        <w:t>附件3：国网青海省电力公司2019年第六次物资（281906）招标采购项目最高投标限价清单</w:t>
      </w:r>
    </w:p>
    <w:p/>
    <w:tbl>
      <w:tblPr>
        <w:tblStyle w:val="95"/>
        <w:tblW w:w="13765" w:type="dxa"/>
        <w:tblInd w:w="93" w:type="dxa"/>
        <w:tblLayout w:type="fixed"/>
        <w:tblCellMar>
          <w:top w:w="0" w:type="dxa"/>
          <w:left w:w="108" w:type="dxa"/>
          <w:bottom w:w="0" w:type="dxa"/>
          <w:right w:w="108" w:type="dxa"/>
        </w:tblCellMar>
      </w:tblPr>
      <w:tblGrid>
        <w:gridCol w:w="555"/>
        <w:gridCol w:w="1020"/>
        <w:gridCol w:w="865"/>
        <w:gridCol w:w="1261"/>
        <w:gridCol w:w="680"/>
        <w:gridCol w:w="1021"/>
        <w:gridCol w:w="1843"/>
        <w:gridCol w:w="1984"/>
        <w:gridCol w:w="992"/>
        <w:gridCol w:w="567"/>
        <w:gridCol w:w="1276"/>
        <w:gridCol w:w="1701"/>
      </w:tblGrid>
      <w:tr>
        <w:tblPrEx>
          <w:tblLayout w:type="fixed"/>
          <w:tblCellMar>
            <w:top w:w="0" w:type="dxa"/>
            <w:left w:w="108" w:type="dxa"/>
            <w:bottom w:w="0" w:type="dxa"/>
            <w:right w:w="108" w:type="dxa"/>
          </w:tblCellMar>
        </w:tblPrEx>
        <w:trPr>
          <w:trHeight w:val="735" w:hRule="atLeast"/>
        </w:trPr>
        <w:tc>
          <w:tcPr>
            <w:tcW w:w="555" w:type="dxa"/>
            <w:tcBorders>
              <w:top w:val="single" w:color="000000" w:sz="8" w:space="0"/>
              <w:left w:val="single" w:color="000000" w:sz="8" w:space="0"/>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序号</w:t>
            </w:r>
          </w:p>
        </w:tc>
        <w:tc>
          <w:tcPr>
            <w:tcW w:w="1020" w:type="dxa"/>
            <w:tcBorders>
              <w:top w:val="single" w:color="000000" w:sz="8" w:space="0"/>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网省采购申请号</w:t>
            </w:r>
          </w:p>
        </w:tc>
        <w:tc>
          <w:tcPr>
            <w:tcW w:w="865" w:type="dxa"/>
            <w:tcBorders>
              <w:top w:val="single" w:color="000000" w:sz="8" w:space="0"/>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行号</w:t>
            </w:r>
          </w:p>
        </w:tc>
        <w:tc>
          <w:tcPr>
            <w:tcW w:w="1261" w:type="dxa"/>
            <w:tcBorders>
              <w:top w:val="single" w:color="000000" w:sz="8" w:space="0"/>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分标编号</w:t>
            </w:r>
          </w:p>
        </w:tc>
        <w:tc>
          <w:tcPr>
            <w:tcW w:w="680" w:type="dxa"/>
            <w:tcBorders>
              <w:top w:val="single" w:color="000000" w:sz="8" w:space="0"/>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包号</w:t>
            </w:r>
          </w:p>
        </w:tc>
        <w:tc>
          <w:tcPr>
            <w:tcW w:w="1021" w:type="dxa"/>
            <w:tcBorders>
              <w:top w:val="single" w:color="000000" w:sz="8" w:space="0"/>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项目单位</w:t>
            </w:r>
          </w:p>
        </w:tc>
        <w:tc>
          <w:tcPr>
            <w:tcW w:w="1843" w:type="dxa"/>
            <w:tcBorders>
              <w:top w:val="single" w:color="000000" w:sz="8" w:space="0"/>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工程项目名称</w:t>
            </w:r>
            <w:r>
              <w:rPr>
                <w:rFonts w:ascii="Arial" w:hAnsi="Arial" w:cs="Arial"/>
                <w:b/>
                <w:bCs/>
                <w:color w:val="000000"/>
                <w:kern w:val="0"/>
                <w:sz w:val="20"/>
                <w:szCs w:val="20"/>
              </w:rPr>
              <w:t xml:space="preserve"> </w:t>
            </w:r>
          </w:p>
        </w:tc>
        <w:tc>
          <w:tcPr>
            <w:tcW w:w="1984" w:type="dxa"/>
            <w:tcBorders>
              <w:top w:val="single" w:color="000000" w:sz="8" w:space="0"/>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物资描述</w:t>
            </w:r>
          </w:p>
        </w:tc>
        <w:tc>
          <w:tcPr>
            <w:tcW w:w="992" w:type="dxa"/>
            <w:tcBorders>
              <w:top w:val="single" w:color="000000" w:sz="8" w:space="0"/>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单位</w:t>
            </w:r>
          </w:p>
        </w:tc>
        <w:tc>
          <w:tcPr>
            <w:tcW w:w="567" w:type="dxa"/>
            <w:tcBorders>
              <w:top w:val="single" w:color="000000" w:sz="8" w:space="0"/>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数量</w:t>
            </w:r>
          </w:p>
        </w:tc>
        <w:tc>
          <w:tcPr>
            <w:tcW w:w="1276" w:type="dxa"/>
            <w:tcBorders>
              <w:top w:val="single" w:color="000000" w:sz="8" w:space="0"/>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最高限价总价（万元）含税</w:t>
            </w:r>
          </w:p>
        </w:tc>
        <w:tc>
          <w:tcPr>
            <w:tcW w:w="1701" w:type="dxa"/>
            <w:tcBorders>
              <w:top w:val="single" w:color="000000" w:sz="8" w:space="0"/>
              <w:left w:val="nil"/>
              <w:bottom w:val="single" w:color="000000" w:sz="8" w:space="0"/>
              <w:right w:val="single" w:color="000000" w:sz="8" w:space="0"/>
            </w:tcBorders>
            <w:shd w:val="clear" w:color="000000" w:fill="FFFFFF"/>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技术规范</w:t>
            </w:r>
            <w:r>
              <w:rPr>
                <w:rFonts w:ascii="Arial" w:hAnsi="Arial" w:cs="Arial"/>
                <w:b/>
                <w:bCs/>
                <w:color w:val="000000"/>
                <w:kern w:val="0"/>
                <w:sz w:val="20"/>
                <w:szCs w:val="20"/>
              </w:rPr>
              <w:t>ID</w:t>
            </w:r>
          </w:p>
        </w:tc>
      </w:tr>
      <w:tr>
        <w:tblPrEx>
          <w:tblLayout w:type="fixed"/>
          <w:tblCellMar>
            <w:top w:w="0" w:type="dxa"/>
            <w:left w:w="108" w:type="dxa"/>
            <w:bottom w:w="0" w:type="dxa"/>
            <w:right w:w="108" w:type="dxa"/>
          </w:tblCellMar>
        </w:tblPrEx>
        <w:trPr>
          <w:trHeight w:val="14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w:t>
            </w:r>
          </w:p>
        </w:tc>
        <w:tc>
          <w:tcPr>
            <w:tcW w:w="1020"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0500252445</w:t>
            </w:r>
          </w:p>
        </w:tc>
        <w:tc>
          <w:tcPr>
            <w:tcW w:w="865"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WZ-281906-002</w:t>
            </w:r>
          </w:p>
        </w:tc>
        <w:tc>
          <w:tcPr>
            <w:tcW w:w="680"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国网青海果洛玛沁县供电公司生产综合楼</w:t>
            </w:r>
          </w:p>
        </w:tc>
        <w:tc>
          <w:tcPr>
            <w:tcW w:w="1984"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高压开关柜,AC10kV,馈线开关柜,小车式,630A,20kA,真空</w:t>
            </w:r>
          </w:p>
        </w:tc>
        <w:tc>
          <w:tcPr>
            <w:tcW w:w="992"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20.679999</w:t>
            </w:r>
          </w:p>
        </w:tc>
        <w:tc>
          <w:tcPr>
            <w:tcW w:w="1701"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2804-500002507-00001</w:t>
            </w:r>
          </w:p>
        </w:tc>
      </w:tr>
      <w:tr>
        <w:tblPrEx>
          <w:tblLayout w:type="fixed"/>
          <w:tblCellMar>
            <w:top w:w="0" w:type="dxa"/>
            <w:left w:w="108" w:type="dxa"/>
            <w:bottom w:w="0" w:type="dxa"/>
            <w:right w:w="108" w:type="dxa"/>
          </w:tblCellMar>
        </w:tblPrEx>
        <w:trPr>
          <w:trHeight w:val="14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0500252446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WZ-281906-002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国网青海果洛玛沁县供电公司生产综合楼</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高压开关柜,AC10kV,进线开关柜,小车式,630A,20kA,真空</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6.9400001</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2804-500002505-00001</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0500252447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WZ-281906-002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国网青海果洛玛沁县供电公司生产综合楼</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低压开关柜,AC380V,固定式,馈线,1250A,50kA</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16.799999</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2804-500006463-00001</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0500252448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WZ-281906-002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国网青海果洛玛沁县供电公司生产综合楼</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低压开关柜,AC380V,固定式,进线,1250A,65kA</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11.799998</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2804-500006388-00002</w:t>
            </w:r>
          </w:p>
        </w:tc>
      </w:tr>
      <w:tr>
        <w:tblPrEx>
          <w:tblLayout w:type="fixed"/>
          <w:tblCellMar>
            <w:top w:w="0" w:type="dxa"/>
            <w:left w:w="108" w:type="dxa"/>
            <w:bottom w:w="0" w:type="dxa"/>
            <w:right w:w="108" w:type="dxa"/>
          </w:tblCellMar>
        </w:tblPrEx>
        <w:trPr>
          <w:trHeight w:val="103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0500252565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WZ-281906-002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国网青海果洛玛沁县供电公司生产综合楼</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高压计量柜,AC10kV</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4.7599996</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2804-500008675-00001</w:t>
            </w:r>
          </w:p>
        </w:tc>
      </w:tr>
      <w:tr>
        <w:tblPrEx>
          <w:tblLayout w:type="fixed"/>
          <w:tblCellMar>
            <w:top w:w="0" w:type="dxa"/>
            <w:left w:w="108" w:type="dxa"/>
            <w:bottom w:w="0" w:type="dxa"/>
            <w:right w:w="108" w:type="dxa"/>
          </w:tblCellMar>
        </w:tblPrEx>
        <w:trPr>
          <w:trHeight w:val="14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0500255252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WZ-281906-004</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青海电力公司检修公司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国网青海检修公司330kV李宁II线33基塔防雷整治</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交流避雷器,AC330kV,300kV,硅橡胶,727kV,带间隙</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188.99996</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2810-500029906-00005</w:t>
            </w:r>
          </w:p>
        </w:tc>
      </w:tr>
      <w:tr>
        <w:tblPrEx>
          <w:tblLayout w:type="fixed"/>
          <w:tblCellMar>
            <w:top w:w="0" w:type="dxa"/>
            <w:left w:w="108" w:type="dxa"/>
            <w:bottom w:w="0" w:type="dxa"/>
            <w:right w:w="108" w:type="dxa"/>
          </w:tblCellMar>
        </w:tblPrEx>
        <w:trPr>
          <w:trHeight w:val="14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0500255253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WZ-281906-004</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青海电力公司检修公司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国网青海检修公司330kV山达II线21基塔防雷整治</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交流避雷器,AC330kV,300kV,硅橡胶,727kV,带间隙</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188.99996</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2810-500029906-00007</w:t>
            </w:r>
          </w:p>
        </w:tc>
      </w:tr>
      <w:tr>
        <w:tblPrEx>
          <w:tblLayout w:type="fixed"/>
          <w:tblCellMar>
            <w:top w:w="0" w:type="dxa"/>
            <w:left w:w="108" w:type="dxa"/>
            <w:bottom w:w="0" w:type="dxa"/>
            <w:right w:w="108" w:type="dxa"/>
          </w:tblCellMar>
        </w:tblPrEx>
        <w:trPr>
          <w:trHeight w:val="14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0500255254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WZ-281906-004</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青海电力公司检修公司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国网青海检修公司330kV李宁I线33基塔防雷整治</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交流避雷器,AC330kV,300kV,硅橡胶,727kV,带间隙</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188.99996</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2810-500029906-00006</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0500219384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WZ-281906-007</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青海省电力公司海西供电公司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国网青海海西供电公司110kV红山变二次设备改造</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一体化电源系统,DC220V,80A</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16.799999</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2888-500100357-00004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0500254513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WZ-281906-007</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青海省电力公司信息通信公司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国网青海信通公司同仁县供电公司等18个站点逆变电源技术改造</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逆变电源,3kVA</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10.620002</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28GH-500027223-00004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0500255154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WZ-281906-009</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青海电力公司检修公司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国网青海检修公司330kV宁花I线等5条线路耐张线夹测温物联网试点建设</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无线通信专网设备,基站</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81.510011</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2810-500138916-00001</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0500255154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WZ-281906-009</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青海电力公司检修公司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国网青海检修公司330kV宁花I线等5条线路耐张线夹测温物联网试点建设</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线路在线监测装置,线温监测系统</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876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87.60042</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2810-500008840-00001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0500219384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WZ-281906-010</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青海省电力公司海西供电公司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国网青海海西供电公司110kV红山变二次设备改造</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视频监视系统</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13.56</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2888-500009720-00004</w:t>
            </w:r>
          </w:p>
        </w:tc>
      </w:tr>
      <w:tr>
        <w:tblPrEx>
          <w:tblLayout w:type="fixed"/>
          <w:tblCellMar>
            <w:top w:w="0" w:type="dxa"/>
            <w:left w:w="108" w:type="dxa"/>
            <w:bottom w:w="0" w:type="dxa"/>
            <w:right w:w="108" w:type="dxa"/>
          </w:tblCellMar>
        </w:tblPrEx>
        <w:trPr>
          <w:trHeight w:val="103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0500240680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WZ-281906-010</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国网青海海南供电公司生产倒班用房</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视频监视系统</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6.78</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2807-500009720-00006</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0500253060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WZ-281906-010</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国网青海海东供电公司京藏高速乐都服务区（兰州方向）充电站新建</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视频监视系统</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5.0000003</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A644-500009720-00016</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0500253061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WZ-281906-010</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国网青海海东供电公司京藏高速乐都服务区（西宁方向）充电站新建</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视频监视系统</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5.0000003</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A644-500009720-00015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0500253062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WZ-281906-010</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国网青海海东供电公司京藏高速马场垣服务区（兰州方向）充电站新建</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视频监视系统</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5.0000003</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A644-500009720-00013</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0500253063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WZ-281906-010</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国网青海海东供电公司京藏高速马场垣服务区（西宁方向）充电站新建</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视频监视系统</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5.0000003</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A644-500009720-00011</w:t>
            </w:r>
          </w:p>
        </w:tc>
      </w:tr>
      <w:tr>
        <w:tblPrEx>
          <w:tblLayout w:type="fixed"/>
          <w:tblCellMar>
            <w:top w:w="0" w:type="dxa"/>
            <w:left w:w="108" w:type="dxa"/>
            <w:bottom w:w="0" w:type="dxa"/>
            <w:right w:w="108" w:type="dxa"/>
          </w:tblCellMar>
        </w:tblPrEx>
        <w:trPr>
          <w:trHeight w:val="199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0500252366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青海省电力公司西宁供电公司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kern w:val="0"/>
                <w:sz w:val="20"/>
                <w:szCs w:val="20"/>
              </w:rPr>
              <w:t>国网青海西宁供电公司</w:t>
            </w:r>
            <w:r>
              <w:rPr>
                <w:rFonts w:hint="eastAsia" w:ascii="宋体" w:hAnsi="宋体" w:cs="宋体"/>
                <w:color w:val="000000"/>
                <w:kern w:val="0"/>
                <w:sz w:val="22"/>
                <w:szCs w:val="22"/>
              </w:rPr>
              <w:t>2019</w:t>
            </w:r>
            <w:r>
              <w:rPr>
                <w:rFonts w:hint="eastAsia" w:ascii="宋体" w:hAnsi="宋体" w:cs="宋体"/>
                <w:kern w:val="0"/>
                <w:sz w:val="20"/>
                <w:szCs w:val="20"/>
              </w:rPr>
              <w:t>年基于泛在电力物联网</w:t>
            </w:r>
            <w:r>
              <w:rPr>
                <w:rFonts w:hint="eastAsia" w:ascii="宋体" w:hAnsi="宋体" w:cs="宋体"/>
                <w:color w:val="000000"/>
                <w:kern w:val="0"/>
                <w:sz w:val="22"/>
                <w:szCs w:val="22"/>
              </w:rPr>
              <w:t>HPLC</w:t>
            </w:r>
            <w:r>
              <w:rPr>
                <w:rFonts w:hint="eastAsia" w:ascii="宋体" w:hAnsi="宋体" w:cs="宋体"/>
                <w:kern w:val="0"/>
                <w:sz w:val="20"/>
                <w:szCs w:val="20"/>
              </w:rPr>
              <w:t>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8229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只</w:t>
            </w:r>
          </w:p>
        </w:tc>
        <w:tc>
          <w:tcPr>
            <w:tcW w:w="1276" w:type="dxa"/>
            <w:vMerge w:val="restart"/>
            <w:tcBorders>
              <w:top w:val="nil"/>
              <w:left w:val="single" w:color="auto" w:sz="4" w:space="0"/>
              <w:bottom w:val="single" w:color="000000"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141.07</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2813-500138761-00015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0500252366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青海省电力公司西宁供电公司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国网青海西宁供电公司2019年基于泛在电力物联网HPLC智能电能表推广应用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551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2813-500138757-00008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12503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A644-500138761-00009</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1121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A644-500138757-00004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0500252990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青海省电力公司黄化供电公司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国网青海黄化供电公司2019年基于泛在电力物联网HPLC智能电能表推广应用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2475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2809-500138761-00015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0500252990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青海省电力公司黄化供电公司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国网青海黄化供电公司2019年基于泛在电力物联网HPLC智能电能表推广应用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225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2809-500138757-00016</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包2</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87505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restart"/>
            <w:tcBorders>
              <w:top w:val="nil"/>
              <w:left w:val="single" w:color="auto" w:sz="4" w:space="0"/>
              <w:bottom w:val="single" w:color="000000"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524.166</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A644-500138761-00007</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0500252990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包2</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青海省电力公司黄化供电公司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国网青海黄化供电公司2019年基于泛在电力物联网HPLC智能电能表推广应用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17323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2809-500138761-00013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0500247404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果洛州甘德县青珍乡龙尕尔村10kV及低压电网延伸工程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restart"/>
            <w:tcBorders>
              <w:top w:val="nil"/>
              <w:left w:val="single" w:color="auto" w:sz="4" w:space="0"/>
              <w:bottom w:val="single" w:color="000000"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435.578</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2804-500138761-00014</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0500247405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青海果洛班玛县10kV赛一路线路及台区改造工程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733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2804-500138761-00012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青海果洛班玛县10kV仁一路线路及台区改造工程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968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2804-500138761-00013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580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果洛州甘德县下藏科乡科赛村10kV及低压电网延伸工程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292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2804-500138761-00015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青海果洛达日县10kV达一路沙日纳一台区等配变电改造工程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2804-500138761-00021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青海果洛玛沁县大武镇棚户区改造电网建设工程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291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2804-500138761-00020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青海果洛甘德县柯曲镇达协村10kV及低压电网延伸工程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2804-500138761-00018</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0500247720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青海果洛玛沁县拉加镇棚户区改造电网建设工程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214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2804-500138761-00017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0500247722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青海果洛甘德县10kV达协一台区等3个台区改造工程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2804-500138761-00019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0500250103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果洛州甘德县德尔文110kV变电站10kV配出工程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437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2804-500138761-00016</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0500252366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青海省电力公司西宁供电公司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国网青海西宁供电公司2019年基于泛在电力物联网HPLC智能电能表推广应用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57604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2813-500138761-00013</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0500252456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青海海东乐都徐家台二期易地搬迁安置点10kV线路及台区新建工程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A644-500138761-00010</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0500252505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青海海北祁连10kV野三路大浪村油葫芦台区等3个台区电增容改造工程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2805-500138761-00016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0500252506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青海海北门源县10kV庄二路达龙村6个台区增容改造工程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2805-500138761-00034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0500252507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青海海北祁连10千伏默二路多隆村那河寨台区等3个台区增容改造工程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2805-500138761-00020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0500252508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青海海北门源县10kV庄一路讨拉村9个台区增容改造工程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2805-500138761-00039</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0500252509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青海海北海晏10kV鸿三路主线#130-#196杆及热水泉2#台区等5个台区改造</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2805-500138761-00027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0500252610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青海海北门源县10kV雪四路塔里华村3个台区增容改造工程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2805-500138761-00047</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0500252611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青海海北海晏10kV幸三路主线#5-#378杆及幸福、莫相等分支线路改造工程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2805-500138761-00033</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青海海北央隆35kV变电站10kV（II期）配出工程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181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2805-500138761-00089</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0500252614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青海海北门源10kV浩四路支线改造工程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2805-500138761-00051</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0500252615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青海海北门源10kV青一路支线改造工程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2805-500138761-00053</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0500252616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青海海北央隆35kV变电站10kV（I期）配出工程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283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2805-500138761-00090</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0500252617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青海海北海晏10千伏鸿五路尕海村主线#81-#196杆及海什那分支线路改造工程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2805-500138761-00045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0500252618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青海海北海晏10kV沙三路1#-172#杆线路及德州4#台区等5个台区改造工程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2805-500138761-00050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0500252620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青海海北门源县10kV皇一路西滩村3个台区增容改造工程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2805-500138761-00059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0500252621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青海海北门源10kV皇二路马营村5个台区增容改造工程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2805-500138761-00063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0500252629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青海海北刚察10千伏哈二路主线及塘渠一、二队台区增容改造工程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2805-500138761-00073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青海海北门源县10kV浩九路头塘村2个台区增容改造工程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193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2805-500138761-00083</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青海海北刚察10千伏哈五路亚秀麻分支等分支线路及亚秀麻1台区等6个台区增容改造工</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2805-500138761-00078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青海海北门源县10kV雪三路初麻院村9个台区增容改造工程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171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2805-500138761-00085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青海海北海晏10kV金四路三联新村1#台区等3个台区改造工程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2805-500138761-00060</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青海海北海晏10kV鸿三路佛海寺分支俄日村直合木台区等7个台区改造工程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2805-500138761-00064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60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青海海北海晏10kV沙三路172#-315#杆线路及德州5#台区等5个台区改造工</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2805-500138761-00068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61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青海海北祁连10kV默三路老日根村默勒新城区#1台区等3个台区增容改造工程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2805-500138761-00041</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62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青海海北祁连10kV峨三路峨堡村三角城口台区等2个台区增容改造工程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2805-500138761-00011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63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青海海北祁连10kV峨三路白石崖村沙窝头台区增容改造工程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2805-500138761-00012</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64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青海海北祁连10kV峨三路黄草沟村龙昆东台区等2个台区增容改造工程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2805-500138761-00013</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65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青海海北祁连10kV宝一路草达坂村阿柔检查站台区等2个台区电增容改造工程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2805-500138761-00014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66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青海海北祁连10kV宝一路青阳沟村青阳沟一台区等4个台区增容改造工程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2805-500138761-00015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67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青海海北海晏10kV鸿五路达玉村肯德分支热水泉台区等7个台区改造工程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2805-500138761-00022</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68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青海海北刚察10kV刚二路亚秀三支线及亚秀5台区等6个台区增容改造工程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2805-500138761-00065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69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青海海北门源10kV孔三路塔龙滩村3个台区增容改造工程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203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2805-500138761-00023</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70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青海海北门源10kV孔二路麻当村台区增容改造工程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2805-500138761-00025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71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青海海北门源10kV浩四路苏吉湾村8个台区增容改造工程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2805-500138761-00030</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72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青海海北祁连10kV默三路老日根村默勒新城区#4台区等2个台区电增容改造工程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2805-500138761-00017</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73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青海海北祁连10kV默三路瓦日尕村瓦日尕#1台区等3个台区增容改造工程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2805-500138761-00018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74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青海海北祁连10kV默三路才什图村才什图#2台区等2个台区村增容改造工程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2805-500138761-00019</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75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青海海北祁连10kV默二路海浪村百户寺（海浪东台区）增容改造工程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2805-500138761-00021</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76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青海海北刚察10kV刚二路亚贡分支及亚贡3台区等4个台区增容改造工程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2805-500138761-00066</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77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青海海北海晏10kV银八路低压电网延伸工程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2805-500138761-00035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78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青海海北刚察10kV热五路青达麻沟环仓秀麻村等异地扶贫搬迁新建工程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2805-500138761-00067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79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青海海北刚察10kV吉一路日芒村异地扶贫搬迁新建工程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2805-500138761-00069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80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青海海北刚察10kV吉三路秀脑贡麻村异地搬迁新建工程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2805-500138761-00070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81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青海海北祁连10kV默二路海浪村二社、四社定居点通电工程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2805-500138761-00029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82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青海海北祁连10kV野二路大玉村一、二、三社定居点通电工程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2805-500138761-00031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83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青海海北祁连10kV境三路营盘台村新增配变项目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2805-500138761-00032</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84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青海海北海晏10kV沙一路158#杆T达玉五谷村扎汉不拉口新建台区工程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2805-500138761-00036</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85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青海海北海晏10kV金一路低压电网延伸工程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2805-500138761-00043</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86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青海海北刚察10kV岛三路尕日拉分支及尕日拉2台区等2个台区增容改造</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2805-500138761-00071</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87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青海海北刚察10kV鸿一路公贡麻支线100-349杆及公贡麻6台区等4个台区增容</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2805-500138761-00072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88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青海海北门源10kV庄一路大庄村4个台区增容改造工程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233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2805-500138761-00056</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89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青海海北门源10kV浩四路疙瘩村2个台区增容改造工程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2805-500138761-00080</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90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青海海北门源10kV雪三路支线线路改造工程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2805-500138761-00081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91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青海海北门源10kV浩十路沈家湾村、后沟村异地搬迁工程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478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2805-500138761-00082</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92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青海海北祁连10kV默二路多隆村拉河在西台区台区等3个台区增容改造工程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2805-500138761-00037</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93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青海海北祁连10kV峨三路黄草沟村徳芒寺（黄草滩台区）增容改造工程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2805-500138761-00038</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94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青海海北门源10kV孔一路孔家庄村台区增容改造工程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193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2805-500138761-00084</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95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青海海北刚察10kV鸿一路公贡麻支线1-100杆及公贡麻1台区等4个台区增容改造</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2805-500138761-00074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96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青海海北刚察10kV刚二路亚秀一二支线及亚秀1台区等5个台区增容改造工程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2805-500138761-00075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97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青海海北刚察10kV刚二路主线173-303号杆及要热台区增容改造工程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2805-500138761-00076</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98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青海海北刚察10kV刚二路达拉沟支线及角秀4台区等2个台区增容改造工程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2805-500138761-00077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99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青海海北刚察10kV吉三路秀脑秀麻村新建台区工程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2805-500138761-00079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100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青海海北门源10kV青五路苏吉湾村2个台区增容改造工程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2805-500138761-00086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101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青海海北海晏10kV金一路勒景村哈勒景#3台区等6个台区改造工程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2805-500138761-00055</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102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青海海北门源10kV庄二路主线线路改造工程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2805-500138761-00087</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103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青海海北门源10kV孔二路支线线路改造工程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2805-500138761-00088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104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青海海北祁连10kV野三路小二珠龙台区等3个台区增容改造工程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2805-500138761-00040</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105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青海海北祁连10kV默三路默勒新城区#5台区等5个台区增容改造工程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2805-500138761-00044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106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青海海北祁连10kV峨一路小嘴子台区等3个台区增容改造工程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2805-500138761-00046</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107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青海海北祁连10kV峨三路峨堡村上高崖台区等12个台区增容改造工程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2805-500138761-00048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108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青海海北祁连10kV宝一路白石崖村白石崖四台区等11个台区增容改造工程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2805-500138761-00049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109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0500252730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青海海北祁连10kV峨三路黄草沟村谢龙脑台区等9个台区改造工程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2805-500138761-00052</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110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0500252731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青海海北祁连10kV宝二路草达坂村草达板三社台区等7个台区增容改造工程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2805-500138761-00054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111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青海海北祁连10kV祁一路日旭一号台区等5个台区增容改造工程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2805-500138761-00057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112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0500252733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青海海北祁连10kV野二路大浪村四社定居点通电工程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2805-500138761-00058</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113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0500252734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青海海北祁连10kV默三路才什图村、老日根村、瓦日尕村三村边缘克日扎地区定居点通</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173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2805-500138761-00061</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114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0500252735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青海海北祁连10kV皇二路皇城乡西滩一社台区等4个台区增容改造工程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2805-500138761-00062</w:t>
            </w:r>
          </w:p>
        </w:tc>
      </w:tr>
      <w:tr>
        <w:tblPrEx>
          <w:tblLayout w:type="fixed"/>
          <w:tblCellMar>
            <w:top w:w="0" w:type="dxa"/>
            <w:left w:w="108" w:type="dxa"/>
            <w:bottom w:w="0" w:type="dxa"/>
            <w:right w:w="108" w:type="dxa"/>
          </w:tblCellMar>
        </w:tblPrEx>
        <w:trPr>
          <w:trHeight w:val="163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115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青海玉树曲麻莱县巴干乡10kV巴二路1-8#台区线路新建工程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2814-500138761-00034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116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青海玉树曲麻莱县巴干乡10kV巴二路9-18#台区线路新建工程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2814-500138761-00040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117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青海玉树曲麻莱县巴干乡10kV巴二路19-25#台区线路新建工程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2814-500138761-00045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118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青海玉树曲麻莱县巴干乡10kV巴二路26-35#台区线路新建工程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2814-500138761-00052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119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青海玉树治多县多彩乡拉日村4#-9#台区10kV线路新建工程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2814-500138761-00011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120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青海玉树称多县清水河镇扎麻村8#-10#台区10kV线路新建工程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2814-500138761-00043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121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青海玉树称多县清水河镇扎麻村1#-7#台区10kV线路新建工程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140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2814-500138761-00036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122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青海玉树称多县扎朵镇向阳村1#-5#台区10kV线路新建工程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2814-500138761-00056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123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青海玉树称多县清水河镇扎哈村1#-4#台区10kV线路新建工程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2814-500138761-00032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124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青海玉树称多县清水河镇扎哈村5#-8#台区10kV线路新建工程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2814-500138761-00023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125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青海玉树称多县清水河镇扎哈村9#-15#台区10kV线路新建工程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2814-500138761-00009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126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青海玉树称多县清水河镇扎哈村16#-21#台区10kV线路新建工程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2814-500138761-00013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127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青海玉树称多县清水河镇扎哈村22#-25#台区10kV线路新建工程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2814-500138761-00016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128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青海玉树称多县清水河镇尕青村1#-5#台区10kV线路新建工程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2814-500138761-00062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129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青海玉树称多县清水河镇尕青村6#-11#台区10kV线路新建工程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2814-500138761-00029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130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青海玉树称多县扎朵镇向阳村6#-8#台区10kV线路新建工程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2814-500138761-00060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131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青海玉树称多县珍秦十一村10kV1#-7#台区新建工程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2814-500138761-00008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132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青海海北海晏10kV甘一路俄日村那卡海边下变台19台区等10个台区改造工程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2805-500138761-00024</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133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青海海北门源10kV浩三路大庄村增容改造工程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270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2805-500138761-00042</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134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青海海北祁连10kV峨一路峨堡村峨堡镇1#台区等4个台区增容改造工程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2805-500138761-00026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135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青海海北祁连10kV祁七路白杨沟村白杨沟台区增容改造工程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2805-500138761-00028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136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青海玉树称多县珍秦十一村10kV8#-10#台区新建工程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2814-500138761-00012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137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青海玉树称多县珍秦十一村10kV11#-15#台区新建工程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2814-500138761-00015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138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青海玉树称多县珍秦十一村10kV26#-30#台区新建工程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2814-500138761-00020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139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青海玉树称多县扎朵镇东方红村1#-7#台区10kV线路新建工程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2814-500138761-00048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140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青海玉树称多县扎朵镇东方红村8#-12#台区10kV线路新建工程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2814-500138761-00053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141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青海玉树市上拉秀乡10kV加桥村1#-8#台区10kV线路新建工程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2814-500138761-00038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142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青海玉树市上拉秀乡10kV加桥村9#-12#台区10kV线路新建工程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2814-500138761-00042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143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青海玉树10千伏结一路52#杆当卡分支线路新建工程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170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2814-500138761-00028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144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青海玉树治多县多彩乡拉日村1#-3#台区10kV线路新建工程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2814-500138761-00006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145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青海玉树治多县多彩乡拉日村10#-13#台区10kV线路新建工程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2814-500138761-00014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146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青海玉树治多县多彩乡拉日村14#-20#台区10kV线路新建工程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2814-500138761-00018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147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青海玉树治多县多彩乡拉日村21#-26#台区10kV线路新建工程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2814-500138761-00025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148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青海玉树治多县多彩乡拉日村27#、33#-35#台区10kV线路新建工程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2814-500138761-00031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149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青海玉树治多县多彩乡拉日村28#-32#台区10kV线路新建工程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2814-500138761-00035</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150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青海玉树囊谦县娘拉乡多隆多村1#-6#台区新建工程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2814-500138761-00059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151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青海玉树曲麻莱县10kV巴一路1#-7#台区改造升级工程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440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2814-500138761-00047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152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青海玉树曲麻莱县10kV巴一路8#-14#台区改造升级工程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459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2814-500138761-00054</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153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青海玉树囊谦县白扎乡10kV东帕村线路及台区改造工程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281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2814-500138761-00067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154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青海玉树囊谦县白扎乡10kV吉沙村贫困村改造工程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304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2814-500138761-00061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155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青海玉树囊谦县白扎乡10kV卡麻村3个台区改造工程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164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2814-500138761-00063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156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青海玉树囊谦县觉拉乡那索尼村17#-24#台区10kV线路新建工程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145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2814-500138761-00073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157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青海玉树杂多县苏鲁乡多晓村1#-4#变台10kV线路新建工程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2814-500138761-00041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158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青海玉树杂多县苏鲁乡多晓村5#-12#变台10kV线路新建工程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2814-500138761-00039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159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青海省玉树州苏鲁乡多晓村13#-17#台区线路10kV新建工程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2814-500138761-00083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160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青海省玉树州苏鲁乡多晓村18#-29#台区线路10kV新建工程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283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2814-500138761-00081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161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青海省玉树州苏鲁乡多晓村30#-35#台区线路10kV新建工程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2814-500138761-00080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162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青海省玉树州苏鲁乡多晓村36#-42#台区线路10kV新建工程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2814-500138761-00079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163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青海省玉树州苏鲁乡多晓村43#-48#台区线路10kV新建工程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254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2814-500138761-00078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164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青海玉树杂多县苏鲁乡多晓村49#-52#台区线路10kV新建工程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2814-500138761-00027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165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青海玉树杂多县结多乡优多村1#-7#台区10kV线路新建工程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2814-500138761-00070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166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青海玉树杂多县结多乡优多村8#-16#台区10kV线路新建工程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2814-500138761-00069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167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青海玉树杂多县结多乡优美村1#-7#台区10kV线路新建工程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2814-500138761-00068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168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青海玉树杂多县结多乡优美村8#-14#台区10kV线路新建工程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2814-500138761-00065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169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青海玉树杂多县结多乡优美村15#-17#台区10kV线路新建工程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2814-500138761-00064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170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青海玉树囊谦县觉拉乡那索尼村1#-6#台区10kV线路新建工程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2814-500138761-00075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171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青海玉树囊谦县觉拉乡那索尼村7#-16#台区10kV线路新建工程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240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2814-500138761-00074</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172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青海玉树结古镇当代村10kV线路新建工程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2814-500138761-00077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173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青海玉树上拉秀沙宁村10kV线路新建工程（一期）</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2814-500138761-00071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174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青海玉树上拉秀沙宁村10kV线路新建工程（二期）</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2814-500138761-00072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175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青海玉树杂多县闹丛村1#-9#台区10kV线路新建工程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231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2814-500138761-00058</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176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青海玉树杂多县闹丛村10#-17#台区10kV线路新建工程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2814-500138761-00055</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177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青海玉树杂多县闹丛村18#-22#台区10kV线路新建工程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2814-500138761-00049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178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青海玉树杂多县闹丛村23#-28#台区10kV线路新建工程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2814-500138761-00044</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179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青海玉树囊谦县10kV香达分支改造工程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2814-500138761-00030</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180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青海玉树囊谦县10kV郭欠台区改造工程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2814-500138761-00033</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181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青海玉树治多县治渠35kV变电站10kV配出工程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2814-500138761-00007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182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80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青海玉树曲麻莱县秋智35kV变电站10kV配出工程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482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2814-500138761-00010</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183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青海玉树曲麻莱布甫二社10kV电网延伸工程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157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2814-500138761-00017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184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青海玉树囊谦县白扎乡0.4kV扎西台区改造工程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2814-500138761-00026</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185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青海玉树囊谦县白扎乡10kV吉沙分支改造工程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2814-500138761-00022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186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青海玉树囊谦县觉拉乡康乃村0.4kV佛学院台区改造工程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2814-500138761-00019</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187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青海玉树囊谦县10kV城网网架完善工程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2876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2814-500138761-00037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188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青海玉树称多县珍秦十一村10kV16#-21#台区新建工程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2814-500138761-00091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189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青海玉树称多县珍秦十一村10kV22#-25#台区新建工程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176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2814-500138761-00092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190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青海玉树称多县10kV珍一路0#-188#杆改造升级工程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2814-500138761-00088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191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青海玉树称多县10kV珍一路189#-366#杆改造升级工程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2814-500138761-00089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192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青海玉树称多县10kV珍一路珍康分支改造升级工程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2814-500138761-00090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193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青海玉树治多县多彩乡党江荣村1#-5#台区10kV线路新建工程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2814-500138761-00076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194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青海玉树治多县多彩乡党江荣村6#-11#台区10kV线路新建工程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2814-500138761-00082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195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青海玉树治多县多彩乡党江荣村12#-18#台区10kV线路新建工程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2814-500138761-00084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196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青海玉树治多县多彩乡党江荣村24#-28#台区10kV线路新建工程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2814-500138761-00086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197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0500254860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青海玉树治多县多彩乡党江荣村29#-33#台区10kV线路新建工程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2814-500138761-00087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198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0500254861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青海玉树治多县多彩乡党江荣村19#-23#台区10kV线路新建工程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2814-500138761-00085</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199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0500254862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青海玉树哈秀35kV变电站10kV配出工程（</w:t>
            </w:r>
            <w:r>
              <w:rPr>
                <w:rFonts w:ascii="宋体" w:hAnsi="宋体" w:cs="宋体"/>
                <w:kern w:val="0"/>
                <w:sz w:val="20"/>
                <w:szCs w:val="20"/>
              </w:rPr>
              <w:t>Ⅲ</w:t>
            </w:r>
            <w:r>
              <w:rPr>
                <w:rFonts w:ascii="Arial" w:hAnsi="Arial" w:cs="Arial"/>
                <w:kern w:val="0"/>
                <w:sz w:val="20"/>
                <w:szCs w:val="20"/>
              </w:rPr>
              <w:t>期）</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203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2814-500138761-00046</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200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0500252366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青海省电力公司西宁供电公司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国网青海西宁供电公司2019年基于泛在电力物联网HPLC智能电能表推广应用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16458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restart"/>
            <w:tcBorders>
              <w:top w:val="nil"/>
              <w:left w:val="single" w:color="auto" w:sz="4" w:space="0"/>
              <w:bottom w:val="single" w:color="000000"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246.193</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2813-500138761-00014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201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25008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A644-500138761-00008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202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0500252990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青海省电力公司黄化供电公司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国网青海黄化供电公司2019年基于泛在电力物联网HPLC智能电能表推广应用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4949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2809-500138761-00014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203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青海海南兴海10kV兴四路龙曲村低压线路及配电台区改造工程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2807-500138761-00022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204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青海海南兴海10kV兴四路沙那村高低压线路及配变台区改造工程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2807-500138761-00024</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205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青海海南共和10kV塘二路宁曲村宁曲牧业点1-4台区、宁曲牧1-6、9台区、河卡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2807-500138761-00032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206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青海海南共和10kV廿一路拉龙村高低压线路及配变台区改造工程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2807-500138761-00027</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207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青海海南同德10kV滩四路牧场二队、三队、八队台区高低压线路改造工程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2807-500138761-00039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208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青海海南同德10kV滩四路牧场五队台区高压线路改造工程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2807-500138761-00038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209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青海海南同德10kV果一路、果二路金科村低压线路及下户线路改造工程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2807-500138761-00041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210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青海海南同德10kV果一路赛德村高低压线路及配变台区改造工程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2807-500138761-00042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211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青海海南兴海10kV河三路灯塔村高低压线路及配变台区改造工程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2807-500138761-00025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212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青海海南共和10kV黑三路鲁色村高低压线路及配变台区改造工程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2807-500138761-00014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213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青海海南共和10kV廿一路、廿二路廿地村高低压线路及配电台区改造工程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2807-500138761-00019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214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青海海南共和10kV倒二路巴卡台二、三台区改造工程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2807-500138761-00026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215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青海海南共和10kV江一路元者村高低压线路及配变台区改造工程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2807-500138761-00028</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216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青海海南共和10kV曲二路、10kV曲三路开采村高低压线路及配变台区改造工程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2807-500138761-00029</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217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青海海南共和10kV塘一路宁曲村、五一村5个台区高低压线路及配变台区改造工程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2807-500138761-00034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218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青海海南贵南6kV沙二路东吾羊村洛合才台区高低压线路及配变台区改造工程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2807-500138761-00023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219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青海海南贵南10kV巴三路巴塘村高低压线路及配变台区改造工程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2807-500138761-00015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220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海南供电运检【2019】166号村高低压线路及配变台区改造工程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2807-500138761-00040</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221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青海海南同德10kV同二路牧场#004、牧场六队#006、牧场#001、牧场桩廓</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2807-500138761-00037</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222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青海海南同德10kV滩四路牧场七队、恰当#001、#002台区改造工程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2807-500138761-00036</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223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青海海南共和10kV沙一路哈尔干、加什达村高低压线路及配变台区改造工程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2807-500138761-00030</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224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青海海南同德10kV滩二路赛龙村三个台区新建工程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2807-500138761-00035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225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青海海南贵南6kV沙四路加什达口高低压线路及配电台区改造工程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2807-500138761-00016</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226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青海海南贵南10kV巴三路扎日干村台区新建工程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2807-500138761-00021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227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0500254600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青海海南贵南10kV巴三路西格村台区新建工程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2807-500138761-00020</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228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0500254601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青海海南贵南10kV巴三路、巴四路达茫村台区新建工程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2807-500138761-00017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229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0500254602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青海黄南泽库10kV和二路叶贡分支司么村台区新建工程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通信单元,本地,2级单相表,HPLC,无,OFDM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2807-500138761-00018</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230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0500247362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青海省果洛玛沁县10kV滨河路延伸工程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restart"/>
            <w:tcBorders>
              <w:top w:val="nil"/>
              <w:left w:val="single" w:color="auto" w:sz="4" w:space="0"/>
              <w:bottom w:val="single" w:color="000000"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194.13</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2804-500138757-00018</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231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0500247362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青海省果洛玛沁县10kV滨河路延伸工程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2804-500138758-00009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232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0500247404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果洛州甘德县青珍乡龙尕尔村10kV及低压电网延伸工程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2804-500138757-00015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233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0500247404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果洛州甘德县青珍乡龙尕尔村10kV及低压电网延伸工程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2804-500138758-00014</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234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0500247405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青海果洛班玛县10kV赛一路线路及台区改造工程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2804-500138758-00011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235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0500247405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青海果洛班玛县10kV赛一路线路及台区改造工程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2804-500138757-00013</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236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青海果洛班玛县10kV仁一路线路及台区改造工程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2804-500138758-00012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237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青海果洛班玛县10kV仁一路线路及台区改造工程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2804-500138757-00014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238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570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果洛州甘德县下藏科乡科赛村10kV及低压电网延伸工程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2804-500138757-00016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239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590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果洛州甘德县下藏科乡科赛村10kV及低压电网延伸工程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2804-500138758-00015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240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490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青海果洛达日县10kV达一路沙日纳一台区等配变电改造工程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2804-500138758-00020</w:t>
            </w:r>
          </w:p>
        </w:tc>
      </w:tr>
      <w:tr>
        <w:tblPrEx>
          <w:tblLayout w:type="fixed"/>
          <w:tblCellMar>
            <w:top w:w="0" w:type="dxa"/>
            <w:left w:w="108" w:type="dxa"/>
            <w:bottom w:w="0" w:type="dxa"/>
            <w:right w:w="108" w:type="dxa"/>
          </w:tblCellMar>
        </w:tblPrEx>
        <w:trPr>
          <w:trHeight w:val="163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241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青海果洛达日县10kV达一路沙日纳一台区等配变电改造工程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2804-500138757-00020</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242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青海果洛玛沁县大武镇棚户区改造电网建设工程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2804-500138758-00019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243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青海果洛玛沁县大武镇棚户区改造电网建设工程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2804-500138757-00023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244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480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青海果洛甘德县柯曲镇达协村10kV及低压电网延伸工程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2804-500138757-00022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245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0500247689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490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青海果洛甘德县柯曲镇达协村10kV及低压电网延伸工程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2804-500138758-00017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246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0500247720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青海果洛玛沁县拉加镇棚户区改造电网建设工程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2804-500138758-00016</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247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0500247720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青海果洛玛沁县拉加镇棚户区改造电网建设工程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2804-500138757-00024</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248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0500247722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青海果洛甘德县10kV达协一台区等3个台区改造工程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2804-500138758-00018</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249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0500247722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青海果洛甘德县10kV达协一台区等3个台区改造工程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2804-500138757-00021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250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0500247723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青海果洛州玛沁县格曲河路10kV及低压电网新建工程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2804-500138758-00010</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251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0500247723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青海果洛州玛沁县格曲河路10kV及低压电网新建工程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2804-500138757-00019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252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0500250103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果洛州甘德县德尔文110kV变电站10kV配出工程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2804-500138758-00021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253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0500250103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果洛州甘德县德尔文110kV变电站10kV配出工程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2804-500138757-00017</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254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0500252366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青海省电力公司西宁供电公司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国网青海西宁供电公司2019年基于泛在电力物联网HPLC智能电能表推广应用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3856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2813-500138757-00006</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255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0500252456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青海海东乐都徐家台二期易地搬迁安置点10kV线路及台区新建工程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A644-500138757-00005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256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0500252456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青海海东乐都徐家台二期易地搬迁安置点10kV线路及台区新建工程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A644-500138758-00004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257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0500252505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青海海北祁连10kV野三路大浪村油葫芦台区等3个台区电增容改造工程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2805-500138758-00013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258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0500252506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青海海北门源县10kV庄二路达龙村6个台区增容改造工程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2805-500138758-00028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259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0500252507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青海海北祁连10千伏默二路多隆村那河寨台区等3个台区增容改造工程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2805-500138758-00019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260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0500252508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青海海北门源县10kV庄一路讨拉村9个台区增容改造工程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2805-500138758-00032</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261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0500252509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青海海北海晏10kV鸿三路主线#130-#196杆及热水泉2#台区等5个台区改造</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2805-500138758-00022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262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0500252610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青海海北门源县10kV雪四路塔里华村3个台区增容改造工程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2805-500138758-00040</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263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青海海北央隆35kV变电站10kV（II期）配出工程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2805-500138758-00101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264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0500252616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青海海北央隆35kV变电站10kV（I期）配出工程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2805-500138758-00102</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265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0500252617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青海海北海晏10千伏鸿五路尕海村主线#81-#196杆及海什那分支线路改造工程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2805-500138758-00039</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266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0500252618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青海海北海晏10kV沙三路1#-172#杆线路及德州4#台区等5个台区改造工程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2805-500138758-00043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267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0500252620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青海海北门源县10kV皇一路西滩村3个台区增容改造工程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2805-500138758-00051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268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0500252621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青海海北门源10kV皇二路马营村5个台区增容改造工程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2805-500138758-00054</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269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0500252622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青海海北门源10kV浩九路主线1#至139#线路改造工程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2805-500138758-00064</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270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0500252624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青海海北门源10kV青二路主线改造工程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2805-500138758-00066</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271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0500252625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青海海北门源10kV青五路主线线路改造工程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2805-500138758-00068</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272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0500252626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青海海北门源10kV青五路支线线路改造工程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2805-500138758-00069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273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0500252627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青海海北门源10kV青二路下大滩村5、6社台区改造工程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2805-500138758-00085</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274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0500252628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青海海北门源10kV青一路青石嘴村1、2社台区改造工程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2805-500138758-00086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275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0500252629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青海海北刚察10千伏哈二路主线及塘渠一、二队台区增容改造工程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2805-500138758-00077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276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青海海北门源县10kV浩九路头塘村2个台区增容改造工程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2805-500138758-00089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277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青海海北门源县10kV浩五路下金巴台村台区改造工程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2805-500138758-00090</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278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青海海北门源10kV浩三路崖头村崖头1.2社1#台区等4个台区改造工程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2805-500138758-00091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279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青海海北门源县10kV孔一路西河坝村台区增容改造工程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2805-500138758-00096</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280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青海海北刚察10千伏哈五路亚秀麻分支等分支线路及亚秀麻1台区等6个台区增容改造工</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2805-500138758-00081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281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青海海北门源县10kV雪三路初麻院村9个台区增容改造工程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2805-500138758-00097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282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青海海北海晏10kV金四路三联新村1#台区等3个台区改造工程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2805-500138758-00052</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283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青海海北海晏10kV鸿三路尕海村灯龙分支灯龙24#台区等3个台区改造工程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2805-500138758-00075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284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0500252649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青海海北海晏10kV鸿三路佛海寺分支俄日村直合木台区等7个台区改造工程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2805-500138758-00057</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285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青海海北海晏10kV沙三路172#-315#杆线路及德州5#台区等5个台区改造工</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2805-500138758-00063</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286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青海海北祁连10kV默三路老日根村默勒新城区#1台区等3个台区增容改造工程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2805-500138758-00034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287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7845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A644-500138757-00002</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288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青海海北祁连10kV峨三路峨堡村三角城口台区等2个台区增容改造工程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2805-500138758-00006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289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青海海北祁连10kV峨三路白石崖村沙窝头台区增容改造工程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2805-500138758-00007</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290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青海海北祁连10kV峨三路黄草沟村龙昆东台区等2个台区增容改造工程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2805-500138758-00008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291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青海海北祁连10kV宝一路草达坂村阿柔检查站台区等2个台区电增容改造工程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2805-500138758-00009</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292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青海海北祁连10kV宝一路青阳沟村青阳沟一台区等4个台区增容改造工程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2805-500138758-00010</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293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青海海北海晏10kV鸿五路达玉村肯德分支热水泉台区等7个台区改造工程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2805-500138758-00012</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294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青海海北海晏10kV甘一路俄日村那卡海边下变台19台区等10个台区改造工程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2805-500138758-00014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295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青海海北刚察10kV刚二路亚秀三支线及亚秀5台区等6个台区增容改造工程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2805-500138758-00055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296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青海海北门源10kV孔三路塔龙滩村3个台区增容改造工程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2805-500138758-00016</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297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青海海北门源10kV孔二路麻当村台区增容改造工程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2805-500138758-00020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298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青海海北门源10kV浩四路苏吉湾村8个台区增容改造工程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2805-500138758-00024</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299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青海海北祁连10kV默三路老日根村默勒新城区#4台区等2个台区电增容改造工程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2805-500138758-00015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300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青海海北祁连10kV默三路瓦日尕村瓦日尕#1台区等3个台区增容改造工程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2805-500138758-00017</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301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青海海北祁连10kV默三路才什图村才什图#2台区等2个台区村增容改造工程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2805-500138758-00018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302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青海海北祁连10kV默二路海浪村百户寺（海浪东台区）增容改造工程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2805-500138758-00011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303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0500252669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青海海北门源10kV浩三路大庄村增容改造工程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2805-500138758-00035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304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青海海北祁连10kV峨一路峨堡村峨堡镇1#台区等4个台区增容改造工程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2805-500138758-00021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305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青海海北门源10kV孔三路上阴田村2个台区增容改造工程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2805-500138758-00037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306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青海海北祁连10kV祁七路白杨沟村白杨沟台区增容改造工程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2805-500138758-00023</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307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青海海北刚察10kV刚二路亚贡分支及亚贡3台区等4个台区增容改造工程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2805-500138758-00058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308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青海海北刚察10kV热五路青达麻沟环仓秀麻村等异地扶贫搬迁新建工程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2805-500138758-00060</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309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青海海北刚察10kV吉一路日芒村异地扶贫搬迁新建工程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2805-500138758-00062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310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青海海北刚察10kV吉三路秀脑贡麻村异地搬迁新建工程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2805-500138758-00065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311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青海海北祁连10kV默二路海浪村二社、四社定居点通电工程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2805-500138758-00025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312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0500252679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青海海北祁连10kV野二路大玉村一、二、三社定居点通电工程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2805-500138758-00026</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313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青海海北祁连10kV境三路营盘台村新增配变项目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2805-500138758-00027</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314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青海海北海晏10kV沙一路158#杆T达玉五谷村扎汉不拉口新建台区工程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2805-500138758-00031</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315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青海海北刚察10kV岛三路尕日拉分支及尕日拉2台区等2个台区增容改造</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2805-500138758-00070</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316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青海海北刚察10kV鸿一路公贡麻支线100-349杆及公贡麻6台区等4个台区增容</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2805-500138758-00076</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317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青海海北门源10kV庄一路大庄村4个台区增容改造工程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2805-500138758-00046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318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青海海北门源10kV皇一路扎麻图村4个台区增容改造工程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2805-500138758-00056</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319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青海海北门源10kV皇一路察汉达吾村台区改造工程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2805-500138758-00059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320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青海海北门源10kV皇一路扎沙村电网改造工程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2805-500138758-00061</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321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0500252689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青海海北门源10kV孔三路主线线路改造</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2805-500138758-00084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322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青海海北海晏10kV金一路乌兰哈达村主线及哈勒景等分支线路改造工程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2805-500138758-00067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323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青海海北门源10kV浩四路疙瘩村2个台区增容改造工程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2805-500138758-00087</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324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青海海北门源10kV雪三路支线线路改造工程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2805-500138758-00088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325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青海海北祁连10kV默二路多隆村拉河在西台区台区等3个台区增容改造工程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2805-500138758-00029</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326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青海海北祁连10kV峨三路黄草沟村徳芒寺（黄草滩台区）增容改造工程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2805-500138758-00030</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327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青海海北海晏10kV银五路公用变35#等6个台区改造工程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2805-500138758-00071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328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青海海北海晏10kV银一路公用变1#等6个台区增容改造工程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2805-500138758-00072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329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青海海北海晏10kV银二路28#公用变增容改造工程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2805-500138758-00073</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330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0500252699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青海海北门源10kV浩三路牙合村台区改造工程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2805-500138758-00092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331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青海海北门源10kV浩三路黄田村2个台区增容改造工程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2805-500138758-00093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332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青海海北门源10kV浩三路西沙河村2个台区增容改造工程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2805-500138758-00094</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333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青海海北门源10kV孔一路泉口台村台区增容改造工程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2805-500138758-00095</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334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青海海北刚察10kV鸿一路公贡麻支线1-100杆及公贡麻1台区等4个台区增容改造</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2805-500138758-00078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335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青海海北刚察10kV刚二路亚秀一二支线及亚秀1台区等5个台区增容改造工程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2805-500138758-00079</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336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青海海北刚察10kV刚二路达拉沟支线及角秀4台区等2个台区增容改造工程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2805-500138758-00080</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337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青海海北刚察10kV吉三路秀脑秀麻村新建台区工程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2805-500138758-00082</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338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0500252709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青海海北刚察10kV刚二路主线1-173号杆及尚木多支线等分支线路改造工程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2805-500138758-00083</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339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青海海北海晏10kV银四路等3条线路改造工程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2805-500138758-00074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340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青海海北门源10kV青五路苏吉湾村2个台区增容改造工程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2805-500138758-00098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341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青海海北海晏10kV金一路勒景村哈勒景#3台区等6个台区改造工程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2805-500138758-00048</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342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青海海北门源10kV庄二路主线线路改造工程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2805-500138758-00099</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343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青海海北门源10kV孔二路支线线路改造工程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2805-500138758-00100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344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青海海北祁连10kV野三路小二珠龙台区等3个台区增容改造工程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2805-500138758-00033</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345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青海海北祁连10kV默三路默勒新城区#5台区等5个台区增容改造工程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2805-500138758-00036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346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青海海北祁连10kV峨一路小嘴子台区等3个台区增容改造工程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2805-500138758-00038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347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青海海北祁连10kV峨三路峨堡村上高崖台区等12个台区增容改造工程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2805-500138758-00041</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348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0500252719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青海海北祁连10kV宝一路白石崖村白石崖四台区等11个台区增容改造工程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2805-500138758-00042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349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0500252730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青海海北祁连10kV峨三路黄草沟村谢龙脑台区等9个台区改造工程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2805-500138758-00044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350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0500252731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青海海北祁连10kV宝二路草达坂村草达板三社台区等7个台区增容改造工程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2805-500138758-00045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351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青海海北祁连10kV祁一路日旭一号台区等5个台区增容改造工程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2805-500138758-00047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352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0500252733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青海海北祁连10kV野二路大浪村四社定居点通电工程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2805-500138758-00049</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353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0500252734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青海海北祁连10kV默三路才什图村、老日根村、瓦日尕村三村边缘克日扎地区定居点通</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2805-500138758-00050</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354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0500252735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青海海北祁连10kV皇二路皇城乡西滩一社台区等4个台区增容改造工程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2805-500138758-00053</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355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0500252990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青海省电力公司黄化供电公司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国网青海黄化供电公司2019年基于泛在电力物联网HPLC智能电能表推广应用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1577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2809-500138757-00014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356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青海玉树曲麻莱县巴干乡10kV巴二路1-8#台区线路新建工程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2814-500138758-00042</w:t>
            </w:r>
          </w:p>
        </w:tc>
      </w:tr>
      <w:tr>
        <w:tblPrEx>
          <w:tblLayout w:type="fixed"/>
          <w:tblCellMar>
            <w:top w:w="0" w:type="dxa"/>
            <w:left w:w="108" w:type="dxa"/>
            <w:bottom w:w="0" w:type="dxa"/>
            <w:right w:w="108" w:type="dxa"/>
          </w:tblCellMar>
        </w:tblPrEx>
        <w:trPr>
          <w:trHeight w:val="163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357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青海玉树曲麻莱县巴干乡10kV巴二路1-8#台区线路新建工程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2814-500138757-00008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358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青海玉树曲麻莱县巴干乡10kV巴二路9-18#台区线路新建工程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2814-500138758-00045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359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青海玉树曲麻莱县巴干乡10kV巴二路19-25#台区线路新建工程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2814-500138758-00049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360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青海玉树曲麻莱县巴干乡10kV巴二路26-35#台区线路新建工程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2814-500138758-00057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361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青海玉树治多县多彩乡拉日村4#-9#台区10kV线路新建工程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2814-500138758-00015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362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青海玉树称多县清水河镇扎麻村8#-10#台区10kV线路新建工程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2814-500138758-00047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363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青海玉树称多县清水河镇扎麻村1#-7#台区10kV线路新建工程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2814-500138757-00010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364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青海玉树称多县清水河镇扎麻村1#-7#台区10kV线路新建工程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2814-500138758-00038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365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青海玉树称多县扎朵镇向阳村1#-5#台区10kV线路新建工程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2814-500138758-00058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366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0500254219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青海玉树称多县扎朵镇向阳村1#-5#台区10kV线路新建工程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2814-500138757-00016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367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青海玉树称多县清水河镇扎哈村1#-4#台区10kV线路新建工程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2814-500138758-00035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368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青海玉树称多县清水河镇扎哈村5#-8#台区10kV线路新建工程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2814-500138758-00026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369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青海玉树称多县清水河镇扎哈村9#-15#台区10kV线路新建工程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2814-500138758-00011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370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青海玉树称多县清水河镇扎哈村16#-21#台区10kV线路新建工程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2814-500138758-00016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371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青海玉树称多县清水河镇扎哈村22#-25#台区10kV线路新建工程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2814-500138758-00019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372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青海玉树称多县清水河镇尕青村1#-5#台区10kV线路新建工程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2814-500138758-00064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373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青海玉树称多县清水河镇尕青村6#-11#台区10kV线路新建工程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2814-500138758-00031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374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青海玉树称多县扎朵镇向阳村6#-8#台区10kV线路新建工程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2814-500138758-00061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375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青海玉树称多县珍秦十一村10kV1#-7#台区新建工程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2814-500138758-00012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376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0500254669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青海玉树称多县珍秦十一村10kV8#-10#台区新建工程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2814-500138758-00017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377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青海玉树称多县珍秦十一村10kV11#-15#台区新建工程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2814-500138758-00021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378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青海玉树称多县珍秦十一村10kV26#-30#台区新建工程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2814-500138758-00028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379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青海玉树称多县珍秦十一村10kV26#-30#台区新建工程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2814-500138757-00006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380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青海玉树称多县扎朵镇东方红村1#-7#台区10kV线路新建工程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2814-500138758-00053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381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青海玉树称多县扎朵镇东方红村1#-7#台区10kV线路新建工程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2814-500138757-00014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382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青海玉树称多县扎朵镇东方红村8#-12#台区10kV线路新建工程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2814-500138758-00055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383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青海玉树市上拉秀乡10kV加桥村1#-8#台区10kV线路新建工程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2814-500138758-00041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384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青海玉树市上拉秀乡10kV加桥村9#-12#台区10kV线路新建工程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2814-500138758-00044</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385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青海玉树10千伏结一路52#杆当卡分支线路新建工程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2814-500138757-00009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386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青海玉树10千伏结一路52#杆当卡分支线路新建工程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2814-500138758-00027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387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青海玉树治多县多彩乡拉日村1#-3#台区10kV线路新建工程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2814-500138758-00010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388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青海玉树治多县多彩乡拉日村10#-13#台区10kV线路新建工程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2814-500138758-00018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389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0500254679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青海玉树治多县多彩乡拉日村14#-20#台区10kV线路新建工程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2814-500138758-00022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390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青海玉树治多县多彩乡拉日村21#-26#台区10kV线路新建工程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2814-500138758-00029</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391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青海玉树治多县多彩乡拉日村27#、33#-35#台区10kV线路新建工程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2814-500138758-00032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392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青海玉树治多县多彩乡拉日村28#-32#台区10kV线路新建工程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2814-500138758-00040</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393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青海玉树囊谦县娘拉乡多隆多村1#-6#台区新建工程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2814-500138758-00060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394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青海玉树曲麻莱县10kV巴一路1#-7#台区改造升级工程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2814-500138757-00013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395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青海玉树曲麻莱县10kV巴一路1#-7#台区改造升级工程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2814-500138758-00052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396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青海玉树曲麻莱县10kV巴一路8#-14#台区改造升级工程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2814-500138757-00015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397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青海玉树曲麻莱县10kV巴一路8#-14#台区改造升级工程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2814-500138758-00056</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398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青海玉树囊谦县白扎乡10kV东帕村线路及台区改造工程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2814-500138758-00067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399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青海玉树囊谦县白扎乡10kV东帕村线路及台区改造工程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2814-500138757-00020</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400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青海玉树囊谦县白扎乡10kV吉沙村贫困村改造工程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2814-500138758-00063</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401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青海玉树囊谦县白扎乡10kV吉沙村贫困村改造工程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2814-500138757-00018</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402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青海玉树囊谦县白扎乡10kV卡麻村3个台区改造工程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2814-500138758-00065</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403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青海玉树囊谦县白扎乡10kV卡麻村3个台区改造工程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2814-500138757-00019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404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青海玉树囊谦县觉拉乡那索尼村17#-24#台区10kV线路新建工程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2814-500138757-00021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405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0500254689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青海玉树囊谦县觉拉乡那索尼村17#-24#台区10kV线路新建工程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2814-500138758-00074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406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青海玉树杂多县苏鲁乡多晓村1#-4#变台10kV线路新建工程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2814-500138758-00046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407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青海玉树杂多县苏鲁乡多晓村5#-12#变台10kV线路新建工程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2814-500138758-00043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408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青海省玉树州苏鲁乡多晓村13#-17#台区线路10kV新建工程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2814-500138758-00085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409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青海省玉树州苏鲁乡多晓村18#-29#台区线路10kV新建工程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2814-500138758-00084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410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青海省玉树州苏鲁乡多晓村30#-35#台区线路10kV新建工程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2814-500138758-00082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411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青海省玉树州苏鲁乡多晓村36#-42#台区线路10kV新建工程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2814-500138758-00081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412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青海省玉树州苏鲁乡多晓村43#-48#台区线路10kV新建工程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2814-500138758-00080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413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青海玉树杂多县苏鲁乡多晓村49#-52#台区线路10kV新建工程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2814-500138758-00037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414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青海玉树杂多县结多乡优多村1#-7#台区10kV线路新建工程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2814-500138758-00071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415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0500254819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青海玉树杂多县结多乡优多村8#-16#台区10kV线路新建工程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2814-500138758-00070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416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青海玉树杂多县结多乡优美村1#-7#台区10kV线路新建工程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2814-500138758-00069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417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青海玉树杂多县结多乡优美村8#-14#台区10kV线路新建工程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2814-500138758-00068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418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青海玉树杂多县结多乡优美村15#-17#台区10kV线路新建工程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2814-500138758-00066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419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青海玉树囊谦县觉拉乡那索尼村1#-6#台区10kV线路新建工程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2814-500138758-00076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420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青海玉树囊谦县觉拉乡那索尼村1#-6#台区10kV线路新建工程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2814-500138757-00023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421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青海玉树囊谦县觉拉乡那索尼村7#-16#台区10kV线路新建工程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2814-500138758-00075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422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青海玉树囊谦县觉拉乡那索尼村7#-16#台区10kV线路新建工程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2814-500138757-00022</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423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青海玉树结古镇当代村10kV线路新建工程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2814-500138758-00077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424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青海玉树上拉秀沙宁村10kV线路新建工程（一期）</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2814-500138758-00072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425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青海玉树上拉秀沙宁村10kV线路新建工程（二期）</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2814-500138758-00073</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426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青海玉树杂多县闹丛村1#-9#台区10kV线路新建工程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2814-500138758-00062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427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青海玉树杂多县闹丛村1#-9#台区10kV线路新建工程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2814-500138757-00017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428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0500254829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青海玉树杂多县闹丛村10#-17#台区10kV线路新建工程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2814-500138758-00059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429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青海玉树杂多县闹丛村18#-22#台区10kV线路新建工程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2814-500138758-00054</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430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青海玉树杂多县闹丛村23#-28#台区10kV线路新建工程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2814-500138758-00048</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431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青海玉树囊谦县10kV香达分支改造工程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2814-500138758-00033</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432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青海玉树囊谦县10kV郭欠台区改造工程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2814-500138757-00007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433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青海玉树治多县治渠35kV变电站10kV配出工程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2814-500138758-00008</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434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青海玉树治多县治渠35kV变电站10kV配出工程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2814-500138757-00002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435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青海玉树曲麻莱县秋智35kV变电站10kV配出工程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2814-500138757-00003</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436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青海玉树曲麻莱县秋智35kV变电站10kV配出工程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2814-500138758-00013</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437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青海玉树曲麻莱布甫二社10kV电网延伸工程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2814-500138758-00020</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438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青海玉树曲麻莱布甫二社10kV电网延伸工程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2814-500138757-00004</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439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青海玉树囊谦县白扎乡0.4kV扎西台区改造工程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2814-500138758-00030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440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青海玉树囊谦县觉拉乡康乃村0.4kV佛学院台区改造工程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2814-500138758-00025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441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0500254839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青海玉树囊谦县觉拉乡康乃村0.4kV佛学院台区改造工程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2814-500138757-00005</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442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青海玉树囊谦县10kV城网网架完善工程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2814-500138758-00039</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443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青海玉树囊谦县10kV城网网架完善工程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142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2814-500138757-00011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444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青海玉树称多县珍秦十一村10kV16#-21#台区新建工程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2814-500138757-00029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445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青海玉树称多县珍秦十一村10kV16#-21#台区新建工程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2814-500138758-00093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446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青海玉树称多县珍秦十一村10kV22#-25#台区新建工程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2814-500138758-00095</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447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青海玉树称多县10kV珍一路0#-188#杆改造升级工程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2814-500138758-00090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448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青海玉树称多县10kV珍一路189#-366#杆改造升级工程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2814-500138757-00027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449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青海玉树称多县10kV珍一路189#-366#杆改造升级工程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2814-500138758-00091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450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青海玉树称多县10kV珍一路珍康分支改造升级工程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2814-500138757-00028</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451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青海玉树称多县10kV珍一路珍康分支改造升级工程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2814-500138758-00092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452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青海玉树治多县多彩乡党江荣村1#-5#台区10kV线路新建工程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2814-500138758-00079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453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青海玉树治多县多彩乡党江荣村6#-11#台区10kV线路新建工程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2814-500138758-00083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454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青海玉树治多县多彩乡党江荣村12#-18#台区10kV线路新建工程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2814-500138758-00086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455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青海玉树治多县多彩乡党江荣村12#-18#台区10kV线路新建工程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2814-500138757-00025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456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0500254849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青海玉树治多县多彩乡党江荣村24#-28#台区10kV线路新建工程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2814-500138758-00088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457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0500254860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青海玉树治多县多彩乡党江荣村29#-33#台区10kV线路新建工程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2814-500138758-00089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458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0500254861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青海玉树治多县多彩乡党江荣村19#-23#台区10kV线路新建工程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2814-500138758-00087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459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0500254862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青海玉树哈秀35kV变电站10kV配出工程（</w:t>
            </w:r>
            <w:r>
              <w:rPr>
                <w:rFonts w:ascii="宋体" w:hAnsi="宋体" w:cs="宋体"/>
                <w:kern w:val="0"/>
                <w:sz w:val="20"/>
                <w:szCs w:val="20"/>
              </w:rPr>
              <w:t>Ⅲ</w:t>
            </w:r>
            <w:r>
              <w:rPr>
                <w:rFonts w:ascii="Arial" w:hAnsi="Arial" w:cs="Arial"/>
                <w:kern w:val="0"/>
                <w:sz w:val="20"/>
                <w:szCs w:val="20"/>
              </w:rPr>
              <w:t>期）</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2814-500138758-00051</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460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0500252366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青海省电力公司西宁供电公司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国网青海西宁供电公司2019年基于泛在电力物联网HPLC智能电能表推广应用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1102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restart"/>
            <w:tcBorders>
              <w:top w:val="nil"/>
              <w:left w:val="single" w:color="auto" w:sz="4" w:space="0"/>
              <w:bottom w:val="single" w:color="000000"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47.287</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2813-500138757-00007</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461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0500252653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2243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A644-500138757-00003</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462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0500252990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青海省电力公司黄化供电公司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国网青海黄化供电公司2019年基于泛在电力物联网HPLC智能电能表推广应用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451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2809-500138757-00015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463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青海海南兴海10kV兴四路龙曲村低压线路及配电台区改造工程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2807-500138758-00029</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464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青海海南兴海10kV兴四路龙曲村低压线路及配电台区改造工程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2807-500138757-00020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465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青海海南兴海10kV兴四路沙那村高低压线路及配变台区改造工程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2807-500138758-00031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466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青海海南兴海10kV兴四路沙那村高低压线路及配变台区改造工程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2807-500138757-00024</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467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青海海南共和10kV塘二路宁曲村宁曲牧业点1-4台区、宁曲牧1-6、9台区、河卡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2807-500138757-00035</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468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青海海南共和10kV塘二路宁曲村宁曲牧业点1-4台区、宁曲牧1-6、9台区、河卡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2807-500138758-00041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469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青海海南共和10kV廿一路拉龙村高低压线路及配变台区改造工程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2807-500138757-00030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470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青海海南共和10kV廿一路拉龙村高低压线路及配变台区改造工程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2807-500138758-00036</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471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青海海南同德10kV滩四路牧场二队、三队、八队台区高低压线路改造工程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2807-500138757-00018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472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0500254259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青海海南同德10kV滩四路牧场二队、三队、八队台区高低压线路改造工程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2807-500138758-00023</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473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0500254562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国网青海海南供电公司10kV南五路贵南县公司生产倒班用房公用变增容</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2807-500138758-00045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474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青海海南同德10kV滩四路牧场五队台区高压线路改造工程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2807-500138758-00021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475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青海海南同德10kV滩四路牧场五队台区高压线路改造工程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2807-500138757-00016</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476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青海海南同德10kV果一路、果二路金科村低压线路及下户线路改造工程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2807-500138757-00026</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477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青海海南同德10kV果一路、果二路金科村低压线路及下户线路改造工程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2807-500138758-00032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478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青海海南同德10kV果一路赛德村高低压线路及配变台区改造工程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2807-500138757-00027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479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青海海南同德10kV果一路赛德村高低压线路及配变台区改造工程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2807-500138758-00033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480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青海海南兴海10kV河三路灯塔村高低压线路及配变台区改造工程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2807-500138758-00034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481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青海海南兴海10kV河三路灯塔村高低压线路及配变台区改造工程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2807-500138757-00028</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482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青海海南共和10kV黑三路鲁色村高低压线路及配变台区改造工程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2807-500138758-00016</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483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青海海南共和10kV黑三路鲁色村高低压线路及配变台区改造工程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2807-500138757-00009</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484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青海海南共和10kV廿一路、廿二路廿地村高低压线路及配电台区改造工程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2807-500138758-00025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485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青海海南共和10kV廿一路、廿二路廿地村高低压线路及配电台区改造工程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2807-500138757-00017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486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青海海南共和10kV倒二路巴卡台二、三台区改造工程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2807-500138758-00035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487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青海海南共和10kV江一路元者村高低压线路及配变台区改造工程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2807-500138757-00031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488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青海海南共和10kV江一路元者村高低压线路及配变台区改造工程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2807-500138758-00037</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489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青海海南共和10kV曲二路、10kV曲三路开采村高低压线路及配变台区改造工程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2807-500138757-00032</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490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青海海南共和10kV曲二路、10kV曲三路开采村高低压线路及配变台区改造工程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2807-500138758-00038</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491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青海海南共和10kV塘二路宁曲村牧业点台区、五一村9#、10#、农业点台区、六中</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2807-500138757-00034</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492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0500254589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青海海南共和10kV塘二路宁曲村牧业点台区、五一村9#、10#、农业点台区、六中</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2807-500138758-00040</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493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青海海南共和10kV塘一路宁曲村、五一村5个台区高低压线路及配变台区改造工程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2807-500138757-00036</w:t>
            </w:r>
          </w:p>
        </w:tc>
      </w:tr>
      <w:tr>
        <w:tblPrEx>
          <w:tblLayout w:type="fixed"/>
          <w:tblCellMar>
            <w:top w:w="0" w:type="dxa"/>
            <w:left w:w="108" w:type="dxa"/>
            <w:bottom w:w="0" w:type="dxa"/>
            <w:right w:w="108" w:type="dxa"/>
          </w:tblCellMar>
        </w:tblPrEx>
        <w:trPr>
          <w:trHeight w:val="205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494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青海海南共和10kV塘一路宁曲村、五一村5个台区高低压线路及配变台区改造工程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2807-500138758-00042</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495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青海海南贵南6kV沙二路东吾羊村洛合才台区高低压线路及配变台区改造工程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2807-500138757-00023</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496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青海海南贵南6kV沙二路东吾羊村洛合才台区高低压线路及配变台区改造工程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2807-500138758-00030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497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青海海南贵南10kV巴三路巴塘村高低压线路及配变台区改造工程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2807-500138757-00010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498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青海海南贵南10kV巴三路巴塘村高低压线路及配变台区改造工程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2807-500138758-00017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499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海南供电运检【2019】166号村高低压线路及配变台区改造工程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2807-500138757-00022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500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海南供电运检【2019】166号村高低压线路及配变台区改造工程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2807-500138758-00027</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501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青海海南同德10kV同二路牧场#004、牧场六队#006、牧场#001、牧场桩廓</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2807-500138758-00019</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502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青海海南同德10kV同二路牧场#004、牧场六队#006、牧场#001、牧场桩廓</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2807-500138757-00014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503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青海海南同德10kV滩四路牧场七队、恰当#001、#002台区改造工程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2807-500138758-00018</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504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青海海南同德10kV滩四路牧场七队、恰当#001、#002台区改造工程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2807-500138757-00011</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505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青海海南共和10kV沙一路哈尔干、加什达村高低压线路及配变台区改造工程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2807-500138757-00033</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506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青海海南共和10kV沙一路哈尔干、加什达村高低压线路及配变台区改造工程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2807-500138758-00039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507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青海海南同德10kV滩二路赛龙村三个台区新建工程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2807-500138757-00037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508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青海海南同德10kV滩二路赛龙村三个台区新建工程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2807-500138758-00043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509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青海海南贵南6kV沙四路加什达口高低压线路及配电台区改造工程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2807-500138758-00022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510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青海海南贵南6kV沙四路加什达口高低压线路及配电台区改造工程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2807-500138757-00012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511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青海海南贵南10kV巴三路扎日干村台区新建工程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2807-500138758-00028</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512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0500254599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青海海南贵南10kV巴三路扎日干村台区新建工程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2807-500138757-00021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513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0500254600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青海海南贵南10kV巴三路西格村台区新建工程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2807-500138758-00026</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514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0500254600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青海海南贵南10kV巴三路西格村台区新建工程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2807-500138757-00019</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515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0500254601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青海海南贵南10kV巴三路、巴四路达茫村台区新建工程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2807-500138758-00020</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516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0500254601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青海海南贵南10kV巴三路、巴四路达茫村台区新建工程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2807-500138757-00013</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517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0500254602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青海黄南泽库10kV和二路叶贡分支司么村台区新建工程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通信单元,本地,集中器I型,HPLC,无,OFDM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2807-500138758-00024</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518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0500254602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青海黄南泽库10kV和二路叶贡分支司么村台区新建工程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通信单元,本地,1级三相表,HPLC,无,OFDM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Arial" w:hAnsi="Arial" w:cs="Arial"/>
                <w:kern w:val="0"/>
                <w:sz w:val="20"/>
                <w:szCs w:val="20"/>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2807-500138757-00015</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519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0500251587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WZ-281906-014</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青海省电力公司信息通信公司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国网青海信通公司-基于光缆网络深度感知的一体化智能运维-软硬件购置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光缆在线监测系统</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479.96559</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2812-500009679-00003</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520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0500252992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WZ-281906-014</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包2</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青海省电力公司信息通信公司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国网青海信通公司传输网网管系统安全加固及网络架构改造</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VPN网关</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29</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2812-500024290-00011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521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0500253124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WZ-281906-014</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青海省电力公司信息通信公司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国网青海信通公司-IPv6升级改造试点-软硬件购置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资源管理系统</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382.92</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2812-500009686-00005</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522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0500253129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WZ-281906-014</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包4</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青海省电力公司信息通信公司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国网青海信通公司-泛终端入网控制-设备购置项目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VPN网关</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315</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2812-500024290-00010</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523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0500253180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WZ-281906-014</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包5</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青海省电力公司信息通信公司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国网青海信通公司--网络安全分析室建设-软硬件购置及实施</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上网行为管理</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270</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2812-500133566-00004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524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0500253180</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WZ-281906-014</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包6</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青海省电力公司信息通信公司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国网青海信通公司--网络安全分析室建设-软硬件购置及实施</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视频监视系统</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12.7</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2812-500009720-00003</w:t>
            </w:r>
          </w:p>
        </w:tc>
      </w:tr>
      <w:tr>
        <w:tblPrEx>
          <w:tblLayout w:type="fixed"/>
          <w:tblCellMar>
            <w:top w:w="0" w:type="dxa"/>
            <w:left w:w="108" w:type="dxa"/>
            <w:bottom w:w="0" w:type="dxa"/>
            <w:right w:w="108" w:type="dxa"/>
          </w:tblCellMar>
        </w:tblPrEx>
        <w:trPr>
          <w:trHeight w:val="78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525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0500214869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WZ-281906-015</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青海省电力公司黄化供电公司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青海黄南措周35kV输变电工程</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综合接入设备,4</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0.565</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A003-500130618-00001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526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0500206868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WZ-281906-017</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国网青海省电力公司国网芯电子标签在泛在电力物联网应用项目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RFID电子标签,无源</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30000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59.9691</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2805-500073372-00003</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527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0500238157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WZ-281906-017</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青海省电力公司海西供电公司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国网青海省电力公司国网芯电子标签在泛在物联网应用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RFID电子标签,无源</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22500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44.976825</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2819-500073372-00004</w:t>
            </w:r>
          </w:p>
        </w:tc>
      </w:tr>
      <w:tr>
        <w:tblPrEx>
          <w:tblLayout w:type="fixed"/>
          <w:tblCellMar>
            <w:top w:w="0" w:type="dxa"/>
            <w:left w:w="108" w:type="dxa"/>
            <w:bottom w:w="0" w:type="dxa"/>
            <w:right w:w="108" w:type="dxa"/>
          </w:tblCellMar>
        </w:tblPrEx>
        <w:trPr>
          <w:trHeight w:val="180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528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0500252816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WZ-281906-017</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青海省电力公司西宁供电公司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国网青海西宁供电公司2019年基于泛在物联网“国网芯”计量箱电子标签安装</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RFID电子标签,无源</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105000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210.0105</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2813-500073372-00002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529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0500252856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WZ-281906-017</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青海省电力公司果洛供电公司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国网青海果洛供电公司2019年国网芯电子标签泛在物联网应用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RFID电子标签,无源</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10000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20.001</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2804-500073372-00002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530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0500253431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WZ-281906-017</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国网青海玉树供电公司2019年玉树市地区营配贯通信息采集治理项目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RFID电子标签,无源</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3000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6.0003</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2814-500073372-00002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531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0500253608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WZ-281906-017</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包2</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青海省电力公司黄化供电公司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国网青海黄化供电公司国网芯电子标签泛在物联网应用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RFID电子标签,无源</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41250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82.504125</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2809-500073372-00004</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532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0500253815</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WZ-281906-017</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包2</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国网青海省电力公司海东供电公司国网芯电子标签在泛在物联网应用</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RFID电子标签,无源</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75000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149.92275</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2806-500073372-00002</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533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0500252863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WZ-281906-017</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包2</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网青海海南供电公司计量箱“国网芯”电子标签</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RFID电子标签,无源</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41250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81.571875</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2807-500073372-00005</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534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0500252929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WZ-281906-017</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国网青海海南供电公司2019年实物ID拓展应用存量资产赋码贴签</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RFID电子标签,无源</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555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18.315</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2807-500073372-00007</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535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0500253821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WZ-281906-017</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青海省电力公司西宁供电公司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国网青海西宁供电公司2019年输电设备实物ID赋码贴签试点</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RFID电子标签,无源</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999</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31.968</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A005-500073372-00001</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536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0500253089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WZ-281906-017</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包3</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青海电力公司检修公司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国网青海检修公司750kV海柴</w:t>
            </w:r>
            <w:r>
              <w:rPr>
                <w:rFonts w:ascii="宋体" w:hAnsi="宋体" w:cs="宋体"/>
                <w:kern w:val="0"/>
                <w:sz w:val="20"/>
                <w:szCs w:val="20"/>
              </w:rPr>
              <w:t>Ⅰ</w:t>
            </w:r>
            <w:r>
              <w:rPr>
                <w:rFonts w:ascii="Arial" w:hAnsi="Arial" w:cs="Arial"/>
                <w:kern w:val="0"/>
                <w:sz w:val="20"/>
                <w:szCs w:val="20"/>
              </w:rPr>
              <w:t>、</w:t>
            </w:r>
            <w:r>
              <w:rPr>
                <w:rFonts w:ascii="宋体" w:hAnsi="宋体" w:cs="宋体"/>
                <w:kern w:val="0"/>
                <w:sz w:val="20"/>
                <w:szCs w:val="20"/>
              </w:rPr>
              <w:t>Ⅱ</w:t>
            </w:r>
            <w:r>
              <w:rPr>
                <w:rFonts w:ascii="Arial" w:hAnsi="Arial" w:cs="Arial"/>
                <w:kern w:val="0"/>
                <w:sz w:val="20"/>
                <w:szCs w:val="20"/>
              </w:rPr>
              <w:t>线输电设备实物ID赋码贴签</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RFID电子标签,无源</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1542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64.763753</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2810-500073372-00002</w:t>
            </w:r>
          </w:p>
        </w:tc>
      </w:tr>
      <w:tr>
        <w:tblPrEx>
          <w:tblLayout w:type="fixed"/>
          <w:tblCellMar>
            <w:top w:w="0" w:type="dxa"/>
            <w:left w:w="108" w:type="dxa"/>
            <w:bottom w:w="0" w:type="dxa"/>
            <w:right w:w="108" w:type="dxa"/>
          </w:tblCellMar>
        </w:tblPrEx>
        <w:trPr>
          <w:trHeight w:val="78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537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0500253812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尕让供电所标准化配置设计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办公椅,钢制,普通型,高档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张</w:t>
            </w:r>
          </w:p>
        </w:tc>
        <w:tc>
          <w:tcPr>
            <w:tcW w:w="1276" w:type="dxa"/>
            <w:vMerge w:val="restart"/>
            <w:tcBorders>
              <w:top w:val="nil"/>
              <w:left w:val="single" w:color="auto" w:sz="4" w:space="0"/>
              <w:bottom w:val="single" w:color="000000"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kern w:val="0"/>
                <w:sz w:val="20"/>
                <w:szCs w:val="20"/>
              </w:rPr>
              <w:t>海南公司：</w:t>
            </w:r>
            <w:r>
              <w:rPr>
                <w:rFonts w:hint="eastAsia" w:ascii="宋体" w:hAnsi="宋体" w:cs="宋体"/>
                <w:color w:val="000000"/>
                <w:kern w:val="0"/>
                <w:sz w:val="22"/>
                <w:szCs w:val="22"/>
              </w:rPr>
              <w:t xml:space="preserve">19.6  </w:t>
            </w:r>
            <w:r>
              <w:rPr>
                <w:rFonts w:hint="eastAsia" w:ascii="宋体" w:hAnsi="宋体" w:cs="宋体"/>
                <w:kern w:val="0"/>
                <w:sz w:val="20"/>
                <w:szCs w:val="20"/>
              </w:rPr>
              <w:t>海东公司：</w:t>
            </w:r>
            <w:r>
              <w:rPr>
                <w:rFonts w:hint="eastAsia" w:ascii="宋体" w:hAnsi="宋体" w:cs="宋体"/>
                <w:color w:val="000000"/>
                <w:kern w:val="0"/>
                <w:sz w:val="22"/>
                <w:szCs w:val="22"/>
              </w:rPr>
              <w:t>39.03</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2807-500024895-00001</w:t>
            </w:r>
          </w:p>
        </w:tc>
      </w:tr>
      <w:tr>
        <w:tblPrEx>
          <w:tblLayout w:type="fixed"/>
          <w:tblCellMar>
            <w:top w:w="0" w:type="dxa"/>
            <w:left w:w="108" w:type="dxa"/>
            <w:bottom w:w="0" w:type="dxa"/>
            <w:right w:w="108" w:type="dxa"/>
          </w:tblCellMar>
        </w:tblPrEx>
        <w:trPr>
          <w:trHeight w:val="78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538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0500254041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尕让供电所标准化配置设计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办公桌,高档,普通型</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2807-500024895-00001</w:t>
            </w:r>
          </w:p>
        </w:tc>
      </w:tr>
      <w:tr>
        <w:tblPrEx>
          <w:tblLayout w:type="fixed"/>
          <w:tblCellMar>
            <w:top w:w="0" w:type="dxa"/>
            <w:left w:w="108" w:type="dxa"/>
            <w:bottom w:w="0" w:type="dxa"/>
            <w:right w:w="108" w:type="dxa"/>
          </w:tblCellMar>
        </w:tblPrEx>
        <w:trPr>
          <w:trHeight w:val="78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539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尕让供电所标准化配置设计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办公桌,一般,普通型</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2807-500024895-00001</w:t>
            </w:r>
          </w:p>
        </w:tc>
      </w:tr>
      <w:tr>
        <w:tblPrEx>
          <w:tblLayout w:type="fixed"/>
          <w:tblCellMar>
            <w:top w:w="0" w:type="dxa"/>
            <w:left w:w="108" w:type="dxa"/>
            <w:bottom w:w="0" w:type="dxa"/>
            <w:right w:w="108" w:type="dxa"/>
          </w:tblCellMar>
        </w:tblPrEx>
        <w:trPr>
          <w:trHeight w:val="78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540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尕让供电所标准化配置设计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办公椅,钢制,普通型,一般</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2807-500024895-00001</w:t>
            </w:r>
          </w:p>
        </w:tc>
      </w:tr>
      <w:tr>
        <w:tblPrEx>
          <w:tblLayout w:type="fixed"/>
          <w:tblCellMar>
            <w:top w:w="0" w:type="dxa"/>
            <w:left w:w="108" w:type="dxa"/>
            <w:bottom w:w="0" w:type="dxa"/>
            <w:right w:w="108" w:type="dxa"/>
          </w:tblCellMar>
        </w:tblPrEx>
        <w:trPr>
          <w:trHeight w:val="78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541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尕让供电所标准化配置设计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办公椅,皮制,多功能椅,一般</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2807-500024895-00001</w:t>
            </w:r>
          </w:p>
        </w:tc>
      </w:tr>
      <w:tr>
        <w:tblPrEx>
          <w:tblLayout w:type="fixed"/>
          <w:tblCellMar>
            <w:top w:w="0" w:type="dxa"/>
            <w:left w:w="108" w:type="dxa"/>
            <w:bottom w:w="0" w:type="dxa"/>
            <w:right w:w="108" w:type="dxa"/>
          </w:tblCellMar>
        </w:tblPrEx>
        <w:trPr>
          <w:trHeight w:val="78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542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尕让供电所标准化配置设计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卫浴用五金,镜子</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2807-500024895-00001</w:t>
            </w:r>
          </w:p>
        </w:tc>
      </w:tr>
      <w:tr>
        <w:tblPrEx>
          <w:tblLayout w:type="fixed"/>
          <w:tblCellMar>
            <w:top w:w="0" w:type="dxa"/>
            <w:left w:w="108" w:type="dxa"/>
            <w:bottom w:w="0" w:type="dxa"/>
            <w:right w:w="108" w:type="dxa"/>
          </w:tblCellMar>
        </w:tblPrEx>
        <w:trPr>
          <w:trHeight w:val="78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543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尕让供电所标准化配置设计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会议桌,大（30人）</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2807-500024895-00001</w:t>
            </w:r>
          </w:p>
        </w:tc>
      </w:tr>
      <w:tr>
        <w:tblPrEx>
          <w:tblLayout w:type="fixed"/>
          <w:tblCellMar>
            <w:top w:w="0" w:type="dxa"/>
            <w:left w:w="108" w:type="dxa"/>
            <w:bottom w:w="0" w:type="dxa"/>
            <w:right w:w="108" w:type="dxa"/>
          </w:tblCellMar>
        </w:tblPrEx>
        <w:trPr>
          <w:trHeight w:val="78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544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80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尕让供电所标准化配置设计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会议桌,小（10人）</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2807-500024895-00001</w:t>
            </w:r>
          </w:p>
        </w:tc>
      </w:tr>
      <w:tr>
        <w:tblPrEx>
          <w:tblLayout w:type="fixed"/>
          <w:tblCellMar>
            <w:top w:w="0" w:type="dxa"/>
            <w:left w:w="108" w:type="dxa"/>
            <w:bottom w:w="0" w:type="dxa"/>
            <w:right w:w="108" w:type="dxa"/>
          </w:tblCellMar>
        </w:tblPrEx>
        <w:trPr>
          <w:trHeight w:val="78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545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90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尕让供电所标准化配置设计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办公桌,中档,普通型</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2807-500024895-00001</w:t>
            </w:r>
          </w:p>
        </w:tc>
      </w:tr>
      <w:tr>
        <w:tblPrEx>
          <w:tblLayout w:type="fixed"/>
          <w:tblCellMar>
            <w:top w:w="0" w:type="dxa"/>
            <w:left w:w="108" w:type="dxa"/>
            <w:bottom w:w="0" w:type="dxa"/>
            <w:right w:w="108" w:type="dxa"/>
          </w:tblCellMar>
        </w:tblPrEx>
        <w:trPr>
          <w:trHeight w:val="97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546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尕让供电所标准化配置设计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办公用柜、架、箱,木制,书架,高档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组</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2807-500024895-00001</w:t>
            </w:r>
          </w:p>
        </w:tc>
      </w:tr>
      <w:tr>
        <w:tblPrEx>
          <w:tblLayout w:type="fixed"/>
          <w:tblCellMar>
            <w:top w:w="0" w:type="dxa"/>
            <w:left w:w="108" w:type="dxa"/>
            <w:bottom w:w="0" w:type="dxa"/>
            <w:right w:w="108" w:type="dxa"/>
          </w:tblCellMar>
        </w:tblPrEx>
        <w:trPr>
          <w:trHeight w:val="97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547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尕让供电所标准化配置设计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办公用柜、架、箱,木制,书柜,一般</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28</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组</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2807-500024895-00001</w:t>
            </w:r>
          </w:p>
        </w:tc>
      </w:tr>
      <w:tr>
        <w:tblPrEx>
          <w:tblLayout w:type="fixed"/>
          <w:tblCellMar>
            <w:top w:w="0" w:type="dxa"/>
            <w:left w:w="108" w:type="dxa"/>
            <w:bottom w:w="0" w:type="dxa"/>
            <w:right w:w="108" w:type="dxa"/>
          </w:tblCellMar>
        </w:tblPrEx>
        <w:trPr>
          <w:trHeight w:val="97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548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尕让供电所标准化配置设计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办公用柜、架、箱,钢制,茶水柜,中档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组</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2807-500024895-00001</w:t>
            </w:r>
          </w:p>
        </w:tc>
      </w:tr>
      <w:tr>
        <w:tblPrEx>
          <w:tblLayout w:type="fixed"/>
          <w:tblCellMar>
            <w:top w:w="0" w:type="dxa"/>
            <w:left w:w="108" w:type="dxa"/>
            <w:bottom w:w="0" w:type="dxa"/>
            <w:right w:w="108" w:type="dxa"/>
          </w:tblCellMar>
        </w:tblPrEx>
        <w:trPr>
          <w:trHeight w:val="97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549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尕让供电所标准化配置设计</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办公用柜、架、箱,木制,更衣柜,中档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组</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2807-500024895-00001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550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办公桌,中档,普通型</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551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0500255712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办公椅,皮制,普通型,中档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552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办公用柜、架、箱,木制,茶水柜,中档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组</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553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自助服务终端,多功能型大堂式-扩展</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1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554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办公椅,皮制,普通型,中档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555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办公椅,塑料,普通型,高档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556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70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沙发,布,多人,高档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557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80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条桌</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558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90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展示平台</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559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洗涤设备,擦鞋机</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560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办公桌,高档,多功能型</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561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办公椅,塑料,普通型,中档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562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办公用柜、架、箱,木制,资料柜,中档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组</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563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办公椅,钢制,普通型,中档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564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办公用柜、架、箱,木制,茶水柜,中档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组</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565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办公用柜、架、箱,木制,更衣柜,中档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组</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566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170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床,木制</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567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180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床上用品,棉被</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PC</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568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190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办公用柜、架、箱,木制,床头柜,一般</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组</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569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办公桌,高档,普通型</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570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办公椅,皮制,普通型,高档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571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会议桌,小（10人）</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572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会议桌,中（20人）</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573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办公用柜、架、箱,木制,书架,中档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组</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574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货架,横梁式,2m</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组</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575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260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办公用柜、架、箱,钢制,工具柜,中档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组</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576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270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办公用柜、架、箱,木制,床头柜,一般</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组</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577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卫浴用五金,镜子</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578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290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条桌</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579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300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办公椅,塑料,普通型,中档</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16</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580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办公桌,一般,教学用</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581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办公桌,高档,普通型</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582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330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青海省电力公司海东供电公司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国网青海海东供电公司小峡供电所标准化配置项目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办公桌,高档,教学用</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22"/>
                <w:szCs w:val="22"/>
              </w:rPr>
            </w:pP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2806-500024816-00001</w:t>
            </w:r>
          </w:p>
        </w:tc>
      </w:tr>
      <w:tr>
        <w:tblPrEx>
          <w:tblLayout w:type="fixed"/>
          <w:tblCellMar>
            <w:top w:w="0" w:type="dxa"/>
            <w:left w:w="108" w:type="dxa"/>
            <w:bottom w:w="0" w:type="dxa"/>
            <w:right w:w="108" w:type="dxa"/>
          </w:tblCellMar>
        </w:tblPrEx>
        <w:trPr>
          <w:trHeight w:val="97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583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340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WZ-281906-023</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青海省电力公司黄化供电公司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国网青海黄化供电公司工器具柜购置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安全工具柜,智能型</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40</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2809-500023184-00003</w:t>
            </w:r>
          </w:p>
        </w:tc>
      </w:tr>
      <w:tr>
        <w:tblPrEx>
          <w:tblLayout w:type="fixed"/>
          <w:tblCellMar>
            <w:top w:w="0" w:type="dxa"/>
            <w:left w:w="108" w:type="dxa"/>
            <w:bottom w:w="0" w:type="dxa"/>
            <w:right w:w="108" w:type="dxa"/>
          </w:tblCellMar>
        </w:tblPrEx>
        <w:trPr>
          <w:trHeight w:val="97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584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0500255732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350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WZ-281906-024</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青海省电力公司海西供电公司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国网海西供电公司供电服务指挥中心家具购置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主控桌、调度主控桌</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张</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46.999997</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2819-500024813-00003</w:t>
            </w:r>
          </w:p>
        </w:tc>
      </w:tr>
      <w:tr>
        <w:tblPrEx>
          <w:tblLayout w:type="fixed"/>
          <w:tblCellMar>
            <w:top w:w="0" w:type="dxa"/>
            <w:left w:w="108" w:type="dxa"/>
            <w:bottom w:w="0" w:type="dxa"/>
            <w:right w:w="108" w:type="dxa"/>
          </w:tblCellMar>
        </w:tblPrEx>
        <w:trPr>
          <w:trHeight w:val="103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585</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0300054882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WZ-281906-025</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青海省电力公司本部</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国网青海省电力公司2019年人脸识别机购置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人脸识别消费机</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74</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88.800008</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2802-500024612-00003</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586</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0300056699</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WZ-281906-029</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青海电力科学试验研究院</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国网青海电科院高压开关类设备综合检测装置购置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高压设备参数测量系统</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160</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2803-500117888-00007</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587</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0300057501</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WZ-281906-030</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青海电力科学试验研究院</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国网青海电科院低压开关类设备综合检测装置购置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开关机械特性测试仪</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160</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2803-500009905-00004</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588</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0300057376</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WZ-281906-031</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2019年国网青海玉树供电公司相位伏安表零星购置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相位伏安表</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5.0000003</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2814-500009847-00001</w:t>
            </w:r>
          </w:p>
        </w:tc>
      </w:tr>
      <w:tr>
        <w:tblPrEx>
          <w:tblLayout w:type="fixed"/>
          <w:tblCellMar>
            <w:top w:w="0" w:type="dxa"/>
            <w:left w:w="108" w:type="dxa"/>
            <w:bottom w:w="0" w:type="dxa"/>
            <w:right w:w="108" w:type="dxa"/>
          </w:tblCellMar>
        </w:tblPrEx>
        <w:trPr>
          <w:trHeight w:val="12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589</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0300057384</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WZ-281906-031</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2019</w:t>
            </w:r>
            <w:r>
              <w:rPr>
                <w:rFonts w:hint="eastAsia" w:ascii="宋体" w:hAnsi="宋体" w:cs="宋体"/>
                <w:kern w:val="0"/>
                <w:sz w:val="20"/>
                <w:szCs w:val="20"/>
              </w:rPr>
              <w:t>年国网青海玉树供电公司相位伏安表零星购置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相位伏安表</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5.0000003</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2814-500009847-00001</w:t>
            </w:r>
          </w:p>
        </w:tc>
      </w:tr>
      <w:tr>
        <w:tblPrEx>
          <w:tblLayout w:type="fixed"/>
          <w:tblCellMar>
            <w:top w:w="0" w:type="dxa"/>
            <w:left w:w="108" w:type="dxa"/>
            <w:bottom w:w="0" w:type="dxa"/>
            <w:right w:w="108" w:type="dxa"/>
          </w:tblCellMar>
        </w:tblPrEx>
        <w:trPr>
          <w:trHeight w:val="100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590</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0300056577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WZ-281906-031</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2019</w:t>
            </w:r>
            <w:r>
              <w:rPr>
                <w:rFonts w:hint="eastAsia" w:ascii="宋体" w:hAnsi="宋体" w:cs="宋体"/>
                <w:kern w:val="0"/>
                <w:sz w:val="20"/>
                <w:szCs w:val="20"/>
              </w:rPr>
              <w:t>国网青海海北供电公司相位伏安表购置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相位伏安表</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台</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4.9998997</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2805-500009847-00004</w:t>
            </w:r>
          </w:p>
        </w:tc>
      </w:tr>
      <w:tr>
        <w:tblPrEx>
          <w:tblLayout w:type="fixed"/>
          <w:tblCellMar>
            <w:top w:w="0" w:type="dxa"/>
            <w:left w:w="108" w:type="dxa"/>
            <w:bottom w:w="0" w:type="dxa"/>
            <w:right w:w="108" w:type="dxa"/>
          </w:tblCellMar>
        </w:tblPrEx>
        <w:trPr>
          <w:trHeight w:val="1290"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591</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0300056577</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WZ-281906-032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青海省电力公司玉树供电公司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2019年国网青海玉树供电公司蓄电池内阻测试仪购置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蓄电池内阻测试仪</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8.2999969</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2814-500009864-00005</w:t>
            </w:r>
          </w:p>
        </w:tc>
      </w:tr>
      <w:tr>
        <w:tblPrEx>
          <w:tblLayout w:type="fixed"/>
          <w:tblCellMar>
            <w:top w:w="0" w:type="dxa"/>
            <w:left w:w="108" w:type="dxa"/>
            <w:bottom w:w="0" w:type="dxa"/>
            <w:right w:w="108" w:type="dxa"/>
          </w:tblCellMar>
        </w:tblPrEx>
        <w:trPr>
          <w:trHeight w:val="12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592</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0300057452</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WZ-281906-032</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包1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青海省电力公司海北供电公司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2019</w:t>
            </w:r>
            <w:r>
              <w:rPr>
                <w:rFonts w:hint="eastAsia" w:ascii="宋体" w:hAnsi="宋体" w:cs="宋体"/>
                <w:kern w:val="0"/>
                <w:sz w:val="20"/>
                <w:szCs w:val="20"/>
              </w:rPr>
              <w:t>国网青海海北供电公司蓄电池内阻测试仪购置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蓄电池内阻测试仪</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只</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8.2998952</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2805-500009864-00002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593</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0300056578</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WZ-281906-033</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hint="eastAsia" w:ascii="宋体" w:hAnsi="宋体" w:cs="Arial"/>
                <w:kern w:val="0"/>
                <w:sz w:val="20"/>
                <w:szCs w:val="20"/>
              </w:rPr>
              <w:t>包</w:t>
            </w:r>
            <w:r>
              <w:rPr>
                <w:rFonts w:ascii="Arial" w:hAnsi="Arial" w:cs="Arial"/>
                <w:kern w:val="0"/>
                <w:sz w:val="20"/>
                <w:szCs w:val="20"/>
              </w:rPr>
              <w:t>1</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青海省电力公司信息通信公司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国网青海信通公司-信息系统安全体系完善-安全产品购置项目</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安全评估软件</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64</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2812-500024251-00002</w:t>
            </w:r>
          </w:p>
        </w:tc>
      </w:tr>
      <w:tr>
        <w:tblPrEx>
          <w:tblLayout w:type="fixed"/>
          <w:tblCellMar>
            <w:top w:w="0" w:type="dxa"/>
            <w:left w:w="108" w:type="dxa"/>
            <w:bottom w:w="0" w:type="dxa"/>
            <w:right w:w="108" w:type="dxa"/>
          </w:tblCellMar>
        </w:tblPrEx>
        <w:trPr>
          <w:trHeight w:val="1545" w:hRule="atLeast"/>
        </w:trPr>
        <w:tc>
          <w:tcPr>
            <w:tcW w:w="555" w:type="dxa"/>
            <w:tcBorders>
              <w:top w:val="nil"/>
              <w:left w:val="single" w:color="000000" w:sz="8" w:space="0"/>
              <w:bottom w:val="single" w:color="000000" w:sz="8" w:space="0"/>
              <w:right w:val="single" w:color="000000" w:sz="8" w:space="0"/>
            </w:tcBorders>
            <w:shd w:val="clear" w:color="000000" w:fill="FFFFFF"/>
            <w:vAlign w:val="center"/>
          </w:tcPr>
          <w:p>
            <w:pPr>
              <w:widowControl/>
              <w:jc w:val="center"/>
              <w:rPr>
                <w:rFonts w:ascii="Arial" w:hAnsi="Arial" w:cs="Arial"/>
                <w:color w:val="000000"/>
                <w:kern w:val="0"/>
                <w:sz w:val="20"/>
                <w:szCs w:val="20"/>
              </w:rPr>
            </w:pPr>
            <w:r>
              <w:rPr>
                <w:rFonts w:ascii="Arial" w:hAnsi="Arial" w:cs="Arial"/>
                <w:color w:val="000000"/>
                <w:kern w:val="0"/>
                <w:sz w:val="20"/>
                <w:szCs w:val="20"/>
              </w:rPr>
              <w:t>594</w:t>
            </w:r>
          </w:p>
        </w:tc>
        <w:tc>
          <w:tcPr>
            <w:tcW w:w="1020" w:type="dxa"/>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0300057453</w:t>
            </w:r>
          </w:p>
        </w:tc>
        <w:tc>
          <w:tcPr>
            <w:tcW w:w="865"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10</w:t>
            </w:r>
          </w:p>
        </w:tc>
        <w:tc>
          <w:tcPr>
            <w:tcW w:w="1261"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WZ-281906-033</w:t>
            </w:r>
          </w:p>
        </w:tc>
        <w:tc>
          <w:tcPr>
            <w:tcW w:w="680"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hint="eastAsia" w:ascii="宋体" w:hAnsi="宋体" w:cs="Arial"/>
                <w:kern w:val="0"/>
                <w:sz w:val="20"/>
                <w:szCs w:val="20"/>
              </w:rPr>
              <w:t>包</w:t>
            </w:r>
            <w:r>
              <w:rPr>
                <w:rFonts w:ascii="Arial" w:hAnsi="Arial" w:cs="Arial"/>
                <w:kern w:val="0"/>
                <w:sz w:val="20"/>
                <w:szCs w:val="20"/>
              </w:rPr>
              <w:t>2</w:t>
            </w:r>
          </w:p>
        </w:tc>
        <w:tc>
          <w:tcPr>
            <w:tcW w:w="102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青海省电力公司信息通信公司</w:t>
            </w:r>
          </w:p>
        </w:tc>
        <w:tc>
          <w:tcPr>
            <w:tcW w:w="1843"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国网青海信通公司青海调控云平台模型数据维护及评价管理系统建设</w:t>
            </w:r>
          </w:p>
        </w:tc>
        <w:tc>
          <w:tcPr>
            <w:tcW w:w="1984"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成熟套装软件</w:t>
            </w:r>
          </w:p>
        </w:tc>
        <w:tc>
          <w:tcPr>
            <w:tcW w:w="992" w:type="dxa"/>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67"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套</w:t>
            </w:r>
          </w:p>
        </w:tc>
        <w:tc>
          <w:tcPr>
            <w:tcW w:w="1276"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115</w:t>
            </w:r>
          </w:p>
        </w:tc>
        <w:tc>
          <w:tcPr>
            <w:tcW w:w="1701" w:type="dxa"/>
            <w:tcBorders>
              <w:top w:val="nil"/>
              <w:left w:val="nil"/>
              <w:bottom w:val="single" w:color="auto" w:sz="4" w:space="0"/>
              <w:right w:val="single" w:color="auto" w:sz="4" w:space="0"/>
            </w:tcBorders>
            <w:shd w:val="clear" w:color="000000" w:fill="FFFFFF"/>
            <w:vAlign w:val="center"/>
          </w:tcPr>
          <w:p>
            <w:pPr>
              <w:widowControl/>
              <w:jc w:val="center"/>
              <w:rPr>
                <w:rFonts w:ascii="Arial" w:hAnsi="Arial" w:cs="Arial"/>
                <w:kern w:val="0"/>
                <w:sz w:val="20"/>
                <w:szCs w:val="20"/>
              </w:rPr>
            </w:pPr>
            <w:r>
              <w:rPr>
                <w:rFonts w:ascii="Arial" w:hAnsi="Arial" w:cs="Arial"/>
                <w:kern w:val="0"/>
                <w:sz w:val="20"/>
                <w:szCs w:val="20"/>
              </w:rPr>
              <w:t>2812-500024252-00029</w:t>
            </w:r>
          </w:p>
        </w:tc>
      </w:tr>
    </w:tbl>
    <w:p>
      <w:pPr>
        <w:sectPr>
          <w:pgSz w:w="15840" w:h="12240" w:orient="landscape"/>
          <w:pgMar w:top="1418" w:right="1134" w:bottom="1134" w:left="1134" w:header="0" w:footer="0" w:gutter="0"/>
          <w:cols w:space="720" w:num="1"/>
          <w:docGrid w:linePitch="312" w:charSpace="0"/>
        </w:sectPr>
      </w:pPr>
    </w:p>
    <w:p>
      <w:r>
        <w:t>附件</w:t>
      </w:r>
      <w:r>
        <w:rPr>
          <w:rFonts w:hint="eastAsia"/>
        </w:rPr>
        <w:t>4：</w:t>
      </w:r>
      <w:r>
        <w:rPr>
          <w:rFonts w:eastAsia="黑体"/>
          <w:b/>
          <w:sz w:val="24"/>
        </w:rP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ascii="黑体" w:eastAsia="黑体"/>
          <w:b/>
          <w:sz w:val="24"/>
        </w:rPr>
      </w:pPr>
      <w:r>
        <w:rPr>
          <w:rFonts w:hint="eastAsia" w:ascii="黑体" w:eastAsia="黑体"/>
          <w:b/>
          <w:sz w:val="24"/>
        </w:rPr>
        <w:t>招标人、招标代理机构与投标人三方约定</w:t>
      </w:r>
    </w:p>
    <w:p>
      <w:pPr>
        <w:pStyle w:val="188"/>
        <w:spacing w:line="400" w:lineRule="exact"/>
        <w:ind w:firstLine="480" w:firstLineChars="200"/>
        <w:rPr>
          <w:rFonts w:ascii="宋体" w:hAnsi="宋体"/>
          <w:b/>
          <w:bCs/>
          <w:sz w:val="24"/>
          <w:szCs w:val="24"/>
          <w:lang w:eastAsia="zh-CN"/>
        </w:rPr>
      </w:pPr>
      <w:r>
        <w:rPr>
          <w:rFonts w:hint="eastAsia" w:ascii="宋体" w:hAnsi="宋体"/>
          <w:sz w:val="24"/>
          <w:szCs w:val="24"/>
        </w:rPr>
        <w:t>▲要求为原件由</w:t>
      </w:r>
      <w:r>
        <w:rPr>
          <w:rFonts w:hint="eastAsia" w:ascii="宋体" w:hAnsi="宋体"/>
          <w:sz w:val="24"/>
          <w:szCs w:val="24"/>
          <w:lang w:eastAsia="zh-CN"/>
        </w:rPr>
        <w:t>法定代表人或其委托代理人</w:t>
      </w:r>
      <w:r>
        <w:rPr>
          <w:rFonts w:hint="eastAsia" w:ascii="宋体" w:hAnsi="宋体"/>
          <w:sz w:val="24"/>
          <w:szCs w:val="24"/>
        </w:rPr>
        <w:t>签字</w:t>
      </w:r>
      <w:r>
        <w:rPr>
          <w:rFonts w:hint="eastAsia" w:ascii="宋体" w:hAnsi="宋体"/>
          <w:sz w:val="24"/>
          <w:szCs w:val="24"/>
          <w:lang w:eastAsia="zh-CN"/>
        </w:rPr>
        <w:t>、</w:t>
      </w:r>
      <w:r>
        <w:rPr>
          <w:rFonts w:hint="eastAsia" w:ascii="宋体" w:hAnsi="宋体"/>
          <w:sz w:val="24"/>
          <w:szCs w:val="24"/>
        </w:rPr>
        <w:t>加盖单位公章后，附在商务投标文件中。</w:t>
      </w:r>
    </w:p>
    <w:tbl>
      <w:tblPr>
        <w:tblStyle w:val="95"/>
        <w:tblW w:w="82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213"/>
              <w:spacing w:line="360" w:lineRule="auto"/>
              <w:rPr>
                <w:rFonts w:ascii="宋体" w:hAnsi="宋体"/>
                <w:b/>
                <w:bCs/>
                <w:sz w:val="28"/>
                <w:szCs w:val="36"/>
              </w:rPr>
            </w:pPr>
          </w:p>
          <w:p>
            <w:pPr>
              <w:pStyle w:val="213"/>
              <w:spacing w:line="360" w:lineRule="auto"/>
              <w:jc w:val="center"/>
              <w:rPr>
                <w:rFonts w:ascii="宋体" w:hAnsi="宋体"/>
                <w:b/>
                <w:sz w:val="36"/>
                <w:szCs w:val="36"/>
              </w:rPr>
            </w:pPr>
            <w:r>
              <w:rPr>
                <w:rFonts w:hint="eastAsia" w:ascii="宋体" w:hAnsi="宋体"/>
                <w:b/>
                <w:bCs/>
                <w:sz w:val="24"/>
                <w:szCs w:val="36"/>
              </w:rPr>
              <w:t>招标人、招标代理机构与投标人三方约定</w:t>
            </w:r>
          </w:p>
          <w:p>
            <w:pPr>
              <w:pStyle w:val="213"/>
              <w:rPr>
                <w:rFonts w:ascii="宋体" w:hAnsi="宋体"/>
                <w:szCs w:val="28"/>
              </w:rPr>
            </w:pPr>
          </w:p>
          <w:p>
            <w:pPr>
              <w:pStyle w:val="213"/>
              <w:rPr>
                <w:rFonts w:ascii="宋体" w:hAnsi="宋体"/>
                <w:szCs w:val="28"/>
              </w:rPr>
            </w:pPr>
          </w:p>
          <w:p>
            <w:pPr>
              <w:pStyle w:val="213"/>
              <w:rPr>
                <w:rFonts w:ascii="宋体" w:hAnsi="宋体"/>
                <w:szCs w:val="28"/>
              </w:rPr>
            </w:pPr>
          </w:p>
          <w:p>
            <w:pPr>
              <w:pStyle w:val="212"/>
              <w:spacing w:line="360" w:lineRule="auto"/>
              <w:ind w:firstLine="480" w:firstLineChars="200"/>
              <w:rPr>
                <w:rFonts w:ascii="宋体" w:hAnsi="宋体"/>
                <w:sz w:val="24"/>
                <w:szCs w:val="24"/>
              </w:rPr>
            </w:pPr>
            <w:r>
              <w:rPr>
                <w:rFonts w:hint="eastAsia" w:ascii="宋体" w:hAnsi="宋体"/>
                <w:sz w:val="24"/>
                <w:szCs w:val="24"/>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12"/>
              <w:spacing w:line="360" w:lineRule="auto"/>
              <w:rPr>
                <w:rFonts w:ascii="宋体" w:hAnsi="宋体"/>
                <w:kern w:val="2"/>
                <w:sz w:val="24"/>
                <w:szCs w:val="24"/>
              </w:rPr>
            </w:pPr>
            <w:r>
              <w:rPr>
                <w:rFonts w:hint="eastAsia" w:ascii="宋体" w:hAnsi="宋体"/>
                <w:sz w:val="24"/>
                <w:szCs w:val="24"/>
              </w:rPr>
              <w:t>法定代表人或其委托代理人签字</w:t>
            </w:r>
            <w:r>
              <w:rPr>
                <w:rFonts w:hint="eastAsia" w:ascii="宋体" w:hAnsi="宋体"/>
                <w:kern w:val="2"/>
                <w:sz w:val="24"/>
                <w:szCs w:val="24"/>
              </w:rPr>
              <w:t>：</w:t>
            </w:r>
          </w:p>
          <w:p>
            <w:pPr>
              <w:pStyle w:val="212"/>
              <w:spacing w:line="360" w:lineRule="auto"/>
              <w:rPr>
                <w:rFonts w:ascii="宋体" w:hAnsi="宋体"/>
                <w:kern w:val="2"/>
                <w:sz w:val="24"/>
                <w:szCs w:val="24"/>
              </w:rPr>
            </w:pPr>
          </w:p>
          <w:p>
            <w:pPr>
              <w:pStyle w:val="212"/>
              <w:spacing w:line="360" w:lineRule="auto"/>
              <w:rPr>
                <w:rFonts w:ascii="宋体" w:hAnsi="宋体"/>
                <w:kern w:val="2"/>
                <w:sz w:val="24"/>
                <w:szCs w:val="24"/>
              </w:rPr>
            </w:pPr>
          </w:p>
          <w:p>
            <w:pPr>
              <w:pStyle w:val="212"/>
              <w:spacing w:line="360" w:lineRule="auto"/>
              <w:rPr>
                <w:rFonts w:ascii="宋体" w:hAnsi="宋体"/>
                <w:kern w:val="2"/>
                <w:sz w:val="24"/>
                <w:szCs w:val="24"/>
              </w:rPr>
            </w:pPr>
            <w:r>
              <w:rPr>
                <w:rFonts w:hint="eastAsia" w:ascii="宋体" w:hAnsi="宋体"/>
                <w:kern w:val="2"/>
                <w:sz w:val="24"/>
                <w:szCs w:val="24"/>
              </w:rPr>
              <w:t xml:space="preserve">                            投标人（公章）：</w:t>
            </w:r>
          </w:p>
          <w:p>
            <w:pPr>
              <w:pStyle w:val="213"/>
              <w:ind w:firstLine="5520" w:firstLineChars="2300"/>
              <w:rPr>
                <w:rFonts w:ascii="宋体" w:hAnsi="宋体"/>
                <w:b/>
                <w:szCs w:val="28"/>
              </w:rPr>
            </w:pPr>
            <w:r>
              <w:rPr>
                <w:rFonts w:hint="eastAsia" w:ascii="宋体" w:hAnsi="宋体"/>
                <w:sz w:val="24"/>
              </w:rPr>
              <w:t>年   月   日</w:t>
            </w:r>
          </w:p>
        </w:tc>
      </w:tr>
    </w:tbl>
    <w:p/>
    <w:p>
      <w:pPr>
        <w:tabs>
          <w:tab w:val="left" w:pos="1901"/>
        </w:tabs>
      </w:pPr>
      <w:r>
        <w:rPr>
          <w:rFonts w:hint="eastAsia"/>
        </w:rPr>
        <w:tab/>
      </w:r>
    </w:p>
    <w:p/>
    <w:p/>
    <w:p/>
    <w:p/>
    <w:p/>
    <w:sectPr>
      <w:pgSz w:w="12240" w:h="15840"/>
      <w:pgMar w:top="1418" w:right="1134" w:bottom="1134" w:left="1134" w:header="0" w:footer="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901B7C"/>
    <w:rsid w:val="00006455"/>
    <w:rsid w:val="0001118D"/>
    <w:rsid w:val="00016EDC"/>
    <w:rsid w:val="00020521"/>
    <w:rsid w:val="00021D2E"/>
    <w:rsid w:val="00024CF8"/>
    <w:rsid w:val="00037876"/>
    <w:rsid w:val="00043501"/>
    <w:rsid w:val="0004355F"/>
    <w:rsid w:val="00067C1E"/>
    <w:rsid w:val="00076F4F"/>
    <w:rsid w:val="0007741A"/>
    <w:rsid w:val="00080944"/>
    <w:rsid w:val="00081B96"/>
    <w:rsid w:val="00095641"/>
    <w:rsid w:val="00097AB5"/>
    <w:rsid w:val="000A0DD4"/>
    <w:rsid w:val="000A1593"/>
    <w:rsid w:val="000B239D"/>
    <w:rsid w:val="000B281A"/>
    <w:rsid w:val="000C009F"/>
    <w:rsid w:val="000C0EF5"/>
    <w:rsid w:val="000D2115"/>
    <w:rsid w:val="000D4C8D"/>
    <w:rsid w:val="000E13CC"/>
    <w:rsid w:val="000E3AB7"/>
    <w:rsid w:val="000E42DA"/>
    <w:rsid w:val="000F6E94"/>
    <w:rsid w:val="00100BB0"/>
    <w:rsid w:val="001025DB"/>
    <w:rsid w:val="00106A4E"/>
    <w:rsid w:val="001129CE"/>
    <w:rsid w:val="00113D22"/>
    <w:rsid w:val="00134983"/>
    <w:rsid w:val="0013669A"/>
    <w:rsid w:val="00136AC0"/>
    <w:rsid w:val="00146E03"/>
    <w:rsid w:val="00153CD3"/>
    <w:rsid w:val="00160ACF"/>
    <w:rsid w:val="001631C9"/>
    <w:rsid w:val="00163FE4"/>
    <w:rsid w:val="00164C86"/>
    <w:rsid w:val="00171A71"/>
    <w:rsid w:val="00172B77"/>
    <w:rsid w:val="00190A1A"/>
    <w:rsid w:val="0019447D"/>
    <w:rsid w:val="0019773F"/>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516C8"/>
    <w:rsid w:val="00255D81"/>
    <w:rsid w:val="00263821"/>
    <w:rsid w:val="0027134F"/>
    <w:rsid w:val="0028252D"/>
    <w:rsid w:val="002926CE"/>
    <w:rsid w:val="00295E61"/>
    <w:rsid w:val="002A4E05"/>
    <w:rsid w:val="002A5340"/>
    <w:rsid w:val="002A5F5A"/>
    <w:rsid w:val="002B219F"/>
    <w:rsid w:val="002B6263"/>
    <w:rsid w:val="002B7D41"/>
    <w:rsid w:val="002D253D"/>
    <w:rsid w:val="002D4762"/>
    <w:rsid w:val="002F16EA"/>
    <w:rsid w:val="002F5607"/>
    <w:rsid w:val="002F7D02"/>
    <w:rsid w:val="00312BDF"/>
    <w:rsid w:val="0031595C"/>
    <w:rsid w:val="00317F1F"/>
    <w:rsid w:val="00336D72"/>
    <w:rsid w:val="003403CE"/>
    <w:rsid w:val="00344F85"/>
    <w:rsid w:val="003464CB"/>
    <w:rsid w:val="003566A5"/>
    <w:rsid w:val="0036349C"/>
    <w:rsid w:val="00363508"/>
    <w:rsid w:val="0036747C"/>
    <w:rsid w:val="00371B43"/>
    <w:rsid w:val="003773F7"/>
    <w:rsid w:val="003820F8"/>
    <w:rsid w:val="00397224"/>
    <w:rsid w:val="003A3290"/>
    <w:rsid w:val="003C2126"/>
    <w:rsid w:val="003C4EAA"/>
    <w:rsid w:val="003C523C"/>
    <w:rsid w:val="003D7AC5"/>
    <w:rsid w:val="003E5CED"/>
    <w:rsid w:val="00401B80"/>
    <w:rsid w:val="0040427B"/>
    <w:rsid w:val="00405D74"/>
    <w:rsid w:val="00406543"/>
    <w:rsid w:val="004167D1"/>
    <w:rsid w:val="00431406"/>
    <w:rsid w:val="0044202B"/>
    <w:rsid w:val="00444D86"/>
    <w:rsid w:val="00445D17"/>
    <w:rsid w:val="00446AD3"/>
    <w:rsid w:val="00450339"/>
    <w:rsid w:val="00456FC5"/>
    <w:rsid w:val="00463D50"/>
    <w:rsid w:val="0046670F"/>
    <w:rsid w:val="00483282"/>
    <w:rsid w:val="00485A6D"/>
    <w:rsid w:val="0049310F"/>
    <w:rsid w:val="0049495F"/>
    <w:rsid w:val="004A130C"/>
    <w:rsid w:val="004A13CE"/>
    <w:rsid w:val="004A2219"/>
    <w:rsid w:val="004A468D"/>
    <w:rsid w:val="004A678E"/>
    <w:rsid w:val="004B4E7B"/>
    <w:rsid w:val="004C70AA"/>
    <w:rsid w:val="004E39F9"/>
    <w:rsid w:val="004E49E8"/>
    <w:rsid w:val="004F25BE"/>
    <w:rsid w:val="005026EC"/>
    <w:rsid w:val="00513666"/>
    <w:rsid w:val="00526877"/>
    <w:rsid w:val="00527192"/>
    <w:rsid w:val="005335B5"/>
    <w:rsid w:val="00552B0B"/>
    <w:rsid w:val="005558F8"/>
    <w:rsid w:val="00564AEE"/>
    <w:rsid w:val="005706A6"/>
    <w:rsid w:val="005716A0"/>
    <w:rsid w:val="00571EBC"/>
    <w:rsid w:val="00572983"/>
    <w:rsid w:val="005932B4"/>
    <w:rsid w:val="005B5686"/>
    <w:rsid w:val="005B7A28"/>
    <w:rsid w:val="005D1CBF"/>
    <w:rsid w:val="005D3486"/>
    <w:rsid w:val="005D7C09"/>
    <w:rsid w:val="005E5CC3"/>
    <w:rsid w:val="005E7417"/>
    <w:rsid w:val="005F589D"/>
    <w:rsid w:val="00610943"/>
    <w:rsid w:val="006138F2"/>
    <w:rsid w:val="00622B55"/>
    <w:rsid w:val="006256AB"/>
    <w:rsid w:val="00626222"/>
    <w:rsid w:val="00641F8A"/>
    <w:rsid w:val="0065188C"/>
    <w:rsid w:val="00665FC1"/>
    <w:rsid w:val="00676E6F"/>
    <w:rsid w:val="00681F7A"/>
    <w:rsid w:val="00687426"/>
    <w:rsid w:val="006927A5"/>
    <w:rsid w:val="00693836"/>
    <w:rsid w:val="006A5895"/>
    <w:rsid w:val="006B14B7"/>
    <w:rsid w:val="006C030B"/>
    <w:rsid w:val="006C0C54"/>
    <w:rsid w:val="006D1AEC"/>
    <w:rsid w:val="006D3224"/>
    <w:rsid w:val="006D5332"/>
    <w:rsid w:val="006E3686"/>
    <w:rsid w:val="006E3B32"/>
    <w:rsid w:val="00716B75"/>
    <w:rsid w:val="00720ADE"/>
    <w:rsid w:val="00736973"/>
    <w:rsid w:val="00743C6F"/>
    <w:rsid w:val="0075180E"/>
    <w:rsid w:val="007567E7"/>
    <w:rsid w:val="00777DAD"/>
    <w:rsid w:val="007917EB"/>
    <w:rsid w:val="00796906"/>
    <w:rsid w:val="007A076D"/>
    <w:rsid w:val="007B205E"/>
    <w:rsid w:val="007C3954"/>
    <w:rsid w:val="007D283F"/>
    <w:rsid w:val="007D2B6A"/>
    <w:rsid w:val="007E1AEB"/>
    <w:rsid w:val="007E6D81"/>
    <w:rsid w:val="007F1188"/>
    <w:rsid w:val="007F1C0B"/>
    <w:rsid w:val="00802C26"/>
    <w:rsid w:val="00805A47"/>
    <w:rsid w:val="00806116"/>
    <w:rsid w:val="00832D00"/>
    <w:rsid w:val="0083579D"/>
    <w:rsid w:val="00840329"/>
    <w:rsid w:val="00846D03"/>
    <w:rsid w:val="0084737E"/>
    <w:rsid w:val="00876733"/>
    <w:rsid w:val="008810D9"/>
    <w:rsid w:val="0088235A"/>
    <w:rsid w:val="00883571"/>
    <w:rsid w:val="00887136"/>
    <w:rsid w:val="008A36D6"/>
    <w:rsid w:val="008B2FD7"/>
    <w:rsid w:val="008B3F8F"/>
    <w:rsid w:val="008C0128"/>
    <w:rsid w:val="008C3E19"/>
    <w:rsid w:val="008D0ACE"/>
    <w:rsid w:val="008D1549"/>
    <w:rsid w:val="008F3CD1"/>
    <w:rsid w:val="00901B7C"/>
    <w:rsid w:val="009025C9"/>
    <w:rsid w:val="00902752"/>
    <w:rsid w:val="00904DAC"/>
    <w:rsid w:val="00920925"/>
    <w:rsid w:val="00924080"/>
    <w:rsid w:val="00931707"/>
    <w:rsid w:val="0094551B"/>
    <w:rsid w:val="00960137"/>
    <w:rsid w:val="009655A4"/>
    <w:rsid w:val="00966247"/>
    <w:rsid w:val="00967792"/>
    <w:rsid w:val="00970984"/>
    <w:rsid w:val="00971BEE"/>
    <w:rsid w:val="00982AF1"/>
    <w:rsid w:val="0098453F"/>
    <w:rsid w:val="00990678"/>
    <w:rsid w:val="00995D25"/>
    <w:rsid w:val="00997BD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900B2"/>
    <w:rsid w:val="00A929B3"/>
    <w:rsid w:val="00A9661A"/>
    <w:rsid w:val="00AC1C45"/>
    <w:rsid w:val="00AC547C"/>
    <w:rsid w:val="00AD1EC6"/>
    <w:rsid w:val="00AE3285"/>
    <w:rsid w:val="00AF1D60"/>
    <w:rsid w:val="00AF49E4"/>
    <w:rsid w:val="00B1589E"/>
    <w:rsid w:val="00B25585"/>
    <w:rsid w:val="00B2583B"/>
    <w:rsid w:val="00B30511"/>
    <w:rsid w:val="00B323BC"/>
    <w:rsid w:val="00B37E4C"/>
    <w:rsid w:val="00B40D57"/>
    <w:rsid w:val="00B40FF2"/>
    <w:rsid w:val="00B41907"/>
    <w:rsid w:val="00B46772"/>
    <w:rsid w:val="00B5600C"/>
    <w:rsid w:val="00B65EF8"/>
    <w:rsid w:val="00B72B05"/>
    <w:rsid w:val="00B84195"/>
    <w:rsid w:val="00B9519F"/>
    <w:rsid w:val="00BA372E"/>
    <w:rsid w:val="00BA789F"/>
    <w:rsid w:val="00BB576F"/>
    <w:rsid w:val="00BB737A"/>
    <w:rsid w:val="00BC1752"/>
    <w:rsid w:val="00BC71FF"/>
    <w:rsid w:val="00BD347C"/>
    <w:rsid w:val="00BD7246"/>
    <w:rsid w:val="00BE1B1F"/>
    <w:rsid w:val="00BE1FF6"/>
    <w:rsid w:val="00BE4225"/>
    <w:rsid w:val="00BE5BB1"/>
    <w:rsid w:val="00BE69A3"/>
    <w:rsid w:val="00BF3E1B"/>
    <w:rsid w:val="00BF4C48"/>
    <w:rsid w:val="00BF7454"/>
    <w:rsid w:val="00C018FC"/>
    <w:rsid w:val="00C0453D"/>
    <w:rsid w:val="00C04A67"/>
    <w:rsid w:val="00C0542C"/>
    <w:rsid w:val="00C05434"/>
    <w:rsid w:val="00C11828"/>
    <w:rsid w:val="00C15E9F"/>
    <w:rsid w:val="00C1630B"/>
    <w:rsid w:val="00C31F0A"/>
    <w:rsid w:val="00C42E47"/>
    <w:rsid w:val="00C546AD"/>
    <w:rsid w:val="00C6794B"/>
    <w:rsid w:val="00C71794"/>
    <w:rsid w:val="00C72C95"/>
    <w:rsid w:val="00C7406F"/>
    <w:rsid w:val="00C7593C"/>
    <w:rsid w:val="00C85D76"/>
    <w:rsid w:val="00C860D2"/>
    <w:rsid w:val="00C923D1"/>
    <w:rsid w:val="00C95F94"/>
    <w:rsid w:val="00CA61C1"/>
    <w:rsid w:val="00CC3D9F"/>
    <w:rsid w:val="00CC4B1A"/>
    <w:rsid w:val="00CD2885"/>
    <w:rsid w:val="00CD57F0"/>
    <w:rsid w:val="00CE0CFA"/>
    <w:rsid w:val="00CE7F10"/>
    <w:rsid w:val="00CF3401"/>
    <w:rsid w:val="00CF728B"/>
    <w:rsid w:val="00D03895"/>
    <w:rsid w:val="00D10863"/>
    <w:rsid w:val="00D12107"/>
    <w:rsid w:val="00D15C08"/>
    <w:rsid w:val="00D16356"/>
    <w:rsid w:val="00D22734"/>
    <w:rsid w:val="00D32B8E"/>
    <w:rsid w:val="00D40D9E"/>
    <w:rsid w:val="00D51E16"/>
    <w:rsid w:val="00D533EB"/>
    <w:rsid w:val="00D6033C"/>
    <w:rsid w:val="00D60722"/>
    <w:rsid w:val="00D705C6"/>
    <w:rsid w:val="00D70710"/>
    <w:rsid w:val="00D77852"/>
    <w:rsid w:val="00D81EA9"/>
    <w:rsid w:val="00D83D5E"/>
    <w:rsid w:val="00D86168"/>
    <w:rsid w:val="00D87639"/>
    <w:rsid w:val="00D959C1"/>
    <w:rsid w:val="00D95C22"/>
    <w:rsid w:val="00D97F4F"/>
    <w:rsid w:val="00DB6FEF"/>
    <w:rsid w:val="00DB761A"/>
    <w:rsid w:val="00DC6564"/>
    <w:rsid w:val="00DD46FC"/>
    <w:rsid w:val="00E00751"/>
    <w:rsid w:val="00E07930"/>
    <w:rsid w:val="00E13C9F"/>
    <w:rsid w:val="00E16EB9"/>
    <w:rsid w:val="00E321BF"/>
    <w:rsid w:val="00E330AB"/>
    <w:rsid w:val="00E375A5"/>
    <w:rsid w:val="00E4383D"/>
    <w:rsid w:val="00E547A1"/>
    <w:rsid w:val="00E60A9A"/>
    <w:rsid w:val="00E60F28"/>
    <w:rsid w:val="00E67D3F"/>
    <w:rsid w:val="00E7129C"/>
    <w:rsid w:val="00E775B5"/>
    <w:rsid w:val="00E87253"/>
    <w:rsid w:val="00E94330"/>
    <w:rsid w:val="00E95EC3"/>
    <w:rsid w:val="00EA66BD"/>
    <w:rsid w:val="00EB3DE1"/>
    <w:rsid w:val="00EC2C93"/>
    <w:rsid w:val="00EC4D1A"/>
    <w:rsid w:val="00EC64CB"/>
    <w:rsid w:val="00EC70BD"/>
    <w:rsid w:val="00ED2298"/>
    <w:rsid w:val="00ED411B"/>
    <w:rsid w:val="00EF7EA0"/>
    <w:rsid w:val="00F03435"/>
    <w:rsid w:val="00F10A57"/>
    <w:rsid w:val="00F13DD2"/>
    <w:rsid w:val="00F253FA"/>
    <w:rsid w:val="00F3324D"/>
    <w:rsid w:val="00F41439"/>
    <w:rsid w:val="00F41BBD"/>
    <w:rsid w:val="00F42979"/>
    <w:rsid w:val="00F43051"/>
    <w:rsid w:val="00F43E70"/>
    <w:rsid w:val="00F4424A"/>
    <w:rsid w:val="00F5298E"/>
    <w:rsid w:val="00F52F7D"/>
    <w:rsid w:val="00F56BA7"/>
    <w:rsid w:val="00F73CB6"/>
    <w:rsid w:val="00F7790E"/>
    <w:rsid w:val="00F867FF"/>
    <w:rsid w:val="00F9152F"/>
    <w:rsid w:val="00F94147"/>
    <w:rsid w:val="00F941BC"/>
    <w:rsid w:val="00F957BF"/>
    <w:rsid w:val="00FA03B9"/>
    <w:rsid w:val="00FC0753"/>
    <w:rsid w:val="00FD49BB"/>
    <w:rsid w:val="00FE1A09"/>
    <w:rsid w:val="00FE78D1"/>
    <w:rsid w:val="00FF049D"/>
    <w:rsid w:val="00FF20FA"/>
    <w:rsid w:val="04332303"/>
    <w:rsid w:val="07D1692F"/>
    <w:rsid w:val="07F71AF9"/>
    <w:rsid w:val="093E70CC"/>
    <w:rsid w:val="0A6546F3"/>
    <w:rsid w:val="0BA1308D"/>
    <w:rsid w:val="0BCD0961"/>
    <w:rsid w:val="0D3C4E9D"/>
    <w:rsid w:val="0EBD51D0"/>
    <w:rsid w:val="11D855A4"/>
    <w:rsid w:val="121F323F"/>
    <w:rsid w:val="16543A78"/>
    <w:rsid w:val="18187FEE"/>
    <w:rsid w:val="18923D74"/>
    <w:rsid w:val="19ED54DA"/>
    <w:rsid w:val="1DA03A52"/>
    <w:rsid w:val="1DCB6EB2"/>
    <w:rsid w:val="209D7395"/>
    <w:rsid w:val="20F7279B"/>
    <w:rsid w:val="2129027E"/>
    <w:rsid w:val="221C4B58"/>
    <w:rsid w:val="221D766F"/>
    <w:rsid w:val="2A6141A4"/>
    <w:rsid w:val="2CC664AC"/>
    <w:rsid w:val="2D972076"/>
    <w:rsid w:val="2F41615A"/>
    <w:rsid w:val="32B45836"/>
    <w:rsid w:val="337C7664"/>
    <w:rsid w:val="33BB2132"/>
    <w:rsid w:val="34D06ADA"/>
    <w:rsid w:val="367C5CF7"/>
    <w:rsid w:val="36AE2800"/>
    <w:rsid w:val="36F22F2A"/>
    <w:rsid w:val="375F7874"/>
    <w:rsid w:val="386F7DEE"/>
    <w:rsid w:val="3A7D02DA"/>
    <w:rsid w:val="3B361C03"/>
    <w:rsid w:val="3DC20E35"/>
    <w:rsid w:val="406E73CF"/>
    <w:rsid w:val="41803469"/>
    <w:rsid w:val="42087170"/>
    <w:rsid w:val="428E3FFC"/>
    <w:rsid w:val="48B33D93"/>
    <w:rsid w:val="48E13E7A"/>
    <w:rsid w:val="4966677E"/>
    <w:rsid w:val="49CD15B2"/>
    <w:rsid w:val="4A9928BF"/>
    <w:rsid w:val="4BC60CF9"/>
    <w:rsid w:val="4D1039DF"/>
    <w:rsid w:val="4F9229D0"/>
    <w:rsid w:val="5690758D"/>
    <w:rsid w:val="56D31D03"/>
    <w:rsid w:val="573E6AFB"/>
    <w:rsid w:val="57F213DD"/>
    <w:rsid w:val="598F051C"/>
    <w:rsid w:val="59CE248E"/>
    <w:rsid w:val="5D441980"/>
    <w:rsid w:val="5DC920F5"/>
    <w:rsid w:val="5F3B6ACD"/>
    <w:rsid w:val="5FD53DDB"/>
    <w:rsid w:val="61A63CCC"/>
    <w:rsid w:val="621963A8"/>
    <w:rsid w:val="632A4E85"/>
    <w:rsid w:val="636E3BF8"/>
    <w:rsid w:val="63EC6BAF"/>
    <w:rsid w:val="642A48B2"/>
    <w:rsid w:val="6545379D"/>
    <w:rsid w:val="67EB1093"/>
    <w:rsid w:val="6A26114C"/>
    <w:rsid w:val="6FE74354"/>
    <w:rsid w:val="720A137F"/>
    <w:rsid w:val="738B2ACF"/>
    <w:rsid w:val="790659C1"/>
    <w:rsid w:val="7ABC0F0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semiHidden="0"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0"/>
    <w:qFormat/>
    <w:uiPriority w:val="0"/>
    <w:pPr>
      <w:keepNext/>
      <w:keepLines/>
      <w:spacing w:line="360" w:lineRule="auto"/>
      <w:outlineLvl w:val="0"/>
    </w:pPr>
    <w:rPr>
      <w:rFonts w:ascii="Calibri" w:hAnsi="Calibri"/>
      <w:b/>
      <w:bCs/>
      <w:kern w:val="44"/>
      <w:sz w:val="32"/>
      <w:szCs w:val="44"/>
    </w:rPr>
  </w:style>
  <w:style w:type="paragraph" w:styleId="3">
    <w:name w:val="heading 2"/>
    <w:basedOn w:val="1"/>
    <w:next w:val="1"/>
    <w:link w:val="146"/>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141"/>
    <w:qFormat/>
    <w:uiPriority w:val="0"/>
    <w:pPr>
      <w:keepNext/>
      <w:keepLines/>
      <w:spacing w:line="360" w:lineRule="auto"/>
      <w:outlineLvl w:val="2"/>
    </w:pPr>
    <w:rPr>
      <w:rFonts w:ascii="Calibri" w:hAnsi="Calibri"/>
      <w:b/>
      <w:bCs/>
      <w:sz w:val="24"/>
      <w:szCs w:val="32"/>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paragraph" w:styleId="6">
    <w:name w:val="heading 5"/>
    <w:basedOn w:val="1"/>
    <w:next w:val="1"/>
    <w:qFormat/>
    <w:uiPriority w:val="0"/>
    <w:pPr>
      <w:keepNext/>
      <w:keepLines/>
      <w:spacing w:line="360" w:lineRule="auto"/>
      <w:outlineLvl w:val="4"/>
    </w:pPr>
    <w:rPr>
      <w:rFonts w:eastAsia="黑体"/>
      <w:bCs/>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77">
    <w:name w:val="Default Paragraph Font"/>
    <w:unhideWhenUsed/>
    <w:qFormat/>
    <w:uiPriority w:val="1"/>
  </w:style>
  <w:style w:type="table" w:default="1" w:styleId="95">
    <w:name w:val="Normal Table"/>
    <w:unhideWhenUsed/>
    <w:qFormat/>
    <w:uiPriority w:val="99"/>
    <w:tblPr>
      <w:tblLayout w:type="fixed"/>
      <w:tblCellMar>
        <w:top w:w="0" w:type="dxa"/>
        <w:left w:w="108" w:type="dxa"/>
        <w:bottom w:w="0" w:type="dxa"/>
        <w:right w:w="108" w:type="dxa"/>
      </w:tblCellMar>
    </w:tblPr>
  </w:style>
  <w:style w:type="paragraph" w:styleId="11">
    <w:name w:val="List 3"/>
    <w:basedOn w:val="1"/>
    <w:semiHidden/>
    <w:qFormat/>
    <w:uiPriority w:val="0"/>
    <w:pPr>
      <w:ind w:left="1260" w:hanging="420"/>
    </w:pPr>
  </w:style>
  <w:style w:type="paragraph" w:styleId="12">
    <w:name w:val="annotation subject"/>
    <w:basedOn w:val="13"/>
    <w:next w:val="13"/>
    <w:qFormat/>
    <w:uiPriority w:val="0"/>
    <w:rPr>
      <w:b/>
      <w:bCs/>
    </w:rPr>
  </w:style>
  <w:style w:type="paragraph" w:styleId="13">
    <w:name w:val="annotation text"/>
    <w:basedOn w:val="1"/>
    <w:link w:val="156"/>
    <w:qFormat/>
    <w:uiPriority w:val="99"/>
    <w:pPr>
      <w:jc w:val="left"/>
    </w:pPr>
    <w:rPr>
      <w:rFonts w:ascii="Calibri" w:hAnsi="Calibri"/>
    </w:rPr>
  </w:style>
  <w:style w:type="paragraph" w:styleId="14">
    <w:name w:val="toc 7"/>
    <w:basedOn w:val="1"/>
    <w:next w:val="1"/>
    <w:qFormat/>
    <w:uiPriority w:val="0"/>
    <w:pPr>
      <w:ind w:left="1260"/>
      <w:jc w:val="left"/>
    </w:pPr>
    <w:rPr>
      <w:sz w:val="18"/>
      <w:szCs w:val="18"/>
    </w:rPr>
  </w:style>
  <w:style w:type="paragraph" w:styleId="15">
    <w:name w:val="Body Text First Indent"/>
    <w:basedOn w:val="16"/>
    <w:semiHidden/>
    <w:qFormat/>
    <w:uiPriority w:val="0"/>
    <w:pPr>
      <w:ind w:firstLine="420"/>
    </w:pPr>
  </w:style>
  <w:style w:type="paragraph" w:styleId="16">
    <w:name w:val="Body Text"/>
    <w:basedOn w:val="1"/>
    <w:semiHidden/>
    <w:qFormat/>
    <w:uiPriority w:val="0"/>
    <w:pPr>
      <w:spacing w:after="120"/>
    </w:pPr>
  </w:style>
  <w:style w:type="paragraph" w:styleId="17">
    <w:name w:val="List Number 2"/>
    <w:basedOn w:val="1"/>
    <w:semiHidden/>
    <w:qFormat/>
    <w:uiPriority w:val="0"/>
    <w:pPr>
      <w:tabs>
        <w:tab w:val="left" w:pos="780"/>
      </w:tabs>
      <w:ind w:left="780" w:hanging="360"/>
    </w:pPr>
  </w:style>
  <w:style w:type="paragraph" w:styleId="18">
    <w:name w:val="Note Heading"/>
    <w:basedOn w:val="1"/>
    <w:next w:val="1"/>
    <w:semiHidden/>
    <w:qFormat/>
    <w:uiPriority w:val="0"/>
    <w:pPr>
      <w:jc w:val="center"/>
    </w:pPr>
  </w:style>
  <w:style w:type="paragraph" w:styleId="19">
    <w:name w:val="List Bullet 4"/>
    <w:basedOn w:val="1"/>
    <w:semiHidden/>
    <w:qFormat/>
    <w:uiPriority w:val="0"/>
    <w:pPr>
      <w:tabs>
        <w:tab w:val="left" w:pos="1620"/>
      </w:tabs>
      <w:ind w:left="1620" w:hanging="360"/>
    </w:pPr>
  </w:style>
  <w:style w:type="paragraph" w:styleId="20">
    <w:name w:val="E-mail Signature"/>
    <w:basedOn w:val="1"/>
    <w:semiHidden/>
    <w:qFormat/>
    <w:uiPriority w:val="0"/>
  </w:style>
  <w:style w:type="paragraph" w:styleId="21">
    <w:name w:val="List Number"/>
    <w:basedOn w:val="1"/>
    <w:semiHidden/>
    <w:qFormat/>
    <w:uiPriority w:val="0"/>
    <w:pPr>
      <w:tabs>
        <w:tab w:val="left" w:pos="360"/>
      </w:tabs>
      <w:ind w:left="360" w:hanging="360"/>
    </w:pPr>
  </w:style>
  <w:style w:type="paragraph" w:styleId="22">
    <w:name w:val="Normal Indent"/>
    <w:basedOn w:val="1"/>
    <w:qFormat/>
    <w:uiPriority w:val="0"/>
    <w:pPr>
      <w:ind w:firstLine="420"/>
    </w:pPr>
  </w:style>
  <w:style w:type="paragraph" w:styleId="23">
    <w:name w:val="caption"/>
    <w:basedOn w:val="1"/>
    <w:next w:val="1"/>
    <w:qFormat/>
    <w:uiPriority w:val="0"/>
    <w:pPr>
      <w:spacing w:before="152" w:after="160"/>
    </w:pPr>
    <w:rPr>
      <w:rFonts w:ascii="Arial" w:hAnsi="Arial" w:eastAsia="黑体"/>
      <w:sz w:val="20"/>
      <w:szCs w:val="20"/>
    </w:rPr>
  </w:style>
  <w:style w:type="paragraph" w:styleId="24">
    <w:name w:val="List Bullet"/>
    <w:basedOn w:val="1"/>
    <w:semiHidden/>
    <w:qFormat/>
    <w:uiPriority w:val="0"/>
    <w:pPr>
      <w:tabs>
        <w:tab w:val="left" w:pos="360"/>
      </w:tabs>
      <w:ind w:left="360" w:hanging="360"/>
    </w:pPr>
  </w:style>
  <w:style w:type="paragraph" w:styleId="25">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6">
    <w:name w:val="Document Map"/>
    <w:basedOn w:val="1"/>
    <w:link w:val="149"/>
    <w:qFormat/>
    <w:uiPriority w:val="0"/>
    <w:rPr>
      <w:rFonts w:ascii="Tahoma" w:hAnsi="Tahoma"/>
      <w:sz w:val="16"/>
      <w:szCs w:val="16"/>
    </w:rPr>
  </w:style>
  <w:style w:type="paragraph" w:styleId="27">
    <w:name w:val="Salutation"/>
    <w:basedOn w:val="1"/>
    <w:next w:val="1"/>
    <w:semiHidden/>
    <w:qFormat/>
    <w:uiPriority w:val="0"/>
  </w:style>
  <w:style w:type="paragraph" w:styleId="28">
    <w:name w:val="Body Text 3"/>
    <w:basedOn w:val="1"/>
    <w:semiHidden/>
    <w:qFormat/>
    <w:uiPriority w:val="0"/>
    <w:pPr>
      <w:spacing w:after="120"/>
    </w:pPr>
    <w:rPr>
      <w:sz w:val="16"/>
      <w:szCs w:val="16"/>
    </w:rPr>
  </w:style>
  <w:style w:type="paragraph" w:styleId="29">
    <w:name w:val="Closing"/>
    <w:basedOn w:val="1"/>
    <w:semiHidden/>
    <w:qFormat/>
    <w:uiPriority w:val="0"/>
    <w:pPr>
      <w:ind w:left="4320"/>
    </w:pPr>
  </w:style>
  <w:style w:type="paragraph" w:styleId="30">
    <w:name w:val="List Bullet 3"/>
    <w:basedOn w:val="1"/>
    <w:semiHidden/>
    <w:qFormat/>
    <w:uiPriority w:val="0"/>
    <w:pPr>
      <w:tabs>
        <w:tab w:val="left" w:pos="1200"/>
      </w:tabs>
      <w:ind w:left="1200" w:hanging="360"/>
    </w:pPr>
  </w:style>
  <w:style w:type="paragraph" w:styleId="31">
    <w:name w:val="Body Text Indent"/>
    <w:basedOn w:val="1"/>
    <w:semiHidden/>
    <w:qFormat/>
    <w:uiPriority w:val="0"/>
    <w:pPr>
      <w:spacing w:after="120"/>
      <w:ind w:left="420"/>
    </w:pPr>
  </w:style>
  <w:style w:type="paragraph" w:styleId="32">
    <w:name w:val="List Number 3"/>
    <w:basedOn w:val="1"/>
    <w:semiHidden/>
    <w:qFormat/>
    <w:uiPriority w:val="0"/>
    <w:pPr>
      <w:tabs>
        <w:tab w:val="left" w:pos="1200"/>
      </w:tabs>
      <w:ind w:left="1200" w:hanging="360"/>
    </w:pPr>
  </w:style>
  <w:style w:type="paragraph" w:styleId="33">
    <w:name w:val="List 2"/>
    <w:basedOn w:val="1"/>
    <w:semiHidden/>
    <w:qFormat/>
    <w:uiPriority w:val="0"/>
    <w:pPr>
      <w:ind w:left="840" w:hanging="420"/>
    </w:pPr>
  </w:style>
  <w:style w:type="paragraph" w:styleId="34">
    <w:name w:val="List Continue"/>
    <w:basedOn w:val="1"/>
    <w:semiHidden/>
    <w:qFormat/>
    <w:uiPriority w:val="0"/>
    <w:pPr>
      <w:spacing w:after="120"/>
      <w:ind w:left="420"/>
    </w:pPr>
  </w:style>
  <w:style w:type="paragraph" w:styleId="35">
    <w:name w:val="Block Text"/>
    <w:basedOn w:val="1"/>
    <w:semiHidden/>
    <w:qFormat/>
    <w:uiPriority w:val="0"/>
    <w:pPr>
      <w:spacing w:after="120"/>
      <w:ind w:left="1440" w:right="1440"/>
    </w:pPr>
  </w:style>
  <w:style w:type="paragraph" w:styleId="36">
    <w:name w:val="List Bullet 2"/>
    <w:basedOn w:val="1"/>
    <w:semiHidden/>
    <w:qFormat/>
    <w:uiPriority w:val="0"/>
    <w:pPr>
      <w:tabs>
        <w:tab w:val="left" w:pos="780"/>
      </w:tabs>
      <w:ind w:left="780" w:hanging="360"/>
    </w:pPr>
  </w:style>
  <w:style w:type="paragraph" w:styleId="37">
    <w:name w:val="HTML Address"/>
    <w:basedOn w:val="1"/>
    <w:semiHidden/>
    <w:qFormat/>
    <w:uiPriority w:val="0"/>
    <w:rPr>
      <w:i/>
      <w:iCs/>
    </w:rPr>
  </w:style>
  <w:style w:type="paragraph" w:styleId="38">
    <w:name w:val="toc 5"/>
    <w:basedOn w:val="1"/>
    <w:next w:val="1"/>
    <w:qFormat/>
    <w:uiPriority w:val="0"/>
    <w:pPr>
      <w:ind w:left="840"/>
      <w:jc w:val="left"/>
    </w:pPr>
    <w:rPr>
      <w:sz w:val="18"/>
      <w:szCs w:val="18"/>
    </w:rPr>
  </w:style>
  <w:style w:type="paragraph" w:styleId="39">
    <w:name w:val="toc 3"/>
    <w:basedOn w:val="1"/>
    <w:next w:val="1"/>
    <w:qFormat/>
    <w:uiPriority w:val="0"/>
    <w:pPr>
      <w:ind w:left="840" w:leftChars="400"/>
    </w:pPr>
  </w:style>
  <w:style w:type="paragraph" w:styleId="40">
    <w:name w:val="Plain Text"/>
    <w:basedOn w:val="1"/>
    <w:link w:val="159"/>
    <w:qFormat/>
    <w:uiPriority w:val="0"/>
    <w:rPr>
      <w:rFonts w:ascii="宋体" w:hAnsi="Courier New" w:cs="Courier New"/>
      <w:szCs w:val="21"/>
    </w:rPr>
  </w:style>
  <w:style w:type="paragraph" w:styleId="41">
    <w:name w:val="List Bullet 5"/>
    <w:basedOn w:val="1"/>
    <w:semiHidden/>
    <w:qFormat/>
    <w:uiPriority w:val="0"/>
    <w:pPr>
      <w:tabs>
        <w:tab w:val="left" w:pos="2040"/>
      </w:tabs>
      <w:ind w:left="2040" w:hanging="360"/>
    </w:pPr>
  </w:style>
  <w:style w:type="paragraph" w:styleId="42">
    <w:name w:val="List Number 4"/>
    <w:basedOn w:val="1"/>
    <w:semiHidden/>
    <w:qFormat/>
    <w:uiPriority w:val="0"/>
    <w:pPr>
      <w:tabs>
        <w:tab w:val="left" w:pos="1620"/>
      </w:tabs>
      <w:ind w:left="1620" w:hanging="360"/>
    </w:pPr>
  </w:style>
  <w:style w:type="paragraph" w:styleId="43">
    <w:name w:val="toc 8"/>
    <w:basedOn w:val="1"/>
    <w:next w:val="1"/>
    <w:qFormat/>
    <w:uiPriority w:val="0"/>
    <w:pPr>
      <w:ind w:left="1470"/>
      <w:jc w:val="left"/>
    </w:pPr>
    <w:rPr>
      <w:sz w:val="18"/>
      <w:szCs w:val="18"/>
    </w:rPr>
  </w:style>
  <w:style w:type="paragraph" w:styleId="44">
    <w:name w:val="Date"/>
    <w:basedOn w:val="1"/>
    <w:next w:val="1"/>
    <w:qFormat/>
    <w:uiPriority w:val="0"/>
    <w:pPr>
      <w:ind w:left="100" w:leftChars="2500"/>
    </w:pPr>
  </w:style>
  <w:style w:type="paragraph" w:styleId="45">
    <w:name w:val="Body Text Indent 2"/>
    <w:basedOn w:val="1"/>
    <w:link w:val="171"/>
    <w:qFormat/>
    <w:uiPriority w:val="0"/>
    <w:pPr>
      <w:autoSpaceDE w:val="0"/>
      <w:autoSpaceDN w:val="0"/>
      <w:adjustRightInd w:val="0"/>
      <w:spacing w:line="360" w:lineRule="auto"/>
      <w:ind w:firstLine="480" w:firstLineChars="200"/>
    </w:pPr>
    <w:rPr>
      <w:rFonts w:ascii="宋体" w:hAnsi="Calibri"/>
      <w:color w:val="000000"/>
      <w:sz w:val="24"/>
    </w:rPr>
  </w:style>
  <w:style w:type="paragraph" w:styleId="46">
    <w:name w:val="endnote text"/>
    <w:basedOn w:val="1"/>
    <w:qFormat/>
    <w:uiPriority w:val="0"/>
    <w:pPr>
      <w:snapToGrid w:val="0"/>
      <w:jc w:val="left"/>
    </w:pPr>
  </w:style>
  <w:style w:type="paragraph" w:styleId="47">
    <w:name w:val="List Continue 5"/>
    <w:basedOn w:val="1"/>
    <w:semiHidden/>
    <w:qFormat/>
    <w:uiPriority w:val="0"/>
    <w:pPr>
      <w:spacing w:after="120"/>
      <w:ind w:left="2100"/>
    </w:pPr>
  </w:style>
  <w:style w:type="paragraph" w:styleId="48">
    <w:name w:val="Balloon Text"/>
    <w:basedOn w:val="1"/>
    <w:link w:val="145"/>
    <w:qFormat/>
    <w:uiPriority w:val="0"/>
    <w:rPr>
      <w:rFonts w:ascii="Calibri" w:hAnsi="Calibri"/>
      <w:sz w:val="18"/>
      <w:szCs w:val="18"/>
    </w:rPr>
  </w:style>
  <w:style w:type="paragraph" w:styleId="49">
    <w:name w:val="footer"/>
    <w:basedOn w:val="1"/>
    <w:link w:val="142"/>
    <w:qFormat/>
    <w:uiPriority w:val="0"/>
    <w:pPr>
      <w:tabs>
        <w:tab w:val="center" w:pos="4153"/>
        <w:tab w:val="right" w:pos="8306"/>
      </w:tabs>
      <w:snapToGrid w:val="0"/>
      <w:jc w:val="left"/>
    </w:pPr>
    <w:rPr>
      <w:rFonts w:ascii="Calibri" w:hAnsi="Calibri"/>
      <w:sz w:val="18"/>
      <w:szCs w:val="18"/>
    </w:rPr>
  </w:style>
  <w:style w:type="paragraph" w:styleId="50">
    <w:name w:val="envelope return"/>
    <w:basedOn w:val="1"/>
    <w:semiHidden/>
    <w:qFormat/>
    <w:uiPriority w:val="0"/>
    <w:pPr>
      <w:snapToGrid w:val="0"/>
    </w:pPr>
    <w:rPr>
      <w:rFonts w:ascii="Arial" w:hAnsi="Arial" w:cs="Arial"/>
    </w:rPr>
  </w:style>
  <w:style w:type="paragraph" w:styleId="51">
    <w:name w:val="Body Text First Indent 2"/>
    <w:basedOn w:val="31"/>
    <w:semiHidden/>
    <w:qFormat/>
    <w:uiPriority w:val="0"/>
    <w:pPr>
      <w:ind w:firstLine="420"/>
    </w:pPr>
  </w:style>
  <w:style w:type="paragraph" w:styleId="52">
    <w:name w:val="header"/>
    <w:basedOn w:val="1"/>
    <w:link w:val="140"/>
    <w:qFormat/>
    <w:uiPriority w:val="0"/>
    <w:pPr>
      <w:tabs>
        <w:tab w:val="center" w:pos="4320"/>
        <w:tab w:val="right" w:pos="8640"/>
      </w:tabs>
    </w:pPr>
    <w:rPr>
      <w:rFonts w:ascii="Calibri" w:hAnsi="Calibri"/>
    </w:rPr>
  </w:style>
  <w:style w:type="paragraph" w:styleId="53">
    <w:name w:val="Signature"/>
    <w:basedOn w:val="1"/>
    <w:semiHidden/>
    <w:qFormat/>
    <w:uiPriority w:val="0"/>
    <w:pPr>
      <w:ind w:left="4320"/>
    </w:pPr>
  </w:style>
  <w:style w:type="paragraph" w:styleId="54">
    <w:name w:val="toc 1"/>
    <w:basedOn w:val="1"/>
    <w:next w:val="1"/>
    <w:qFormat/>
    <w:uiPriority w:val="0"/>
    <w:rPr>
      <w:szCs w:val="20"/>
    </w:rPr>
  </w:style>
  <w:style w:type="paragraph" w:styleId="55">
    <w:name w:val="List Continue 4"/>
    <w:basedOn w:val="1"/>
    <w:semiHidden/>
    <w:qFormat/>
    <w:uiPriority w:val="0"/>
    <w:pPr>
      <w:spacing w:after="120"/>
      <w:ind w:left="1680"/>
    </w:pPr>
  </w:style>
  <w:style w:type="paragraph" w:styleId="56">
    <w:name w:val="toc 4"/>
    <w:basedOn w:val="1"/>
    <w:next w:val="1"/>
    <w:qFormat/>
    <w:uiPriority w:val="0"/>
    <w:pPr>
      <w:ind w:left="630"/>
      <w:jc w:val="left"/>
    </w:pPr>
    <w:rPr>
      <w:sz w:val="18"/>
      <w:szCs w:val="18"/>
    </w:rPr>
  </w:style>
  <w:style w:type="paragraph" w:styleId="57">
    <w:name w:val="index heading"/>
    <w:basedOn w:val="1"/>
    <w:next w:val="58"/>
    <w:semiHidden/>
    <w:qFormat/>
    <w:uiPriority w:val="0"/>
    <w:pPr>
      <w:adjustRightInd w:val="0"/>
      <w:spacing w:line="490" w:lineRule="exact"/>
      <w:ind w:firstLine="556"/>
      <w:textAlignment w:val="baseline"/>
    </w:pPr>
    <w:rPr>
      <w:rFonts w:eastAsia="仿宋_GB2312"/>
      <w:kern w:val="0"/>
      <w:sz w:val="28"/>
      <w:szCs w:val="20"/>
    </w:rPr>
  </w:style>
  <w:style w:type="paragraph" w:styleId="58">
    <w:name w:val="index 1"/>
    <w:basedOn w:val="1"/>
    <w:next w:val="1"/>
    <w:semiHidden/>
    <w:qFormat/>
    <w:uiPriority w:val="0"/>
  </w:style>
  <w:style w:type="paragraph" w:styleId="59">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60">
    <w:name w:val="List Number 5"/>
    <w:basedOn w:val="1"/>
    <w:semiHidden/>
    <w:qFormat/>
    <w:uiPriority w:val="0"/>
    <w:pPr>
      <w:tabs>
        <w:tab w:val="left" w:pos="2040"/>
      </w:tabs>
      <w:ind w:left="2040" w:hanging="360"/>
    </w:pPr>
  </w:style>
  <w:style w:type="paragraph" w:styleId="61">
    <w:name w:val="List"/>
    <w:basedOn w:val="1"/>
    <w:semiHidden/>
    <w:qFormat/>
    <w:uiPriority w:val="0"/>
    <w:pPr>
      <w:ind w:left="420" w:hanging="420"/>
    </w:pPr>
  </w:style>
  <w:style w:type="paragraph" w:styleId="62">
    <w:name w:val="footnote text"/>
    <w:basedOn w:val="1"/>
    <w:link w:val="174"/>
    <w:qFormat/>
    <w:uiPriority w:val="0"/>
    <w:pPr>
      <w:snapToGrid w:val="0"/>
      <w:jc w:val="left"/>
    </w:pPr>
    <w:rPr>
      <w:rFonts w:ascii="Calibri" w:hAnsi="Calibri"/>
      <w:kern w:val="0"/>
      <w:sz w:val="18"/>
      <w:szCs w:val="20"/>
    </w:rPr>
  </w:style>
  <w:style w:type="paragraph" w:styleId="63">
    <w:name w:val="toc 6"/>
    <w:basedOn w:val="1"/>
    <w:next w:val="1"/>
    <w:qFormat/>
    <w:uiPriority w:val="0"/>
    <w:pPr>
      <w:ind w:left="1050"/>
      <w:jc w:val="left"/>
    </w:pPr>
    <w:rPr>
      <w:sz w:val="18"/>
      <w:szCs w:val="18"/>
    </w:rPr>
  </w:style>
  <w:style w:type="paragraph" w:styleId="64">
    <w:name w:val="List 5"/>
    <w:basedOn w:val="1"/>
    <w:semiHidden/>
    <w:qFormat/>
    <w:uiPriority w:val="0"/>
    <w:pPr>
      <w:ind w:left="2100" w:hanging="420"/>
    </w:pPr>
  </w:style>
  <w:style w:type="paragraph" w:styleId="65">
    <w:name w:val="Body Text Indent 3"/>
    <w:basedOn w:val="1"/>
    <w:semiHidden/>
    <w:qFormat/>
    <w:uiPriority w:val="0"/>
    <w:pPr>
      <w:spacing w:after="120"/>
      <w:ind w:left="420"/>
    </w:pPr>
    <w:rPr>
      <w:sz w:val="16"/>
      <w:szCs w:val="16"/>
    </w:rPr>
  </w:style>
  <w:style w:type="paragraph" w:styleId="66">
    <w:name w:val="table of figures"/>
    <w:basedOn w:val="1"/>
    <w:next w:val="1"/>
    <w:semiHidden/>
    <w:qFormat/>
    <w:uiPriority w:val="0"/>
    <w:pPr>
      <w:ind w:left="200" w:leftChars="200" w:hanging="200" w:hangingChars="200"/>
    </w:pPr>
  </w:style>
  <w:style w:type="paragraph" w:styleId="67">
    <w:name w:val="toc 2"/>
    <w:basedOn w:val="1"/>
    <w:next w:val="1"/>
    <w:qFormat/>
    <w:uiPriority w:val="0"/>
    <w:pPr>
      <w:ind w:left="420" w:leftChars="200"/>
    </w:pPr>
    <w:rPr>
      <w:szCs w:val="20"/>
    </w:rPr>
  </w:style>
  <w:style w:type="paragraph" w:styleId="68">
    <w:name w:val="toc 9"/>
    <w:basedOn w:val="1"/>
    <w:next w:val="1"/>
    <w:qFormat/>
    <w:uiPriority w:val="0"/>
    <w:pPr>
      <w:ind w:left="1680"/>
      <w:jc w:val="left"/>
    </w:pPr>
    <w:rPr>
      <w:sz w:val="18"/>
      <w:szCs w:val="18"/>
    </w:rPr>
  </w:style>
  <w:style w:type="paragraph" w:styleId="69">
    <w:name w:val="Body Text 2"/>
    <w:basedOn w:val="1"/>
    <w:semiHidden/>
    <w:qFormat/>
    <w:uiPriority w:val="0"/>
    <w:pPr>
      <w:spacing w:after="120" w:line="480" w:lineRule="auto"/>
    </w:pPr>
  </w:style>
  <w:style w:type="paragraph" w:styleId="70">
    <w:name w:val="List 4"/>
    <w:basedOn w:val="1"/>
    <w:semiHidden/>
    <w:qFormat/>
    <w:uiPriority w:val="0"/>
    <w:pPr>
      <w:ind w:left="1680" w:hanging="420"/>
    </w:pPr>
  </w:style>
  <w:style w:type="paragraph" w:styleId="71">
    <w:name w:val="List Continue 2"/>
    <w:basedOn w:val="1"/>
    <w:semiHidden/>
    <w:qFormat/>
    <w:uiPriority w:val="0"/>
    <w:pPr>
      <w:spacing w:after="120"/>
      <w:ind w:left="840"/>
    </w:pPr>
  </w:style>
  <w:style w:type="paragraph" w:styleId="72">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3">
    <w:name w:val="HTML Preformatted"/>
    <w:basedOn w:val="1"/>
    <w:semiHidden/>
    <w:qFormat/>
    <w:uiPriority w:val="0"/>
    <w:rPr>
      <w:rFonts w:ascii="Courier New" w:hAnsi="Courier New" w:cs="Courier New"/>
      <w:sz w:val="20"/>
      <w:szCs w:val="20"/>
    </w:rPr>
  </w:style>
  <w:style w:type="paragraph" w:styleId="7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5">
    <w:name w:val="List Continue 3"/>
    <w:basedOn w:val="1"/>
    <w:semiHidden/>
    <w:qFormat/>
    <w:uiPriority w:val="0"/>
    <w:pPr>
      <w:spacing w:after="120"/>
      <w:ind w:left="1260"/>
    </w:pPr>
  </w:style>
  <w:style w:type="paragraph" w:styleId="76">
    <w:name w:val="Title"/>
    <w:basedOn w:val="1"/>
    <w:next w:val="1"/>
    <w:qFormat/>
    <w:uiPriority w:val="0"/>
    <w:pPr>
      <w:spacing w:before="240" w:after="60"/>
      <w:jc w:val="center"/>
      <w:outlineLvl w:val="0"/>
    </w:pPr>
    <w:rPr>
      <w:rFonts w:ascii="Arial" w:hAnsi="Arial" w:cs="Arial"/>
      <w:b/>
      <w:bCs/>
      <w:sz w:val="32"/>
      <w:szCs w:val="32"/>
    </w:rPr>
  </w:style>
  <w:style w:type="character" w:styleId="78">
    <w:name w:val="Strong"/>
    <w:qFormat/>
    <w:uiPriority w:val="0"/>
    <w:rPr>
      <w:b/>
      <w:bCs/>
    </w:rPr>
  </w:style>
  <w:style w:type="character" w:styleId="79">
    <w:name w:val="endnote reference"/>
    <w:qFormat/>
    <w:uiPriority w:val="0"/>
    <w:rPr>
      <w:vertAlign w:val="superscript"/>
    </w:rPr>
  </w:style>
  <w:style w:type="character" w:styleId="80">
    <w:name w:val="page number"/>
    <w:basedOn w:val="77"/>
    <w:qFormat/>
    <w:uiPriority w:val="0"/>
  </w:style>
  <w:style w:type="character" w:styleId="81">
    <w:name w:val="FollowedHyperlink"/>
    <w:semiHidden/>
    <w:qFormat/>
    <w:uiPriority w:val="99"/>
    <w:rPr>
      <w:color w:val="800080"/>
      <w:u w:val="single"/>
    </w:rPr>
  </w:style>
  <w:style w:type="character" w:styleId="82">
    <w:name w:val="Emphasis"/>
    <w:qFormat/>
    <w:uiPriority w:val="0"/>
    <w:rPr>
      <w:i/>
      <w:iCs/>
    </w:rPr>
  </w:style>
  <w:style w:type="character" w:styleId="83">
    <w:name w:val="line number"/>
    <w:basedOn w:val="77"/>
    <w:semiHidden/>
    <w:qFormat/>
    <w:uiPriority w:val="0"/>
  </w:style>
  <w:style w:type="character" w:styleId="84">
    <w:name w:val="HTML Definition"/>
    <w:semiHidden/>
    <w:qFormat/>
    <w:uiPriority w:val="0"/>
    <w:rPr>
      <w:i/>
      <w:iCs/>
    </w:rPr>
  </w:style>
  <w:style w:type="character" w:styleId="85">
    <w:name w:val="HTML Typewriter"/>
    <w:semiHidden/>
    <w:qFormat/>
    <w:uiPriority w:val="0"/>
    <w:rPr>
      <w:rFonts w:ascii="Courier New" w:hAnsi="Courier New" w:cs="Courier New"/>
      <w:sz w:val="20"/>
      <w:szCs w:val="20"/>
    </w:rPr>
  </w:style>
  <w:style w:type="character" w:styleId="86">
    <w:name w:val="HTML Acronym"/>
    <w:basedOn w:val="77"/>
    <w:semiHidden/>
    <w:qFormat/>
    <w:uiPriority w:val="0"/>
  </w:style>
  <w:style w:type="character" w:styleId="87">
    <w:name w:val="HTML Variable"/>
    <w:semiHidden/>
    <w:qFormat/>
    <w:uiPriority w:val="0"/>
    <w:rPr>
      <w:i/>
      <w:iCs/>
    </w:rPr>
  </w:style>
  <w:style w:type="character" w:styleId="88">
    <w:name w:val="Hyperlink"/>
    <w:qFormat/>
    <w:uiPriority w:val="99"/>
    <w:rPr>
      <w:color w:val="0000FF"/>
      <w:u w:val="single"/>
    </w:rPr>
  </w:style>
  <w:style w:type="character" w:styleId="89">
    <w:name w:val="HTML Code"/>
    <w:semiHidden/>
    <w:qFormat/>
    <w:uiPriority w:val="0"/>
    <w:rPr>
      <w:rFonts w:ascii="Courier New" w:hAnsi="Courier New" w:cs="Courier New"/>
      <w:sz w:val="20"/>
      <w:szCs w:val="20"/>
    </w:rPr>
  </w:style>
  <w:style w:type="character" w:styleId="90">
    <w:name w:val="annotation reference"/>
    <w:qFormat/>
    <w:uiPriority w:val="0"/>
    <w:rPr>
      <w:sz w:val="21"/>
      <w:szCs w:val="21"/>
    </w:rPr>
  </w:style>
  <w:style w:type="character" w:styleId="91">
    <w:name w:val="HTML Cite"/>
    <w:semiHidden/>
    <w:qFormat/>
    <w:uiPriority w:val="0"/>
    <w:rPr>
      <w:i/>
      <w:iCs/>
    </w:rPr>
  </w:style>
  <w:style w:type="character" w:styleId="92">
    <w:name w:val="footnote reference"/>
    <w:qFormat/>
    <w:uiPriority w:val="0"/>
    <w:rPr>
      <w:vertAlign w:val="superscript"/>
    </w:rPr>
  </w:style>
  <w:style w:type="character" w:styleId="93">
    <w:name w:val="HTML Keyboard"/>
    <w:semiHidden/>
    <w:qFormat/>
    <w:uiPriority w:val="0"/>
    <w:rPr>
      <w:rFonts w:ascii="Courier New" w:hAnsi="Courier New" w:cs="Courier New"/>
      <w:sz w:val="20"/>
      <w:szCs w:val="20"/>
    </w:rPr>
  </w:style>
  <w:style w:type="character" w:styleId="94">
    <w:name w:val="HTML Sample"/>
    <w:semiHidden/>
    <w:qFormat/>
    <w:uiPriority w:val="0"/>
    <w:rPr>
      <w:rFonts w:ascii="Courier New" w:hAnsi="Courier New" w:cs="Courier New"/>
    </w:rPr>
  </w:style>
  <w:style w:type="table" w:styleId="96">
    <w:name w:val="Table Grid"/>
    <w:basedOn w:val="9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97">
    <w:name w:val="Table Theme"/>
    <w:basedOn w:val="95"/>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98">
    <w:name w:val="Table Colorful 1"/>
    <w:basedOn w:val="95"/>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Layout w:type="fixed"/>
      <w:tblCellMar>
        <w:top w:w="0" w:type="dxa"/>
        <w:left w:w="108" w:type="dxa"/>
        <w:bottom w:w="0" w:type="dxa"/>
        <w:right w:w="108" w:type="dxa"/>
      </w:tblCellMar>
    </w:tblPr>
    <w:tcPr>
      <w:shd w:val="solid" w:color="008080" w:fill="FFFFFF"/>
    </w:tcPr>
    <w:tblStylePr w:type="firstRow">
      <w:rPr>
        <w:b/>
        <w:bCs/>
        <w:i/>
        <w:iCs/>
      </w:rPr>
      <w:tblPr>
        <w:tblLayout w:type="fixed"/>
      </w:tblPr>
      <w:tcPr>
        <w:tcBorders>
          <w:top w:val="nil"/>
          <w:left w:val="nil"/>
          <w:bottom w:val="nil"/>
          <w:right w:val="nil"/>
          <w:insideH w:val="nil"/>
          <w:insideV w:val="nil"/>
          <w:tl2br w:val="nil"/>
          <w:tr2bl w:val="nil"/>
        </w:tcBorders>
        <w:shd w:val="solid" w:color="000000" w:fill="FFFFFF"/>
      </w:tcPr>
    </w:tblStylePr>
    <w:tblStylePr w:type="firstCol">
      <w:rPr>
        <w:b/>
        <w:bCs/>
        <w:i/>
        <w:iCs/>
      </w:rPr>
      <w:tblPr>
        <w:tblLayout w:type="fixed"/>
      </w:tblPr>
      <w:tcPr>
        <w:tcBorders>
          <w:top w:val="nil"/>
          <w:left w:val="nil"/>
          <w:bottom w:val="nil"/>
          <w:right w:val="nil"/>
          <w:insideH w:val="nil"/>
          <w:insideV w:val="nil"/>
          <w:tl2br w:val="nil"/>
          <w:tr2bl w:val="nil"/>
        </w:tcBorders>
        <w:shd w:val="solid" w:color="000080" w:fill="FFFFFF"/>
      </w:tcPr>
    </w:tblStylePr>
    <w:tblStylePr w:type="nwCell">
      <w:tblPr>
        <w:tblLayout w:type="fixed"/>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99">
    <w:name w:val="Table Colorful 2"/>
    <w:basedOn w:val="95"/>
    <w:semiHidden/>
    <w:qFormat/>
    <w:uiPriority w:val="0"/>
    <w:pPr>
      <w:widowControl w:val="0"/>
      <w:jc w:val="both"/>
    </w:p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blPr>
        <w:tblLayout w:type="fixed"/>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blLayout w:type="fixed"/>
      </w:tblPr>
      <w:tcPr>
        <w:tcBorders>
          <w:top w:val="nil"/>
          <w:left w:val="nil"/>
          <w:bottom w:val="nil"/>
          <w:right w:val="nil"/>
          <w:insideH w:val="nil"/>
          <w:insideV w:val="nil"/>
          <w:tl2br w:val="nil"/>
          <w:tr2bl w:val="nil"/>
        </w:tcBorders>
      </w:tcPr>
    </w:tblStylePr>
    <w:tblStylePr w:type="lastCol">
      <w:tblPr>
        <w:tblLayout w:type="fixed"/>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100">
    <w:name w:val="Table Colorful 3"/>
    <w:basedOn w:val="95"/>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blPr>
        <w:tblLayout w:type="fixed"/>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blLayout w:type="fixed"/>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101">
    <w:name w:val="Table Elegant"/>
    <w:basedOn w:val="95"/>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op w:val="nil"/>
          <w:left w:val="nil"/>
          <w:bottom w:val="nil"/>
          <w:right w:val="nil"/>
          <w:insideH w:val="nil"/>
          <w:insideV w:val="nil"/>
          <w:tl2br w:val="nil"/>
          <w:tr2bl w:val="nil"/>
        </w:tcBorders>
      </w:tcPr>
    </w:tblStylePr>
  </w:style>
  <w:style w:type="table" w:styleId="102">
    <w:name w:val="Table Classic 1"/>
    <w:basedOn w:val="95"/>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3">
    <w:name w:val="Table Classic 2"/>
    <w:basedOn w:val="95"/>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blPr>
        <w:tblLayout w:type="fixed"/>
      </w:tblPr>
      <w:tcPr>
        <w:tcBorders>
          <w:top w:val="nil"/>
          <w:left w:val="single" w:color="000000" w:sz="6" w:space="0"/>
          <w:bottom w:val="nil"/>
          <w:right w:val="nil"/>
          <w:insideH w:val="nil"/>
          <w:insideV w:val="nil"/>
          <w:tl2br w:val="nil"/>
          <w:tr2bl w:val="nil"/>
        </w:tcBorders>
        <w:shd w:val="solid" w:color="80008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shd w:val="solid" w:color="C0C0C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shd w:val="solid" w:color="800080" w:fill="FFFFFF"/>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04">
    <w:name w:val="Table Classic 3"/>
    <w:basedOn w:val="95"/>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blLayout w:type="fixed"/>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blLayout w:type="fixed"/>
      </w:tblPr>
      <w:tcPr>
        <w:tcBorders>
          <w:top w:val="nil"/>
          <w:left w:val="nil"/>
          <w:bottom w:val="nil"/>
          <w:right w:val="nil"/>
          <w:insideH w:val="nil"/>
          <w:insideV w:val="nil"/>
          <w:tl2br w:val="nil"/>
          <w:tr2bl w:val="nil"/>
        </w:tcBorders>
      </w:tcPr>
    </w:tblStylePr>
  </w:style>
  <w:style w:type="table" w:styleId="105">
    <w:name w:val="Table Classic 4"/>
    <w:basedOn w:val="95"/>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blLayout w:type="fixed"/>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rPr>
        <w:b/>
        <w:bCs/>
      </w:rPr>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06">
    <w:name w:val="Table Simple 1"/>
    <w:basedOn w:val="95"/>
    <w:semiHidden/>
    <w:qFormat/>
    <w:uiPriority w:val="0"/>
    <w:pPr>
      <w:widowControl w:val="0"/>
      <w:jc w:val="both"/>
    </w:pPr>
    <w:tblPr>
      <w:tblBorders>
        <w:top w:val="single" w:color="008000" w:sz="12" w:space="0"/>
        <w:bottom w:val="single" w:color="008000" w:sz="12"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8000" w:sz="6" w:space="0"/>
          <w:bottom w:val="nil"/>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107">
    <w:name w:val="Table Simple 2"/>
    <w:basedOn w:val="95"/>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lastCol">
      <w:rPr>
        <w:b/>
        <w:bCs/>
      </w:rPr>
      <w:tblPr>
        <w:tblLayout w:type="fixed"/>
      </w:tblPr>
      <w:tcPr>
        <w:tcBorders>
          <w:top w:val="nil"/>
          <w:left w:val="nil"/>
          <w:bottom w:val="single" w:color="000000" w:sz="6" w:space="0"/>
          <w:right w:val="nil"/>
          <w:insideH w:val="nil"/>
          <w:insideV w:val="nil"/>
          <w:tl2br w:val="nil"/>
          <w:tr2bl w:val="nil"/>
        </w:tcBorders>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8">
    <w:name w:val="Table Simple 3"/>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109">
    <w:name w:val="Table Subtle 1"/>
    <w:basedOn w:val="95"/>
    <w:semiHidden/>
    <w:qFormat/>
    <w:uiPriority w:val="0"/>
    <w:pPr>
      <w:widowControl w:val="0"/>
      <w:jc w:val="both"/>
    </w:pPr>
    <w:tblPr>
      <w:tblLayout w:type="fixed"/>
      <w:tblCellMar>
        <w:top w:w="0" w:type="dxa"/>
        <w:left w:w="108" w:type="dxa"/>
        <w:bottom w:w="0" w:type="dxa"/>
        <w:right w:w="108" w:type="dxa"/>
      </w:tblCellMar>
    </w:tblPr>
    <w:tblStylePr w:type="firstRow">
      <w:tblPr>
        <w:tblLayout w:type="fixed"/>
      </w:tblPr>
      <w:tcPr>
        <w:tcBorders>
          <w:top w:val="single" w:color="000000" w:sz="6" w:space="0"/>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blLayout w:type="fixed"/>
      </w:tblPr>
      <w:tcPr>
        <w:tcBorders>
          <w:top w:val="nil"/>
          <w:left w:val="nil"/>
          <w:bottom w:val="nil"/>
          <w:right w:val="single" w:color="000000" w:sz="12" w:space="0"/>
          <w:insideH w:val="nil"/>
          <w:insideV w:val="nil"/>
          <w:tl2br w:val="nil"/>
          <w:tr2bl w:val="nil"/>
        </w:tcBorders>
      </w:tcPr>
    </w:tblStylePr>
    <w:tblStylePr w:type="lastCol">
      <w:tblPr>
        <w:tblLayout w:type="fixed"/>
      </w:tblPr>
      <w:tcPr>
        <w:tcBorders>
          <w:top w:val="nil"/>
          <w:left w:val="nil"/>
          <w:bottom w:val="single" w:color="000000" w:sz="12" w:space="0"/>
          <w:right w:val="nil"/>
          <w:insideH w:val="nil"/>
          <w:insideV w:val="nil"/>
          <w:tl2br w:val="nil"/>
          <w:tr2bl w:val="nil"/>
        </w:tcBorders>
      </w:tcPr>
    </w:tblStylePr>
    <w:tblStylePr w:type="band1Horz">
      <w:tblPr>
        <w:tblLayout w:type="fixed"/>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0">
    <w:name w:val="Table Subtle 2"/>
    <w:basedOn w:val="95"/>
    <w:semiHidden/>
    <w:qFormat/>
    <w:uiPriority w:val="0"/>
    <w:pPr>
      <w:widowControl w:val="0"/>
      <w:jc w:val="both"/>
    </w:pPr>
    <w:tblPr>
      <w:tblBorders>
        <w:left w:val="single" w:color="000000" w:sz="6" w:space="0"/>
        <w:right w:val="single" w:color="000000" w:sz="6" w:space="0"/>
      </w:tblBorders>
      <w:tblLayout w:type="fixed"/>
      <w:tblCellMar>
        <w:top w:w="0" w:type="dxa"/>
        <w:left w:w="108" w:type="dxa"/>
        <w:bottom w:w="0" w:type="dxa"/>
        <w:right w:w="108" w:type="dxa"/>
      </w:tblCellMar>
    </w:tbl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blLayout w:type="fixed"/>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1">
    <w:name w:val="Table 3D effects 1"/>
    <w:basedOn w:val="95"/>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color w:val="800080"/>
      </w:rPr>
      <w:tblPr>
        <w:tblLayout w:type="fixed"/>
      </w:tblPr>
      <w:tcPr>
        <w:tcBorders>
          <w:top w:val="nil"/>
          <w:left w:val="single" w:color="808080" w:sz="6" w:space="0"/>
          <w:bottom w:val="nil"/>
          <w:right w:val="nil"/>
          <w:insideH w:val="nil"/>
          <w:insideV w:val="nil"/>
          <w:tl2br w:val="nil"/>
          <w:tr2bl w:val="nil"/>
        </w:tcBorders>
      </w:tcPr>
    </w:tblStylePr>
    <w:tblStylePr w:type="lastRow">
      <w:tblPr>
        <w:tblLayout w:type="fixed"/>
      </w:tblPr>
      <w:tcPr>
        <w:tcBorders>
          <w:top w:val="single" w:color="FFFFFF"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single" w:color="FFFFFF" w:sz="6" w:space="0"/>
          <w:right w:val="nil"/>
          <w:insideH w:val="nil"/>
          <w:insideV w:val="nil"/>
          <w:tl2br w:val="nil"/>
          <w:tr2bl w:val="nil"/>
        </w:tcBorders>
      </w:tcPr>
    </w:tblStylePr>
    <w:tblStylePr w:type="neCell">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tcPr>
    </w:tblStylePr>
    <w:tblStylePr w:type="seCell">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12">
    <w:name w:val="Table 3D effects 2"/>
    <w:basedOn w:val="95"/>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3">
    <w:name w:val="Table 3D effects 3"/>
    <w:basedOn w:val="95"/>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50" w:color="C0C0C0" w:fill="FFFFFF"/>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4">
    <w:name w:val="Table List 1"/>
    <w:basedOn w:val="95"/>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blPr>
        <w:tblLayout w:type="fixed"/>
      </w:tblPr>
      <w:tcPr>
        <w:tcBorders>
          <w:top w:val="nil"/>
          <w:left w:val="single" w:color="000000" w:sz="6" w:space="0"/>
          <w:bottom w:val="nil"/>
          <w:right w:val="nil"/>
          <w:insideH w:val="nil"/>
          <w:insideV w:val="nil"/>
          <w:tl2br w:val="nil"/>
          <w:tr2bl w:val="nil"/>
        </w:tcBorders>
        <w:shd w:val="solid" w:color="C0C0C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solid" w:color="C0C0C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5">
    <w:name w:val="Table List 2"/>
    <w:basedOn w:val="95"/>
    <w:semiHidden/>
    <w:qFormat/>
    <w:uiPriority w:val="0"/>
    <w:pPr>
      <w:widowControl w:val="0"/>
      <w:jc w:val="both"/>
    </w:pPr>
    <w:tblPr>
      <w:tblBorders>
        <w:bottom w:val="single" w:color="808080" w:sz="12" w:space="0"/>
      </w:tblBorders>
      <w:tblLayout w:type="fixed"/>
      <w:tblCellMar>
        <w:top w:w="0" w:type="dxa"/>
        <w:left w:w="108" w:type="dxa"/>
        <w:bottom w:w="0" w:type="dxa"/>
        <w:right w:w="108" w:type="dxa"/>
      </w:tblCellMar>
    </w:tblPr>
    <w:tblStylePr w:type="firstRow">
      <w:rPr>
        <w:b/>
        <w:bCs/>
        <w:color w:val="FFFFFF"/>
      </w:rPr>
      <w:tblPr>
        <w:tblLayout w:type="fixed"/>
      </w:tblPr>
      <w:tcPr>
        <w:tcBorders>
          <w:top w:val="nil"/>
          <w:left w:val="single" w:color="000000" w:sz="6" w:space="0"/>
          <w:bottom w:val="nil"/>
          <w:right w:val="nil"/>
          <w:insideH w:val="nil"/>
          <w:insideV w:val="nil"/>
          <w:tl2br w:val="nil"/>
          <w:tr2bl w:val="nil"/>
        </w:tcBorders>
        <w:shd w:val="pct75" w:color="008080" w:fill="008000"/>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FF0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6">
    <w:name w:val="Table List 3"/>
    <w:basedOn w:val="95"/>
    <w:semiHidden/>
    <w:qFormat/>
    <w:uiPriority w:val="0"/>
    <w:pPr>
      <w:widowControl w:val="0"/>
      <w:jc w:val="both"/>
    </w:p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swCell">
      <w:rPr>
        <w:i/>
        <w:iCs/>
        <w:color w:val="000080"/>
      </w:rPr>
      <w:tblPr>
        <w:tblLayout w:type="fixed"/>
      </w:tblPr>
      <w:tcPr>
        <w:tcBorders>
          <w:top w:val="nil"/>
          <w:left w:val="nil"/>
          <w:bottom w:val="nil"/>
          <w:right w:val="nil"/>
          <w:insideH w:val="nil"/>
          <w:insideV w:val="nil"/>
          <w:tl2br w:val="nil"/>
          <w:tr2bl w:val="nil"/>
        </w:tcBorders>
      </w:tcPr>
    </w:tblStylePr>
  </w:style>
  <w:style w:type="table" w:styleId="117">
    <w:name w:val="Table List 4"/>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18">
    <w:name w:val="Table List 5"/>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style>
  <w:style w:type="table" w:styleId="119">
    <w:name w:val="Table List 6"/>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Layout w:type="fixed"/>
      <w:tblCellMar>
        <w:top w:w="0" w:type="dxa"/>
        <w:left w:w="108" w:type="dxa"/>
        <w:bottom w:w="0" w:type="dxa"/>
        <w:right w:w="108" w:type="dxa"/>
      </w:tblCellMar>
    </w:tblPr>
    <w:tcPr>
      <w:shd w:val="pct50" w:color="000000" w:fill="FFFFFF"/>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band1Horz">
      <w:tblPr>
        <w:tblLayout w:type="fixed"/>
      </w:tblPr>
      <w:tcPr>
        <w:tcBorders>
          <w:top w:val="nil"/>
          <w:left w:val="nil"/>
          <w:bottom w:val="nil"/>
          <w:right w:val="nil"/>
          <w:insideH w:val="nil"/>
          <w:insideV w:val="nil"/>
          <w:tl2br w:val="nil"/>
          <w:tr2bl w:val="nil"/>
        </w:tcBorders>
        <w:shd w:val="pct25" w:color="000000" w:fill="FFFFFF"/>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20">
    <w:name w:val="Table List 7"/>
    <w:basedOn w:val="95"/>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blPr>
        <w:tblLayout w:type="fixed"/>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blLayout w:type="fixed"/>
      </w:tblPr>
      <w:tcPr>
        <w:tcBorders>
          <w:top w:val="single" w:color="008000" w:sz="12"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2Horz">
      <w:tblPr>
        <w:tblLayout w:type="fixed"/>
      </w:tblPr>
      <w:tcPr>
        <w:tcBorders>
          <w:top w:val="nil"/>
          <w:left w:val="nil"/>
          <w:bottom w:val="nil"/>
          <w:right w:val="nil"/>
          <w:insideH w:val="nil"/>
          <w:insideV w:val="nil"/>
          <w:tl2br w:val="nil"/>
          <w:tr2bl w:val="nil"/>
        </w:tcBorders>
        <w:shd w:val="pct25" w:color="FFFF00" w:fill="FFFFFF"/>
      </w:tcPr>
    </w:tblStylePr>
  </w:style>
  <w:style w:type="table" w:styleId="121">
    <w:name w:val="Table List 8"/>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5" w:color="FFFF00" w:fill="FFFFFF"/>
      </w:tcPr>
    </w:tblStylePr>
    <w:tblStylePr w:type="band2Horz">
      <w:tblPr>
        <w:tblLayout w:type="fixed"/>
      </w:tblPr>
      <w:tcPr>
        <w:tcBorders>
          <w:top w:val="nil"/>
          <w:left w:val="nil"/>
          <w:bottom w:val="nil"/>
          <w:right w:val="nil"/>
          <w:insideH w:val="nil"/>
          <w:insideV w:val="nil"/>
          <w:tl2br w:val="nil"/>
          <w:tr2bl w:val="nil"/>
        </w:tcBorders>
        <w:shd w:val="pct50" w:color="FF0000" w:fill="FFFFFF"/>
      </w:tcPr>
    </w:tblStylePr>
    <w:tblStylePr w:type="nwCell">
      <w:tblPr>
        <w:tblLayout w:type="fixed"/>
      </w:tblPr>
      <w:tcPr>
        <w:tcBorders>
          <w:top w:val="nil"/>
          <w:left w:val="nil"/>
          <w:bottom w:val="nil"/>
          <w:right w:val="nil"/>
          <w:insideH w:val="nil"/>
          <w:insideV w:val="nil"/>
          <w:tl2br w:val="single" w:color="auto" w:sz="6" w:space="0"/>
          <w:tr2bl w:val="nil"/>
        </w:tcBorders>
      </w:tcPr>
    </w:tblStylePr>
  </w:style>
  <w:style w:type="table" w:styleId="122">
    <w:name w:val="Table Contemporary"/>
    <w:basedOn w:val="95"/>
    <w:semiHidden/>
    <w:qFormat/>
    <w:uiPriority w:val="0"/>
    <w:pPr>
      <w:widowControl w:val="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1Horz">
      <w:rPr>
        <w:color w:val="auto"/>
      </w:rPr>
      <w:tblPr>
        <w:tblLayout w:type="fixed"/>
      </w:tblPr>
      <w:tcPr>
        <w:tcBorders>
          <w:top w:val="nil"/>
          <w:left w:val="nil"/>
          <w:bottom w:val="nil"/>
          <w:right w:val="nil"/>
          <w:insideH w:val="nil"/>
          <w:insideV w:val="nil"/>
          <w:tl2br w:val="nil"/>
          <w:tr2bl w:val="nil"/>
        </w:tcBorders>
        <w:shd w:val="pct5" w:color="000000" w:fill="FFFFFF"/>
      </w:tcPr>
    </w:tblStylePr>
    <w:tblStylePr w:type="band2Horz">
      <w:rPr>
        <w:color w:val="auto"/>
      </w:rPr>
      <w:tblPr>
        <w:tblLayout w:type="fixed"/>
      </w:tblPr>
      <w:tcPr>
        <w:tcBorders>
          <w:top w:val="nil"/>
          <w:left w:val="nil"/>
          <w:bottom w:val="nil"/>
          <w:right w:val="nil"/>
          <w:insideH w:val="nil"/>
          <w:insideV w:val="nil"/>
          <w:tl2br w:val="nil"/>
          <w:tr2bl w:val="nil"/>
        </w:tcBorders>
        <w:shd w:val="pct20" w:color="000000" w:fill="FFFFFF"/>
      </w:tcPr>
    </w:tblStylePr>
  </w:style>
  <w:style w:type="table" w:styleId="123">
    <w:name w:val="Table Columns 1"/>
    <w:basedOn w:val="95"/>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blPr>
        <w:tblLayout w:type="fixed"/>
      </w:tblPr>
      <w:tcPr>
        <w:tcBorders>
          <w:top w:val="nil"/>
          <w:left w:val="double" w:color="000000" w:sz="6" w:space="0"/>
          <w:bottom w:val="nil"/>
          <w:right w:val="nil"/>
          <w:insideH w:val="nil"/>
          <w:insideV w:val="nil"/>
          <w:tl2br w:val="nil"/>
          <w:tr2bl w:val="nil"/>
        </w:tcBorders>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25" w:color="000000" w:fill="FFFFFF"/>
      </w:tcPr>
    </w:tblStylePr>
    <w:tblStylePr w:type="band2Vert">
      <w:rPr>
        <w:color w:val="auto"/>
      </w:rPr>
      <w:tblPr>
        <w:tblLayout w:type="fixed"/>
      </w:tblPr>
      <w:tcPr>
        <w:shd w:val="pct25" w:color="FF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24">
    <w:name w:val="Table Columns 2"/>
    <w:basedOn w:val="95"/>
    <w:semiHidden/>
    <w:qFormat/>
    <w:uiPriority w:val="0"/>
    <w:pPr>
      <w:widowControl w:val="0"/>
      <w:jc w:val="both"/>
    </w:pPr>
    <w:rPr>
      <w:b/>
      <w:bCs/>
    </w:r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color w:val="00000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30" w:color="000000" w:fill="FFFFFF"/>
      </w:tcPr>
    </w:tblStylePr>
    <w:tblStylePr w:type="band2Vert">
      <w:rPr>
        <w:color w:val="auto"/>
      </w:rPr>
      <w:tblPr>
        <w:tblLayout w:type="fixed"/>
      </w:tblPr>
      <w:tcPr>
        <w:shd w:val="pct25" w:color="00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25">
    <w:name w:val="Table Columns 3"/>
    <w:basedOn w:val="95"/>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single" w:color="00008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10" w:color="000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style>
  <w:style w:type="table" w:styleId="126">
    <w:name w:val="Table Columns 4"/>
    <w:basedOn w:val="95"/>
    <w:semiHidden/>
    <w:qFormat/>
    <w:uiPriority w:val="0"/>
    <w:pPr>
      <w:widowControl w:val="0"/>
      <w:jc w:val="both"/>
    </w:p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50" w:color="008080" w:fill="FFFFFF"/>
      </w:tcPr>
    </w:tblStylePr>
    <w:tblStylePr w:type="band2Vert">
      <w:rPr>
        <w:color w:val="auto"/>
      </w:rPr>
      <w:tblPr>
        <w:tblLayout w:type="fixed"/>
      </w:tblPr>
      <w:tcPr>
        <w:shd w:val="pct10" w:color="000000" w:fill="FFFFFF"/>
      </w:tcPr>
    </w:tblStylePr>
  </w:style>
  <w:style w:type="table" w:styleId="127">
    <w:name w:val="Table Columns 5"/>
    <w:basedOn w:val="95"/>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808080" w:sz="6" w:space="0"/>
          <w:bottom w:val="nil"/>
          <w:right w:val="nil"/>
          <w:insideH w:val="nil"/>
          <w:insideV w:val="nil"/>
          <w:tl2br w:val="nil"/>
          <w:tr2bl w:val="nil"/>
        </w:tcBorders>
      </w:tcPr>
    </w:tblStylePr>
    <w:tblStylePr w:type="lastRow">
      <w:rPr>
        <w:b/>
        <w:bCs/>
      </w:rPr>
      <w:tblPr>
        <w:tblLayout w:type="fixed"/>
      </w:tblPr>
      <w:tcPr>
        <w:tcBorders>
          <w:top w:val="single" w:color="80808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StylePr>
  </w:style>
  <w:style w:type="table" w:styleId="128">
    <w:name w:val="Table Grid 1"/>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29">
    <w:name w:val="Table Grid 2"/>
    <w:basedOn w:val="95"/>
    <w:semiHidden/>
    <w:qFormat/>
    <w:uiPriority w:val="0"/>
    <w:pPr>
      <w:widowControl w:val="0"/>
      <w:jc w:val="both"/>
    </w:pPr>
    <w:tblPr>
      <w:tblBorders>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nil"/>
          <w:right w:val="nil"/>
          <w:insideH w:val="nil"/>
          <w:insideV w:val="nil"/>
          <w:tl2br w:val="nil"/>
          <w:tr2bl w:val="nil"/>
        </w:tcBorders>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style>
  <w:style w:type="table" w:styleId="130">
    <w:name w:val="Table Grid 3"/>
    <w:basedOn w:val="95"/>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1">
    <w:name w:val="Table Grid 4"/>
    <w:basedOn w:val="95"/>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32">
    <w:name w:val="Table Grid 5"/>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3">
    <w:name w:val="Table Grid 6"/>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4">
    <w:name w:val="Table Grid 7"/>
    <w:basedOn w:val="95"/>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val="0"/>
        <w:bCs w:val="0"/>
      </w:rPr>
      <w:tblPr>
        <w:tblLayout w:type="fixed"/>
      </w:tblPr>
      <w:tcPr>
        <w:tcBorders>
          <w:top w:val="nil"/>
          <w:left w:val="single" w:color="000000" w:sz="12" w:space="0"/>
          <w:bottom w:val="nil"/>
          <w:right w:val="nil"/>
          <w:insideH w:val="nil"/>
          <w:insideV w:val="nil"/>
          <w:tl2br w:val="nil"/>
          <w:tr2bl w:val="nil"/>
        </w:tcBorders>
      </w:tcPr>
    </w:tblStylePr>
    <w:tblStylePr w:type="lastRow">
      <w:rPr>
        <w:b w:val="0"/>
        <w:bCs w:val="0"/>
      </w:rPr>
      <w:tblPr>
        <w:tblLayout w:type="fixed"/>
      </w:tblPr>
      <w:tcPr>
        <w:tcBorders>
          <w:top w:val="single" w:color="00000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5">
    <w:name w:val="Table Grid 8"/>
    <w:basedOn w:val="95"/>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blLayout w:type="fixed"/>
      </w:tblPr>
      <w:tcPr>
        <w:tcBorders>
          <w:top w:val="nil"/>
          <w:left w:val="nil"/>
          <w:bottom w:val="nil"/>
          <w:right w:val="nil"/>
          <w:insideH w:val="nil"/>
          <w:insideV w:val="nil"/>
          <w:tl2br w:val="nil"/>
          <w:tr2bl w:val="nil"/>
        </w:tcBorders>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36">
    <w:name w:val="Table Web 1"/>
    <w:basedOn w:val="95"/>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37">
    <w:name w:val="Table Web 2"/>
    <w:basedOn w:val="95"/>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38">
    <w:name w:val="Table Web 3"/>
    <w:basedOn w:val="95"/>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39">
    <w:name w:val="Table Professional"/>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blPr>
        <w:tblLayout w:type="fixed"/>
      </w:tblPr>
      <w:tcPr>
        <w:tcBorders>
          <w:top w:val="nil"/>
          <w:left w:val="nil"/>
          <w:bottom w:val="nil"/>
          <w:right w:val="nil"/>
          <w:insideH w:val="nil"/>
          <w:insideV w:val="nil"/>
          <w:tl2br w:val="nil"/>
          <w:tr2bl w:val="nil"/>
        </w:tcBorders>
        <w:shd w:val="solid" w:color="000000" w:fill="FFFFFF"/>
      </w:tcPr>
    </w:tblStylePr>
  </w:style>
  <w:style w:type="character" w:customStyle="1" w:styleId="140">
    <w:name w:val="页眉 Char1"/>
    <w:link w:val="52"/>
    <w:qFormat/>
    <w:uiPriority w:val="0"/>
    <w:rPr>
      <w:rFonts w:eastAsia="宋体"/>
      <w:kern w:val="2"/>
      <w:sz w:val="21"/>
      <w:szCs w:val="24"/>
      <w:lang w:bidi="ar-SA"/>
    </w:rPr>
  </w:style>
  <w:style w:type="character" w:customStyle="1" w:styleId="141">
    <w:name w:val="标题 3 Char"/>
    <w:link w:val="4"/>
    <w:qFormat/>
    <w:uiPriority w:val="0"/>
    <w:rPr>
      <w:rFonts w:eastAsia="宋体"/>
      <w:b/>
      <w:bCs/>
      <w:kern w:val="2"/>
      <w:sz w:val="24"/>
      <w:szCs w:val="32"/>
      <w:lang w:val="en-US" w:eastAsia="zh-CN" w:bidi="ar-SA"/>
    </w:rPr>
  </w:style>
  <w:style w:type="character" w:customStyle="1" w:styleId="142">
    <w:name w:val="页脚 Char1"/>
    <w:link w:val="49"/>
    <w:qFormat/>
    <w:uiPriority w:val="0"/>
    <w:rPr>
      <w:rFonts w:eastAsia="宋体"/>
      <w:kern w:val="2"/>
      <w:sz w:val="18"/>
      <w:szCs w:val="18"/>
      <w:lang w:bidi="ar-SA"/>
    </w:rPr>
  </w:style>
  <w:style w:type="character" w:customStyle="1" w:styleId="143">
    <w:name w:val="样式 Arial"/>
    <w:qFormat/>
    <w:uiPriority w:val="0"/>
    <w:rPr>
      <w:rFonts w:hint="default" w:ascii="Times New Roman" w:hAnsi="Times New Roman" w:eastAsia="宋体" w:cs="Times New Roman"/>
      <w:sz w:val="21"/>
      <w:szCs w:val="21"/>
    </w:rPr>
  </w:style>
  <w:style w:type="character" w:customStyle="1" w:styleId="144">
    <w:name w:val="页脚 Char"/>
    <w:qFormat/>
    <w:uiPriority w:val="99"/>
    <w:rPr>
      <w:rFonts w:eastAsia="宋体"/>
      <w:kern w:val="2"/>
      <w:sz w:val="18"/>
      <w:lang w:val="en-US" w:eastAsia="zh-CN" w:bidi="ar-SA"/>
    </w:rPr>
  </w:style>
  <w:style w:type="character" w:customStyle="1" w:styleId="145">
    <w:name w:val="批注框文本 Char"/>
    <w:link w:val="48"/>
    <w:qFormat/>
    <w:uiPriority w:val="0"/>
    <w:rPr>
      <w:rFonts w:eastAsia="宋体"/>
      <w:kern w:val="2"/>
      <w:sz w:val="18"/>
      <w:szCs w:val="18"/>
      <w:lang w:val="en-US" w:eastAsia="zh-CN" w:bidi="ar-SA"/>
    </w:rPr>
  </w:style>
  <w:style w:type="character" w:customStyle="1" w:styleId="146">
    <w:name w:val="标题 2 Char1"/>
    <w:link w:val="3"/>
    <w:qFormat/>
    <w:uiPriority w:val="0"/>
    <w:rPr>
      <w:rFonts w:ascii="Arial" w:hAnsi="Arial" w:eastAsia="黑体"/>
      <w:b/>
      <w:bCs/>
      <w:kern w:val="2"/>
      <w:sz w:val="32"/>
      <w:szCs w:val="32"/>
      <w:lang w:val="en-US" w:eastAsia="zh-CN" w:bidi="ar-SA"/>
    </w:rPr>
  </w:style>
  <w:style w:type="character" w:customStyle="1" w:styleId="147">
    <w:name w:val="脚注文本 Char"/>
    <w:qFormat/>
    <w:uiPriority w:val="0"/>
    <w:rPr>
      <w:rFonts w:eastAsia="宋体"/>
      <w:kern w:val="2"/>
      <w:sz w:val="18"/>
      <w:lang w:val="en-US" w:eastAsia="zh-CN" w:bidi="ar-SA"/>
    </w:rPr>
  </w:style>
  <w:style w:type="character" w:customStyle="1" w:styleId="148">
    <w:name w:val="页眉 Char"/>
    <w:qFormat/>
    <w:uiPriority w:val="99"/>
    <w:rPr>
      <w:rFonts w:eastAsia="宋体"/>
      <w:kern w:val="2"/>
      <w:sz w:val="18"/>
      <w:lang w:val="en-US" w:eastAsia="zh-CN" w:bidi="ar-SA"/>
    </w:rPr>
  </w:style>
  <w:style w:type="character" w:customStyle="1" w:styleId="149">
    <w:name w:val="文档结构图 Char"/>
    <w:link w:val="26"/>
    <w:qFormat/>
    <w:uiPriority w:val="0"/>
    <w:rPr>
      <w:rFonts w:ascii="Tahoma" w:hAnsi="Tahoma" w:eastAsia="宋体"/>
      <w:kern w:val="2"/>
      <w:sz w:val="16"/>
      <w:szCs w:val="16"/>
      <w:lang w:bidi="ar-SA"/>
    </w:rPr>
  </w:style>
  <w:style w:type="character" w:customStyle="1" w:styleId="150">
    <w:name w:val="3z Char"/>
    <w:link w:val="151"/>
    <w:qFormat/>
    <w:locked/>
    <w:uiPriority w:val="0"/>
    <w:rPr>
      <w:rFonts w:ascii="EU-F1" w:eastAsia="黑体"/>
      <w:kern w:val="2"/>
      <w:sz w:val="21"/>
      <w:szCs w:val="21"/>
      <w:lang w:val="en-US" w:eastAsia="zh-CN" w:bidi="ar-SA"/>
    </w:rPr>
  </w:style>
  <w:style w:type="paragraph" w:customStyle="1" w:styleId="151">
    <w:name w:val="3z"/>
    <w:basedOn w:val="1"/>
    <w:link w:val="150"/>
    <w:qFormat/>
    <w:uiPriority w:val="0"/>
    <w:pPr>
      <w:topLinePunct/>
      <w:spacing w:line="312" w:lineRule="exact"/>
    </w:pPr>
    <w:rPr>
      <w:rFonts w:ascii="EU-F1" w:hAnsi="Calibri" w:eastAsia="黑体"/>
      <w:szCs w:val="21"/>
    </w:rPr>
  </w:style>
  <w:style w:type="character" w:customStyle="1" w:styleId="152">
    <w:name w:val="Char Char8"/>
    <w:qFormat/>
    <w:uiPriority w:val="0"/>
    <w:rPr>
      <w:rFonts w:ascii="Arial" w:hAnsi="Arial" w:eastAsia="黑体"/>
      <w:b/>
      <w:bCs/>
      <w:kern w:val="2"/>
      <w:sz w:val="32"/>
      <w:szCs w:val="32"/>
      <w:lang w:val="en-US" w:eastAsia="zh-CN" w:bidi="ar-SA"/>
    </w:rPr>
  </w:style>
  <w:style w:type="character" w:customStyle="1" w:styleId="153">
    <w:name w:val="font11"/>
    <w:basedOn w:val="77"/>
    <w:qFormat/>
    <w:uiPriority w:val="0"/>
    <w:rPr>
      <w:rFonts w:hint="eastAsia" w:ascii="宋体" w:hAnsi="宋体" w:eastAsia="宋体" w:cs="宋体"/>
      <w:color w:val="000000"/>
      <w:sz w:val="20"/>
      <w:szCs w:val="20"/>
      <w:u w:val="none"/>
    </w:rPr>
  </w:style>
  <w:style w:type="character" w:customStyle="1" w:styleId="154">
    <w:name w:val="样式6 Char"/>
    <w:link w:val="155"/>
    <w:qFormat/>
    <w:uiPriority w:val="0"/>
    <w:rPr>
      <w:rFonts w:eastAsia="黑体"/>
      <w:kern w:val="2"/>
      <w:sz w:val="21"/>
      <w:szCs w:val="21"/>
      <w:lang w:val="en-US" w:eastAsia="zh-CN" w:bidi="ar-SA"/>
    </w:rPr>
  </w:style>
  <w:style w:type="paragraph" w:customStyle="1" w:styleId="155">
    <w:name w:val="样式6"/>
    <w:basedOn w:val="1"/>
    <w:link w:val="154"/>
    <w:qFormat/>
    <w:uiPriority w:val="0"/>
    <w:pPr>
      <w:topLinePunct/>
      <w:spacing w:before="160" w:after="60"/>
      <w:jc w:val="center"/>
    </w:pPr>
    <w:rPr>
      <w:rFonts w:ascii="Calibri" w:hAnsi="Calibri" w:eastAsia="黑体"/>
      <w:szCs w:val="21"/>
    </w:rPr>
  </w:style>
  <w:style w:type="character" w:customStyle="1" w:styleId="156">
    <w:name w:val="批注文字 Char"/>
    <w:link w:val="13"/>
    <w:qFormat/>
    <w:uiPriority w:val="99"/>
    <w:rPr>
      <w:rFonts w:eastAsia="宋体"/>
      <w:kern w:val="2"/>
      <w:sz w:val="21"/>
      <w:szCs w:val="24"/>
      <w:lang w:val="en-US" w:eastAsia="zh-CN" w:bidi="ar-SA"/>
    </w:rPr>
  </w:style>
  <w:style w:type="character" w:customStyle="1" w:styleId="157">
    <w:name w:val="Char Char1"/>
    <w:qFormat/>
    <w:uiPriority w:val="0"/>
    <w:rPr>
      <w:rFonts w:eastAsia="华文仿宋"/>
      <w:kern w:val="2"/>
      <w:sz w:val="18"/>
      <w:lang w:val="en-US" w:eastAsia="zh-CN"/>
    </w:rPr>
  </w:style>
  <w:style w:type="character" w:customStyle="1" w:styleId="158">
    <w:name w:val="标题 2 Char"/>
    <w:qFormat/>
    <w:uiPriority w:val="0"/>
    <w:rPr>
      <w:rFonts w:ascii="Arial" w:hAnsi="Arial" w:eastAsia="黑体"/>
      <w:b/>
      <w:bCs/>
      <w:kern w:val="2"/>
      <w:sz w:val="32"/>
      <w:szCs w:val="32"/>
      <w:lang w:val="en-US" w:eastAsia="zh-CN" w:bidi="ar-SA"/>
    </w:rPr>
  </w:style>
  <w:style w:type="character" w:customStyle="1" w:styleId="159">
    <w:name w:val="纯文本 Char"/>
    <w:link w:val="40"/>
    <w:qFormat/>
    <w:uiPriority w:val="0"/>
    <w:rPr>
      <w:rFonts w:ascii="宋体" w:hAnsi="Courier New" w:eastAsia="宋体" w:cs="Courier New"/>
      <w:kern w:val="2"/>
      <w:sz w:val="21"/>
      <w:szCs w:val="21"/>
      <w:lang w:val="en-US" w:eastAsia="zh-CN" w:bidi="ar-SA"/>
    </w:rPr>
  </w:style>
  <w:style w:type="character" w:customStyle="1" w:styleId="160">
    <w:name w:val="标题 1 Char"/>
    <w:link w:val="2"/>
    <w:qFormat/>
    <w:uiPriority w:val="0"/>
    <w:rPr>
      <w:rFonts w:eastAsia="宋体"/>
      <w:b/>
      <w:bCs/>
      <w:kern w:val="44"/>
      <w:sz w:val="32"/>
      <w:szCs w:val="44"/>
      <w:lang w:val="en-US" w:eastAsia="zh-CN" w:bidi="ar-SA"/>
    </w:rPr>
  </w:style>
  <w:style w:type="character" w:customStyle="1" w:styleId="161">
    <w:name w:val="正文格式 Char"/>
    <w:link w:val="162"/>
    <w:qFormat/>
    <w:uiPriority w:val="0"/>
    <w:rPr>
      <w:rFonts w:ascii="宋体" w:hAnsi="宋体" w:eastAsia="宋体"/>
      <w:bCs/>
      <w:kern w:val="2"/>
      <w:sz w:val="21"/>
      <w:szCs w:val="21"/>
      <w:lang w:val="en-US" w:eastAsia="zh-CN" w:bidi="ar-SA"/>
    </w:rPr>
  </w:style>
  <w:style w:type="paragraph" w:customStyle="1" w:styleId="162">
    <w:name w:val="正文格式"/>
    <w:basedOn w:val="1"/>
    <w:link w:val="161"/>
    <w:qFormat/>
    <w:uiPriority w:val="0"/>
    <w:pPr>
      <w:topLinePunct/>
      <w:ind w:firstLine="420" w:firstLineChars="200"/>
    </w:pPr>
    <w:rPr>
      <w:rFonts w:ascii="宋体" w:hAnsi="宋体"/>
      <w:bCs/>
      <w:szCs w:val="21"/>
    </w:rPr>
  </w:style>
  <w:style w:type="character" w:customStyle="1" w:styleId="163">
    <w:name w:val="Char Char10"/>
    <w:qFormat/>
    <w:uiPriority w:val="0"/>
    <w:rPr>
      <w:b/>
      <w:kern w:val="2"/>
      <w:sz w:val="28"/>
    </w:rPr>
  </w:style>
  <w:style w:type="character" w:customStyle="1" w:styleId="164">
    <w:name w:val="jl 三级 Char Char"/>
    <w:link w:val="165"/>
    <w:qFormat/>
    <w:uiPriority w:val="0"/>
    <w:rPr>
      <w:rFonts w:ascii="宋体" w:hAnsi="宋体" w:eastAsia="宋体"/>
      <w:b/>
      <w:color w:val="000000"/>
      <w:kern w:val="2"/>
      <w:sz w:val="24"/>
      <w:szCs w:val="24"/>
      <w:lang w:val="en-US" w:eastAsia="zh-CN" w:bidi="ar-SA"/>
    </w:rPr>
  </w:style>
  <w:style w:type="paragraph" w:customStyle="1" w:styleId="165">
    <w:name w:val="jl 三级 Char"/>
    <w:basedOn w:val="1"/>
    <w:link w:val="16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66">
    <w:name w:val="font41"/>
    <w:basedOn w:val="77"/>
    <w:qFormat/>
    <w:uiPriority w:val="0"/>
    <w:rPr>
      <w:rFonts w:hint="eastAsia" w:ascii="宋体" w:hAnsi="宋体" w:eastAsia="宋体" w:cs="宋体"/>
      <w:color w:val="000000"/>
      <w:sz w:val="36"/>
      <w:szCs w:val="36"/>
      <w:u w:val="none"/>
    </w:rPr>
  </w:style>
  <w:style w:type="character" w:customStyle="1" w:styleId="167">
    <w:name w:val="Char Char16"/>
    <w:qFormat/>
    <w:uiPriority w:val="0"/>
    <w:rPr>
      <w:rFonts w:ascii="Arial" w:hAnsi="Arial" w:eastAsia="黑体"/>
      <w:b/>
      <w:bCs/>
      <w:kern w:val="2"/>
      <w:sz w:val="32"/>
      <w:szCs w:val="32"/>
      <w:lang w:val="en-US" w:eastAsia="zh-CN" w:bidi="ar-SA"/>
    </w:rPr>
  </w:style>
  <w:style w:type="character" w:customStyle="1" w:styleId="168">
    <w:name w:val="Char Char9"/>
    <w:qFormat/>
    <w:uiPriority w:val="0"/>
    <w:rPr>
      <w:kern w:val="2"/>
      <w:sz w:val="18"/>
      <w:szCs w:val="18"/>
    </w:rPr>
  </w:style>
  <w:style w:type="character" w:customStyle="1" w:styleId="169">
    <w:name w:val="font21"/>
    <w:basedOn w:val="77"/>
    <w:qFormat/>
    <w:uiPriority w:val="0"/>
    <w:rPr>
      <w:rFonts w:ascii="Arial" w:hAnsi="Arial" w:cs="Arial"/>
      <w:color w:val="000000"/>
      <w:sz w:val="24"/>
      <w:szCs w:val="24"/>
      <w:u w:val="none"/>
    </w:rPr>
  </w:style>
  <w:style w:type="character" w:customStyle="1" w:styleId="170">
    <w:name w:val="Char Char11"/>
    <w:qFormat/>
    <w:uiPriority w:val="0"/>
    <w:rPr>
      <w:rFonts w:ascii="Arial" w:hAnsi="Arial" w:eastAsia="黑体"/>
      <w:b/>
      <w:kern w:val="2"/>
      <w:sz w:val="32"/>
    </w:rPr>
  </w:style>
  <w:style w:type="character" w:customStyle="1" w:styleId="171">
    <w:name w:val="正文文本缩进 2 Char"/>
    <w:link w:val="45"/>
    <w:semiHidden/>
    <w:qFormat/>
    <w:locked/>
    <w:uiPriority w:val="0"/>
    <w:rPr>
      <w:rFonts w:ascii="宋体" w:eastAsia="宋体"/>
      <w:color w:val="000000"/>
      <w:kern w:val="2"/>
      <w:sz w:val="24"/>
      <w:szCs w:val="24"/>
      <w:lang w:val="en-US" w:eastAsia="zh-CN" w:bidi="ar-SA"/>
    </w:rPr>
  </w:style>
  <w:style w:type="character" w:customStyle="1" w:styleId="172">
    <w:name w:val="Footnote Text Char1"/>
    <w:qFormat/>
    <w:uiPriority w:val="0"/>
    <w:rPr>
      <w:kern w:val="2"/>
    </w:rPr>
  </w:style>
  <w:style w:type="character" w:customStyle="1" w:styleId="173">
    <w:name w:val="脚注文本 Char1"/>
    <w:qFormat/>
    <w:uiPriority w:val="0"/>
    <w:rPr>
      <w:kern w:val="2"/>
      <w:sz w:val="18"/>
      <w:szCs w:val="18"/>
    </w:rPr>
  </w:style>
  <w:style w:type="character" w:customStyle="1" w:styleId="174">
    <w:name w:val="脚注文本 Char2"/>
    <w:link w:val="62"/>
    <w:qFormat/>
    <w:uiPriority w:val="0"/>
    <w:rPr>
      <w:sz w:val="18"/>
      <w:lang w:bidi="ar-SA"/>
    </w:rPr>
  </w:style>
  <w:style w:type="character" w:customStyle="1" w:styleId="175">
    <w:name w:val="jl 正文 Char Char Char"/>
    <w:link w:val="176"/>
    <w:qFormat/>
    <w:uiPriority w:val="0"/>
    <w:rPr>
      <w:rFonts w:ascii="宋体" w:eastAsia="宋体"/>
      <w:kern w:val="2"/>
      <w:sz w:val="24"/>
      <w:szCs w:val="24"/>
      <w:lang w:val="en-US" w:eastAsia="zh-CN" w:bidi="ar-SA"/>
    </w:rPr>
  </w:style>
  <w:style w:type="paragraph" w:customStyle="1" w:styleId="176">
    <w:name w:val="jl 正文 Char Char"/>
    <w:basedOn w:val="1"/>
    <w:link w:val="175"/>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177">
    <w:name w:val="font01"/>
    <w:basedOn w:val="77"/>
    <w:qFormat/>
    <w:uiPriority w:val="0"/>
    <w:rPr>
      <w:rFonts w:hint="default" w:ascii="Arial" w:hAnsi="Arial" w:cs="Arial"/>
      <w:color w:val="000000"/>
      <w:sz w:val="20"/>
      <w:szCs w:val="20"/>
      <w:u w:val="none"/>
    </w:rPr>
  </w:style>
  <w:style w:type="character" w:customStyle="1" w:styleId="178">
    <w:name w:val="font31"/>
    <w:basedOn w:val="77"/>
    <w:qFormat/>
    <w:uiPriority w:val="0"/>
    <w:rPr>
      <w:rFonts w:ascii="Arial" w:hAnsi="Arial" w:cs="Arial"/>
      <w:color w:val="000000"/>
      <w:sz w:val="36"/>
      <w:szCs w:val="36"/>
      <w:u w:val="none"/>
    </w:rPr>
  </w:style>
  <w:style w:type="character" w:customStyle="1" w:styleId="179">
    <w:name w:val="Char Char7"/>
    <w:qFormat/>
    <w:uiPriority w:val="0"/>
    <w:rPr>
      <w:b/>
      <w:kern w:val="44"/>
      <w:sz w:val="44"/>
    </w:rPr>
  </w:style>
  <w:style w:type="character" w:customStyle="1" w:styleId="180">
    <w:name w:val="Char Char12"/>
    <w:qFormat/>
    <w:uiPriority w:val="0"/>
    <w:rPr>
      <w:b/>
      <w:kern w:val="44"/>
      <w:sz w:val="44"/>
    </w:rPr>
  </w:style>
  <w:style w:type="character" w:customStyle="1" w:styleId="181">
    <w:name w:val="表头 Char"/>
    <w:link w:val="182"/>
    <w:qFormat/>
    <w:uiPriority w:val="0"/>
    <w:rPr>
      <w:rFonts w:eastAsia="黑体"/>
      <w:kern w:val="2"/>
      <w:sz w:val="21"/>
      <w:szCs w:val="21"/>
      <w:lang w:val="en-US" w:eastAsia="zh-CN" w:bidi="ar-SA"/>
    </w:rPr>
  </w:style>
  <w:style w:type="paragraph" w:customStyle="1" w:styleId="182">
    <w:name w:val="表头"/>
    <w:basedOn w:val="1"/>
    <w:link w:val="181"/>
    <w:qFormat/>
    <w:uiPriority w:val="0"/>
    <w:pPr>
      <w:topLinePunct/>
      <w:spacing w:before="160" w:after="60"/>
      <w:jc w:val="center"/>
    </w:pPr>
    <w:rPr>
      <w:rFonts w:ascii="Calibri" w:hAnsi="Calibri" w:eastAsia="黑体"/>
      <w:szCs w:val="21"/>
    </w:rPr>
  </w:style>
  <w:style w:type="paragraph" w:customStyle="1" w:styleId="183">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4">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85">
    <w:name w:val="样式2"/>
    <w:basedOn w:val="3"/>
    <w:semiHidden/>
    <w:qFormat/>
    <w:uiPriority w:val="0"/>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18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89">
    <w:name w:val="节小标题"/>
    <w:basedOn w:val="9"/>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190">
    <w:name w:val="样式7"/>
    <w:basedOn w:val="1"/>
    <w:qFormat/>
    <w:uiPriority w:val="0"/>
    <w:pPr>
      <w:snapToGrid w:val="0"/>
    </w:pPr>
  </w:style>
  <w:style w:type="paragraph" w:customStyle="1" w:styleId="19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2">
    <w:name w:val="图形标题"/>
    <w:basedOn w:val="23"/>
    <w:semiHidden/>
    <w:qFormat/>
    <w:uiPriority w:val="0"/>
    <w:pPr>
      <w:spacing w:before="0" w:after="0"/>
      <w:jc w:val="center"/>
    </w:pPr>
    <w:rPr>
      <w:rFonts w:ascii="宋体" w:hAnsi="Plotter" w:eastAsia="宋体"/>
      <w:sz w:val="21"/>
    </w:rPr>
  </w:style>
  <w:style w:type="paragraph" w:customStyle="1" w:styleId="193">
    <w:name w:val="默认段落字体 Para Char Char Char Char"/>
    <w:basedOn w:val="1"/>
    <w:semiHidden/>
    <w:qFormat/>
    <w:uiPriority w:val="0"/>
    <w:rPr>
      <w:rFonts w:ascii="宋体" w:hAnsi="宋体"/>
      <w:b/>
      <w:color w:val="000000"/>
      <w:sz w:val="24"/>
    </w:rPr>
  </w:style>
  <w:style w:type="paragraph" w:customStyle="1" w:styleId="194">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5">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6">
    <w:name w:val="p15"/>
    <w:basedOn w:val="1"/>
    <w:qFormat/>
    <w:uiPriority w:val="0"/>
    <w:pPr>
      <w:widowControl/>
      <w:spacing w:before="100" w:after="100"/>
      <w:jc w:val="left"/>
    </w:pPr>
    <w:rPr>
      <w:rFonts w:ascii="宋体" w:hAnsi="宋体" w:cs="宋体"/>
      <w:kern w:val="0"/>
      <w:sz w:val="24"/>
    </w:rPr>
  </w:style>
  <w:style w:type="paragraph" w:customStyle="1" w:styleId="197">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8">
    <w:name w:val="样式 首行缩进:  0 厘米 行距: 单倍行距 Char"/>
    <w:basedOn w:val="1"/>
    <w:qFormat/>
    <w:uiPriority w:val="0"/>
    <w:pPr>
      <w:adjustRightInd w:val="0"/>
      <w:textAlignment w:val="baseline"/>
    </w:pPr>
    <w:rPr>
      <w:kern w:val="0"/>
      <w:szCs w:val="21"/>
    </w:rPr>
  </w:style>
  <w:style w:type="paragraph" w:customStyle="1" w:styleId="199">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00">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_Style 1"/>
    <w:basedOn w:val="1"/>
    <w:unhideWhenUsed/>
    <w:qFormat/>
    <w:uiPriority w:val="0"/>
    <w:pPr>
      <w:ind w:firstLine="420" w:firstLineChars="200"/>
    </w:pPr>
  </w:style>
  <w:style w:type="paragraph" w:customStyle="1" w:styleId="203">
    <w:name w:val="样式 标题 1 + 首行缩进:  2 字符 段前: 1 行 段后: 1 行"/>
    <w:basedOn w:val="2"/>
    <w:semiHidden/>
    <w:qFormat/>
    <w:uiPriority w:val="0"/>
    <w:pPr>
      <w:spacing w:beforeLines="100" w:afterLines="100"/>
      <w:ind w:firstLine="420"/>
    </w:pPr>
    <w:rPr>
      <w:bCs w:val="0"/>
      <w:sz w:val="28"/>
      <w:szCs w:val="20"/>
    </w:rPr>
  </w:style>
  <w:style w:type="paragraph" w:customStyle="1" w:styleId="204">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05">
    <w:name w:val="Char Char Char"/>
    <w:basedOn w:val="1"/>
    <w:qFormat/>
    <w:uiPriority w:val="0"/>
  </w:style>
  <w:style w:type="paragraph" w:customStyle="1" w:styleId="206">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0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10">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2">
    <w:name w:val="p0 New"/>
    <w:basedOn w:val="213"/>
    <w:qFormat/>
    <w:uiPriority w:val="0"/>
    <w:pPr>
      <w:widowControl/>
    </w:pPr>
    <w:rPr>
      <w:kern w:val="0"/>
      <w:szCs w:val="20"/>
    </w:rPr>
  </w:style>
  <w:style w:type="paragraph" w:customStyle="1" w:styleId="21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5">
    <w:name w:val="样式 Arial 首行缩进:  2 字符"/>
    <w:basedOn w:val="1"/>
    <w:qFormat/>
    <w:uiPriority w:val="0"/>
    <w:pPr>
      <w:ind w:firstLine="403" w:firstLineChars="200"/>
    </w:pPr>
    <w:rPr>
      <w:rFonts w:cs="华文新魏"/>
      <w:szCs w:val="21"/>
    </w:rPr>
  </w:style>
  <w:style w:type="paragraph" w:customStyle="1" w:styleId="216">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7">
    <w:name w:val="样式 首行缩进:  0 厘米 行距: 单倍行距"/>
    <w:basedOn w:val="1"/>
    <w:semiHidden/>
    <w:qFormat/>
    <w:uiPriority w:val="0"/>
    <w:pPr>
      <w:adjustRightInd w:val="0"/>
      <w:textAlignment w:val="baseline"/>
    </w:pPr>
    <w:rPr>
      <w:kern w:val="0"/>
      <w:szCs w:val="20"/>
    </w:rPr>
  </w:style>
  <w:style w:type="paragraph" w:customStyle="1" w:styleId="218">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9">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20">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1">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24">
    <w:name w:val="样式 样式 标题 2 + 段前: 0.5 行 段后: 0.5 行 + 首行缩进:  2 字符 段前: 0.5 行 段后: 0..."/>
    <w:basedOn w:val="1"/>
    <w:semiHidden/>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25">
    <w:name w:val="List Paragraph1"/>
    <w:basedOn w:val="1"/>
    <w:qFormat/>
    <w:uiPriority w:val="0"/>
    <w:pPr>
      <w:ind w:firstLine="420" w:firstLineChars="200"/>
    </w:pPr>
    <w:rPr>
      <w:rFonts w:ascii="Calibri" w:hAnsi="Calibri"/>
      <w:szCs w:val="20"/>
    </w:rPr>
  </w:style>
  <w:style w:type="paragraph" w:customStyle="1" w:styleId="226">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27">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8">
    <w:name w:val="样式3"/>
    <w:basedOn w:val="4"/>
    <w:semiHidden/>
    <w:qFormat/>
    <w:uiPriority w:val="0"/>
    <w:pPr>
      <w:tabs>
        <w:tab w:val="left" w:pos="709"/>
      </w:tabs>
      <w:topLinePunct/>
      <w:spacing w:line="720" w:lineRule="auto"/>
      <w:jc w:val="left"/>
    </w:pPr>
    <w:rPr>
      <w:rFonts w:ascii="Arial" w:hAnsi="Arial" w:eastAsia="黑体"/>
      <w:bCs w:val="0"/>
      <w:sz w:val="30"/>
      <w:szCs w:val="30"/>
    </w:rPr>
  </w:style>
  <w:style w:type="paragraph" w:customStyle="1" w:styleId="229">
    <w:name w:val="Char Char Char Char"/>
    <w:basedOn w:val="1"/>
    <w:qFormat/>
    <w:uiPriority w:val="0"/>
    <w:rPr>
      <w:snapToGrid w:val="0"/>
      <w:kern w:val="0"/>
      <w:szCs w:val="21"/>
    </w:rPr>
  </w:style>
  <w:style w:type="paragraph" w:customStyle="1" w:styleId="23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31">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32">
    <w:name w:val="样式4"/>
    <w:basedOn w:val="5"/>
    <w:semiHidden/>
    <w:qFormat/>
    <w:uiPriority w:val="0"/>
    <w:pPr>
      <w:topLinePunct/>
      <w:spacing w:line="480" w:lineRule="auto"/>
      <w:ind w:firstLine="420"/>
    </w:pPr>
    <w:rPr>
      <w:rFonts w:ascii="Times New Roman" w:hAnsi="Times New Roman" w:eastAsia="楷体_GB2312"/>
      <w:b w:val="0"/>
      <w:bCs w:val="0"/>
      <w:sz w:val="24"/>
      <w:szCs w:val="20"/>
    </w:rPr>
  </w:style>
  <w:style w:type="paragraph" w:customStyle="1" w:styleId="233">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35">
    <w:name w:val="Char Char2"/>
    <w:basedOn w:val="1"/>
    <w:qFormat/>
    <w:uiPriority w:val="0"/>
  </w:style>
  <w:style w:type="paragraph" w:customStyle="1" w:styleId="236">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37">
    <w:name w:val="Char1 Char Char"/>
    <w:basedOn w:val="1"/>
    <w:qFormat/>
    <w:uiPriority w:val="0"/>
    <w:rPr>
      <w:szCs w:val="20"/>
    </w:rPr>
  </w:style>
  <w:style w:type="paragraph" w:customStyle="1" w:styleId="238">
    <w:name w:val="Char Char Char Char Char Char Char"/>
    <w:basedOn w:val="1"/>
    <w:semiHidden/>
    <w:qFormat/>
    <w:uiPriority w:val="0"/>
  </w:style>
  <w:style w:type="paragraph" w:customStyle="1" w:styleId="239">
    <w:name w:val="样式 标题 2 + 黑体 段前: 10.25 磅 段后: 10.25 磅 行距: 单倍行距"/>
    <w:basedOn w:val="3"/>
    <w:semiHidden/>
    <w:qFormat/>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240">
    <w:name w:val="p0"/>
    <w:basedOn w:val="1"/>
    <w:qFormat/>
    <w:uiPriority w:val="0"/>
    <w:pPr>
      <w:widowControl/>
    </w:pPr>
    <w:rPr>
      <w:kern w:val="0"/>
      <w:szCs w:val="21"/>
    </w:rPr>
  </w:style>
  <w:style w:type="paragraph" w:customStyle="1" w:styleId="241">
    <w:name w:val="标题 3 + 小四 段前: 0 磅 段后: 0 磅 行距: 1.5 倍行距"/>
    <w:basedOn w:val="4"/>
    <w:next w:val="4"/>
    <w:semiHidden/>
    <w:qFormat/>
    <w:uiPriority w:val="0"/>
    <w:pPr>
      <w:jc w:val="center"/>
    </w:pPr>
    <w:rPr>
      <w:rFonts w:eastAsia="黑体" w:cs="宋体"/>
      <w:b w:val="0"/>
      <w:szCs w:val="20"/>
    </w:rPr>
  </w:style>
  <w:style w:type="paragraph" w:customStyle="1" w:styleId="242">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43">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4">
    <w:name w:val="列出段落1"/>
    <w:basedOn w:val="1"/>
    <w:qFormat/>
    <w:uiPriority w:val="0"/>
    <w:pPr>
      <w:ind w:firstLine="420" w:firstLineChars="200"/>
    </w:pPr>
    <w:rPr>
      <w:rFonts w:ascii="Calibri" w:hAnsi="Calibri"/>
      <w:szCs w:val="22"/>
    </w:rPr>
  </w:style>
  <w:style w:type="paragraph" w:customStyle="1" w:styleId="245">
    <w:name w:val="Char"/>
    <w:basedOn w:val="1"/>
    <w:qFormat/>
    <w:uiPriority w:val="0"/>
  </w:style>
  <w:style w:type="paragraph" w:customStyle="1" w:styleId="246">
    <w:name w:val="默认段落字体 Para Char Char Char Char Char"/>
    <w:basedOn w:val="1"/>
    <w:qFormat/>
    <w:uiPriority w:val="0"/>
    <w:rPr>
      <w:rFonts w:ascii="宋体" w:hAnsi="宋体"/>
      <w:b/>
      <w:color w:val="000000"/>
      <w:sz w:val="24"/>
    </w:rPr>
  </w:style>
  <w:style w:type="paragraph" w:customStyle="1" w:styleId="247">
    <w:name w:val="表文"/>
    <w:basedOn w:val="1"/>
    <w:qFormat/>
    <w:uiPriority w:val="0"/>
    <w:pPr>
      <w:topLinePunct/>
      <w:spacing w:before="40" w:after="40"/>
    </w:pPr>
    <w:rPr>
      <w:sz w:val="18"/>
      <w:szCs w:val="18"/>
    </w:rPr>
  </w:style>
  <w:style w:type="paragraph" w:customStyle="1" w:styleId="24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49">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0">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5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2">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3">
    <w:name w:val="图说"/>
    <w:basedOn w:val="1"/>
    <w:semiHidden/>
    <w:qFormat/>
    <w:uiPriority w:val="0"/>
    <w:pPr>
      <w:topLinePunct/>
      <w:spacing w:before="40" w:after="160"/>
      <w:jc w:val="center"/>
    </w:pPr>
    <w:rPr>
      <w:rFonts w:cs="宋体"/>
      <w:sz w:val="18"/>
      <w:szCs w:val="20"/>
    </w:rPr>
  </w:style>
  <w:style w:type="paragraph" w:customStyle="1" w:styleId="254">
    <w:name w:val="Normal1"/>
    <w:basedOn w:val="255"/>
    <w:semiHidden/>
    <w:qFormat/>
    <w:uiPriority w:val="0"/>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255">
    <w:name w:val="样式1"/>
    <w:basedOn w:val="1"/>
    <w:qFormat/>
    <w:uiPriority w:val="0"/>
    <w:rPr>
      <w:sz w:val="28"/>
    </w:rPr>
  </w:style>
  <w:style w:type="paragraph" w:customStyle="1" w:styleId="256">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258">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9">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260">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xl66"/>
    <w:basedOn w:val="1"/>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2">
    <w:name w:val="xl67"/>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3">
    <w:name w:val="xl68"/>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xl69"/>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0"/>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6">
    <w:name w:val="xl71"/>
    <w:basedOn w:val="1"/>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7">
    <w:name w:val="xl72"/>
    <w:basedOn w:val="1"/>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8">
    <w:name w:val="xl7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9">
    <w:name w:val="xl74"/>
    <w:basedOn w:val="1"/>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70">
    <w:name w:val="font8"/>
    <w:basedOn w:val="1"/>
    <w:uiPriority w:val="0"/>
    <w:pPr>
      <w:widowControl/>
      <w:spacing w:before="100" w:beforeAutospacing="1" w:after="100" w:afterAutospacing="1"/>
      <w:jc w:val="left"/>
    </w:pPr>
    <w:rPr>
      <w:rFonts w:ascii="Arial" w:hAnsi="Arial" w:cs="Arial"/>
      <w:kern w:val="0"/>
      <w:sz w:val="20"/>
      <w:szCs w:val="20"/>
    </w:rPr>
  </w:style>
  <w:style w:type="paragraph" w:customStyle="1" w:styleId="271">
    <w:name w:val="font9"/>
    <w:basedOn w:val="1"/>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xl75"/>
    <w:basedOn w:val="1"/>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119</Pages>
  <Words>13836</Words>
  <Characters>78869</Characters>
  <Lines>657</Lines>
  <Paragraphs>185</Paragraphs>
  <TotalTime>215</TotalTime>
  <ScaleCrop>false</ScaleCrop>
  <LinksUpToDate>false</LinksUpToDate>
  <CharactersWithSpaces>92520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2019-03-15T02:50:00Z</dcterms:created>
  <dc:creator>hzhong</dc:creator>
  <cp:lastModifiedBy>wf</cp:lastModifiedBy>
  <cp:lastPrinted>2019-03-27T09:25:00Z</cp:lastPrinted>
  <dcterms:modified xsi:type="dcterms:W3CDTF">2019-10-30T01:56:17Z</dcterms:modified>
  <dc:title>第二章  投标人须知</dc:title>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