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28"/>
          <w:szCs w:val="28"/>
          <w:lang w:eastAsia="zh-CN"/>
        </w:rPr>
      </w:pPr>
      <w:bookmarkStart w:id="0" w:name="_GoBack"/>
      <w:bookmarkEnd w:id="0"/>
      <w:r>
        <w:rPr>
          <w:rFonts w:hint="eastAsia"/>
          <w:sz w:val="28"/>
          <w:szCs w:val="28"/>
          <w:lang w:eastAsia="zh-CN"/>
        </w:rPr>
        <w:t>附件1</w:t>
      </w:r>
    </w:p>
    <w:p>
      <w:pPr>
        <w:pStyle w:val="31"/>
        <w:spacing w:line="480" w:lineRule="exact"/>
        <w:ind w:firstLine="1041" w:firstLineChars="200"/>
        <w:rPr>
          <w:rFonts w:ascii="华文中宋" w:hAnsi="华文中宋" w:eastAsia="华文中宋" w:cs="Times New Roman"/>
          <w:b/>
          <w:bCs/>
          <w:color w:val="333333"/>
          <w:kern w:val="2"/>
          <w:sz w:val="52"/>
          <w:szCs w:val="52"/>
        </w:rPr>
      </w:pPr>
      <w:r>
        <w:rPr>
          <w:rFonts w:hint="eastAsia" w:ascii="华文中宋" w:hAnsi="华文中宋" w:eastAsia="华文中宋" w:cs="华文中宋"/>
          <w:b/>
          <w:bCs/>
          <w:color w:val="333333"/>
          <w:kern w:val="2"/>
          <w:sz w:val="52"/>
          <w:szCs w:val="52"/>
        </w:rPr>
        <w:t>协议库存物资寄存结算协议</w:t>
      </w:r>
    </w:p>
    <w:p>
      <w:pPr>
        <w:spacing w:line="480" w:lineRule="exact"/>
        <w:ind w:firstLine="700" w:firstLineChars="250"/>
        <w:rPr>
          <w:rFonts w:ascii="仿宋" w:hAnsi="仿宋" w:eastAsia="仿宋"/>
          <w:sz w:val="28"/>
          <w:szCs w:val="28"/>
          <w:lang w:eastAsia="zh-CN"/>
        </w:rPr>
      </w:pPr>
    </w:p>
    <w:p>
      <w:pPr>
        <w:spacing w:line="480" w:lineRule="exact"/>
        <w:ind w:firstLine="700" w:firstLineChars="250"/>
        <w:rPr>
          <w:rFonts w:ascii="仿宋" w:hAnsi="仿宋" w:eastAsia="仿宋"/>
          <w:sz w:val="28"/>
          <w:szCs w:val="28"/>
          <w:lang w:eastAsia="zh-CN"/>
        </w:rPr>
      </w:pPr>
      <w:r>
        <w:rPr>
          <w:rFonts w:hint="eastAsia" w:ascii="仿宋" w:hAnsi="仿宋" w:eastAsia="仿宋" w:cs="仿宋"/>
          <w:sz w:val="28"/>
          <w:szCs w:val="28"/>
          <w:lang w:eastAsia="zh-CN"/>
        </w:rPr>
        <w:t>买方：</w:t>
      </w:r>
    </w:p>
    <w:p>
      <w:pPr>
        <w:spacing w:line="480" w:lineRule="exact"/>
        <w:ind w:firstLine="700" w:firstLineChars="250"/>
        <w:rPr>
          <w:rFonts w:ascii="仿宋" w:hAnsi="仿宋" w:eastAsia="仿宋"/>
          <w:sz w:val="28"/>
          <w:szCs w:val="28"/>
          <w:lang w:eastAsia="zh-CN"/>
        </w:rPr>
      </w:pPr>
      <w:r>
        <w:rPr>
          <w:rFonts w:hint="eastAsia" w:ascii="仿宋" w:hAnsi="仿宋" w:eastAsia="仿宋" w:cs="仿宋"/>
          <w:sz w:val="28"/>
          <w:szCs w:val="28"/>
          <w:lang w:eastAsia="zh-CN"/>
        </w:rPr>
        <w:t>卖方：</w:t>
      </w:r>
    </w:p>
    <w:p>
      <w:pPr>
        <w:spacing w:line="480" w:lineRule="exact"/>
        <w:ind w:firstLine="560" w:firstLineChars="200"/>
        <w:rPr>
          <w:rFonts w:ascii="仿宋" w:hAnsi="仿宋" w:eastAsia="仿宋"/>
          <w:color w:val="333333"/>
          <w:sz w:val="28"/>
          <w:szCs w:val="28"/>
          <w:lang w:eastAsia="zh-CN"/>
        </w:rPr>
      </w:pPr>
    </w:p>
    <w:p>
      <w:pPr>
        <w:spacing w:line="480" w:lineRule="exact"/>
        <w:ind w:firstLine="560" w:firstLineChars="200"/>
        <w:rPr>
          <w:rFonts w:ascii="仿宋" w:hAnsi="仿宋" w:eastAsia="仿宋"/>
          <w:sz w:val="28"/>
          <w:szCs w:val="28"/>
          <w:lang w:eastAsia="zh-CN"/>
        </w:rPr>
      </w:pPr>
      <w:r>
        <w:rPr>
          <w:rFonts w:hint="eastAsia" w:ascii="仿宋" w:hAnsi="仿宋" w:eastAsia="仿宋" w:cs="仿宋"/>
          <w:sz w:val="28"/>
          <w:szCs w:val="28"/>
          <w:lang w:eastAsia="zh-CN"/>
        </w:rPr>
        <w:t>依据《中华人民共和国合同法》及其他有关法律、行政法规，买卖双方经协商一致订立本协议，作为《协议库存货物采购合同》（编号：，以下称“采购合同”）的附件。本协议与《采购合同》不一致时以本协议为准。</w:t>
      </w:r>
    </w:p>
    <w:p>
      <w:pPr>
        <w:spacing w:line="480" w:lineRule="exact"/>
        <w:ind w:firstLine="562" w:firstLineChars="200"/>
        <w:rPr>
          <w:rFonts w:ascii="黑体" w:hAnsi="黑体" w:eastAsia="黑体"/>
          <w:b/>
          <w:bCs/>
          <w:sz w:val="28"/>
          <w:szCs w:val="28"/>
          <w:lang w:eastAsia="zh-CN"/>
        </w:rPr>
      </w:pPr>
      <w:r>
        <w:rPr>
          <w:rFonts w:hint="eastAsia" w:ascii="黑体" w:hAnsi="黑体" w:eastAsia="黑体" w:cs="黑体"/>
          <w:b/>
          <w:bCs/>
          <w:sz w:val="28"/>
          <w:szCs w:val="28"/>
          <w:lang w:eastAsia="zh-CN"/>
        </w:rPr>
        <w:t>一、约定事项</w:t>
      </w:r>
    </w:p>
    <w:p>
      <w:pPr>
        <w:pStyle w:val="31"/>
        <w:spacing w:before="0" w:beforeAutospacing="0" w:after="0" w:afterAutospacing="0" w:line="480" w:lineRule="exact"/>
        <w:ind w:firstLine="560" w:firstLineChars="200"/>
        <w:rPr>
          <w:rFonts w:ascii="仿宋" w:hAnsi="仿宋" w:eastAsia="仿宋" w:cs="Times New Roman"/>
          <w:kern w:val="2"/>
          <w:sz w:val="28"/>
          <w:szCs w:val="28"/>
        </w:rPr>
      </w:pPr>
      <w:r>
        <w:rPr>
          <w:rFonts w:hint="eastAsia" w:ascii="仿宋" w:hAnsi="仿宋" w:eastAsia="仿宋" w:cs="仿宋"/>
          <w:kern w:val="2"/>
          <w:sz w:val="28"/>
          <w:szCs w:val="28"/>
        </w:rPr>
        <w:t>在《采购合同》有效期内，卖方将合同货物寄存在买方仓库，合同货物出库前所有权归卖方所有。出库之日起合同货物的所有权转移至买方，买方及时支付货款。</w:t>
      </w:r>
    </w:p>
    <w:p>
      <w:pPr>
        <w:spacing w:line="480" w:lineRule="exact"/>
        <w:ind w:firstLine="562" w:firstLineChars="200"/>
        <w:rPr>
          <w:rFonts w:ascii="黑体" w:hAnsi="黑体" w:eastAsia="黑体"/>
          <w:b/>
          <w:bCs/>
          <w:sz w:val="28"/>
          <w:szCs w:val="28"/>
          <w:lang w:eastAsia="zh-CN"/>
        </w:rPr>
      </w:pPr>
      <w:r>
        <w:rPr>
          <w:rFonts w:hint="eastAsia" w:ascii="黑体" w:hAnsi="黑体" w:eastAsia="黑体" w:cs="黑体"/>
          <w:b/>
          <w:bCs/>
          <w:sz w:val="28"/>
          <w:szCs w:val="28"/>
          <w:lang w:eastAsia="zh-CN"/>
        </w:rPr>
        <w:t>二、双方的权利与义务</w:t>
      </w:r>
    </w:p>
    <w:p>
      <w:pPr>
        <w:pStyle w:val="31"/>
        <w:spacing w:before="0" w:beforeAutospacing="0" w:after="0" w:afterAutospacing="0" w:line="480" w:lineRule="exact"/>
        <w:ind w:firstLine="560" w:firstLineChars="200"/>
        <w:rPr>
          <w:rFonts w:ascii="仿宋" w:hAnsi="仿宋" w:eastAsia="仿宋" w:cs="Times New Roman"/>
          <w:kern w:val="2"/>
          <w:sz w:val="28"/>
          <w:szCs w:val="28"/>
        </w:rPr>
      </w:pPr>
      <w:r>
        <w:rPr>
          <w:rFonts w:ascii="仿宋" w:hAnsi="仿宋" w:eastAsia="仿宋" w:cs="仿宋"/>
          <w:kern w:val="2"/>
          <w:sz w:val="28"/>
          <w:szCs w:val="28"/>
        </w:rPr>
        <w:t>1</w:t>
      </w:r>
      <w:r>
        <w:rPr>
          <w:rFonts w:hint="eastAsia" w:ascii="仿宋" w:hAnsi="仿宋" w:eastAsia="仿宋" w:cs="仿宋"/>
          <w:kern w:val="2"/>
          <w:sz w:val="28"/>
          <w:szCs w:val="28"/>
        </w:rPr>
        <w:t>、买方有权使用和调配寄存的合同货物。</w:t>
      </w:r>
    </w:p>
    <w:p>
      <w:pPr>
        <w:pStyle w:val="31"/>
        <w:spacing w:before="0" w:beforeAutospacing="0" w:after="0" w:afterAutospacing="0" w:line="480" w:lineRule="exact"/>
        <w:ind w:firstLine="560" w:firstLineChars="200"/>
        <w:rPr>
          <w:rFonts w:ascii="仿宋" w:hAnsi="仿宋" w:eastAsia="仿宋" w:cs="Times New Roman"/>
          <w:kern w:val="2"/>
          <w:sz w:val="28"/>
          <w:szCs w:val="28"/>
        </w:rPr>
      </w:pPr>
      <w:r>
        <w:rPr>
          <w:rFonts w:ascii="仿宋" w:hAnsi="仿宋" w:eastAsia="仿宋" w:cs="仿宋"/>
          <w:kern w:val="2"/>
          <w:sz w:val="28"/>
          <w:szCs w:val="28"/>
        </w:rPr>
        <w:t>2</w:t>
      </w:r>
      <w:r>
        <w:rPr>
          <w:rFonts w:hint="eastAsia" w:ascii="仿宋" w:hAnsi="仿宋" w:eastAsia="仿宋" w:cs="仿宋"/>
          <w:kern w:val="2"/>
          <w:sz w:val="28"/>
          <w:szCs w:val="28"/>
        </w:rPr>
        <w:t>、买方负责合同货物的寄存管理。</w:t>
      </w:r>
    </w:p>
    <w:p>
      <w:pPr>
        <w:pStyle w:val="31"/>
        <w:spacing w:before="0" w:beforeAutospacing="0" w:after="0" w:afterAutospacing="0" w:line="480" w:lineRule="exact"/>
        <w:ind w:firstLine="560" w:firstLineChars="200"/>
        <w:rPr>
          <w:rFonts w:ascii="仿宋" w:hAnsi="仿宋" w:eastAsia="仿宋" w:cs="Times New Roman"/>
          <w:kern w:val="2"/>
          <w:sz w:val="28"/>
          <w:szCs w:val="28"/>
        </w:rPr>
      </w:pPr>
      <w:r>
        <w:rPr>
          <w:rFonts w:ascii="仿宋" w:hAnsi="仿宋" w:eastAsia="仿宋" w:cs="仿宋"/>
          <w:kern w:val="2"/>
          <w:sz w:val="28"/>
          <w:szCs w:val="28"/>
        </w:rPr>
        <w:t>3</w:t>
      </w:r>
      <w:r>
        <w:rPr>
          <w:rFonts w:hint="eastAsia" w:ascii="仿宋" w:hAnsi="仿宋" w:eastAsia="仿宋" w:cs="仿宋"/>
          <w:kern w:val="2"/>
          <w:sz w:val="28"/>
          <w:szCs w:val="28"/>
        </w:rPr>
        <w:t>、卖方有权查验、清点寄存的合同货物。</w:t>
      </w:r>
    </w:p>
    <w:p>
      <w:pPr>
        <w:pStyle w:val="31"/>
        <w:spacing w:before="0" w:beforeAutospacing="0" w:after="0" w:afterAutospacing="0" w:line="480" w:lineRule="exact"/>
        <w:ind w:firstLine="560" w:firstLineChars="200"/>
        <w:rPr>
          <w:rFonts w:ascii="仿宋" w:hAnsi="仿宋" w:eastAsia="仿宋" w:cs="Times New Roman"/>
          <w:kern w:val="2"/>
          <w:sz w:val="28"/>
          <w:szCs w:val="28"/>
        </w:rPr>
      </w:pPr>
      <w:r>
        <w:rPr>
          <w:rFonts w:ascii="仿宋" w:hAnsi="仿宋" w:eastAsia="仿宋" w:cs="仿宋"/>
          <w:kern w:val="2"/>
          <w:sz w:val="28"/>
          <w:szCs w:val="28"/>
        </w:rPr>
        <w:t>4</w:t>
      </w:r>
      <w:r>
        <w:rPr>
          <w:rFonts w:hint="eastAsia" w:ascii="仿宋" w:hAnsi="仿宋" w:eastAsia="仿宋" w:cs="仿宋"/>
          <w:kern w:val="2"/>
          <w:sz w:val="28"/>
          <w:szCs w:val="28"/>
        </w:rPr>
        <w:t>、卖方应提供符合约定的合同货物，并出具详细的寄存保管措施，注明合同货物寄存所需环境、存储位置、保管注意事项等，协助买方进行库存管理。</w:t>
      </w:r>
    </w:p>
    <w:p>
      <w:pPr>
        <w:spacing w:line="480" w:lineRule="exact"/>
        <w:ind w:firstLine="562" w:firstLineChars="200"/>
        <w:rPr>
          <w:rFonts w:ascii="黑体" w:hAnsi="黑体" w:eastAsia="黑体"/>
          <w:b/>
          <w:bCs/>
          <w:sz w:val="28"/>
          <w:szCs w:val="28"/>
          <w:lang w:eastAsia="zh-CN"/>
        </w:rPr>
      </w:pPr>
      <w:r>
        <w:rPr>
          <w:rFonts w:hint="eastAsia" w:ascii="黑体" w:hAnsi="黑体" w:eastAsia="黑体" w:cs="黑体"/>
          <w:b/>
          <w:bCs/>
          <w:sz w:val="28"/>
          <w:szCs w:val="28"/>
          <w:lang w:eastAsia="zh-CN"/>
        </w:rPr>
        <w:t>三、货物范围与入库交货期</w:t>
      </w:r>
    </w:p>
    <w:p>
      <w:pPr>
        <w:pStyle w:val="31"/>
        <w:spacing w:before="0" w:beforeAutospacing="0" w:after="0" w:afterAutospacing="0" w:line="480" w:lineRule="exact"/>
        <w:ind w:firstLine="560" w:firstLineChars="200"/>
        <w:rPr>
          <w:rFonts w:ascii="仿宋" w:hAnsi="仿宋" w:eastAsia="仿宋" w:cs="Times New Roman"/>
          <w:kern w:val="2"/>
          <w:sz w:val="28"/>
          <w:szCs w:val="28"/>
        </w:rPr>
      </w:pPr>
      <w:r>
        <w:rPr>
          <w:rFonts w:ascii="仿宋" w:hAnsi="仿宋" w:eastAsia="仿宋" w:cs="仿宋"/>
          <w:kern w:val="2"/>
          <w:sz w:val="28"/>
          <w:szCs w:val="28"/>
        </w:rPr>
        <w:t>1</w:t>
      </w:r>
      <w:r>
        <w:rPr>
          <w:rFonts w:hint="eastAsia" w:ascii="仿宋" w:hAnsi="仿宋" w:eastAsia="仿宋" w:cs="仿宋"/>
          <w:b/>
          <w:bCs/>
          <w:kern w:val="2"/>
          <w:sz w:val="28"/>
          <w:szCs w:val="28"/>
        </w:rPr>
        <w:t>、</w:t>
      </w:r>
      <w:r>
        <w:rPr>
          <w:rFonts w:hint="eastAsia" w:ascii="仿宋" w:hAnsi="仿宋" w:eastAsia="仿宋" w:cs="仿宋"/>
          <w:kern w:val="2"/>
          <w:sz w:val="28"/>
          <w:szCs w:val="28"/>
        </w:rPr>
        <w:t>合同货物从双方签订的</w:t>
      </w:r>
      <w:r>
        <w:rPr>
          <w:rFonts w:hint="eastAsia" w:ascii="仿宋" w:hAnsi="仿宋" w:eastAsia="仿宋" w:cs="仿宋"/>
          <w:sz w:val="28"/>
          <w:szCs w:val="28"/>
        </w:rPr>
        <w:t>《协议库存货物采购合同》（编号：）</w:t>
      </w:r>
      <w:r>
        <w:rPr>
          <w:rFonts w:hint="eastAsia" w:ascii="仿宋" w:hAnsi="仿宋" w:eastAsia="仿宋" w:cs="仿宋"/>
          <w:kern w:val="2"/>
          <w:sz w:val="28"/>
          <w:szCs w:val="28"/>
        </w:rPr>
        <w:t>范围中选择，数量、型号以买方通知或双方约定为准。</w:t>
      </w:r>
    </w:p>
    <w:p>
      <w:pPr>
        <w:pStyle w:val="31"/>
        <w:spacing w:before="0" w:beforeAutospacing="0" w:after="0" w:afterAutospacing="0" w:line="480" w:lineRule="exact"/>
        <w:ind w:firstLine="560" w:firstLineChars="200"/>
        <w:rPr>
          <w:rFonts w:ascii="仿宋" w:hAnsi="仿宋" w:eastAsia="仿宋" w:cs="Times New Roman"/>
          <w:kern w:val="2"/>
          <w:sz w:val="28"/>
          <w:szCs w:val="28"/>
        </w:rPr>
      </w:pPr>
      <w:r>
        <w:rPr>
          <w:rFonts w:ascii="仿宋" w:hAnsi="仿宋" w:eastAsia="仿宋" w:cs="仿宋"/>
          <w:kern w:val="2"/>
          <w:sz w:val="28"/>
          <w:szCs w:val="28"/>
        </w:rPr>
        <w:t>2</w:t>
      </w:r>
      <w:r>
        <w:rPr>
          <w:rFonts w:hint="eastAsia" w:ascii="仿宋" w:hAnsi="仿宋" w:eastAsia="仿宋" w:cs="仿宋"/>
          <w:b/>
          <w:bCs/>
          <w:kern w:val="2"/>
          <w:sz w:val="28"/>
          <w:szCs w:val="28"/>
        </w:rPr>
        <w:t>、</w:t>
      </w:r>
      <w:r>
        <w:rPr>
          <w:rFonts w:hint="eastAsia" w:ascii="仿宋" w:hAnsi="仿宋" w:eastAsia="仿宋" w:cs="仿宋"/>
          <w:kern w:val="2"/>
          <w:sz w:val="28"/>
          <w:szCs w:val="28"/>
        </w:rPr>
        <w:t>卖方在收到买方书面通知后</w:t>
      </w:r>
      <w:r>
        <w:rPr>
          <w:rFonts w:ascii="仿宋" w:hAnsi="仿宋" w:eastAsia="仿宋" w:cs="仿宋"/>
          <w:kern w:val="2"/>
          <w:sz w:val="28"/>
          <w:szCs w:val="28"/>
        </w:rPr>
        <w:t>30</w:t>
      </w:r>
      <w:r>
        <w:rPr>
          <w:rFonts w:hint="eastAsia" w:ascii="仿宋" w:hAnsi="仿宋" w:eastAsia="仿宋" w:cs="仿宋"/>
          <w:kern w:val="2"/>
          <w:sz w:val="28"/>
          <w:szCs w:val="28"/>
        </w:rPr>
        <w:t>天内将货物发到寄存地点。</w:t>
      </w:r>
    </w:p>
    <w:p>
      <w:pPr>
        <w:spacing w:line="480" w:lineRule="exact"/>
        <w:ind w:firstLine="562" w:firstLineChars="200"/>
        <w:rPr>
          <w:rFonts w:ascii="黑体" w:hAnsi="黑体" w:eastAsia="黑体"/>
          <w:b/>
          <w:bCs/>
          <w:sz w:val="28"/>
          <w:szCs w:val="28"/>
          <w:lang w:eastAsia="zh-CN"/>
        </w:rPr>
      </w:pPr>
      <w:r>
        <w:rPr>
          <w:rFonts w:hint="eastAsia" w:ascii="黑体" w:hAnsi="黑体" w:eastAsia="黑体" w:cs="黑体"/>
          <w:b/>
          <w:bCs/>
          <w:sz w:val="28"/>
          <w:szCs w:val="28"/>
          <w:lang w:eastAsia="zh-CN"/>
        </w:rPr>
        <w:t>四、入库与出库</w:t>
      </w:r>
    </w:p>
    <w:p>
      <w:pPr>
        <w:pStyle w:val="62"/>
        <w:spacing w:line="480" w:lineRule="exact"/>
        <w:ind w:firstLine="560" w:firstLineChars="200"/>
        <w:rPr>
          <w:rFonts w:ascii="仿宋" w:hAnsi="仿宋" w:eastAsia="仿宋"/>
          <w:kern w:val="2"/>
          <w:sz w:val="28"/>
          <w:szCs w:val="28"/>
        </w:rPr>
      </w:pPr>
      <w:r>
        <w:rPr>
          <w:rFonts w:ascii="仿宋" w:hAnsi="仿宋" w:eastAsia="仿宋" w:cs="仿宋"/>
          <w:kern w:val="2"/>
          <w:sz w:val="28"/>
          <w:szCs w:val="28"/>
        </w:rPr>
        <w:t>1</w:t>
      </w:r>
      <w:r>
        <w:rPr>
          <w:rFonts w:hint="eastAsia" w:ascii="仿宋" w:hAnsi="仿宋" w:eastAsia="仿宋" w:cs="仿宋"/>
          <w:b/>
          <w:bCs/>
          <w:kern w:val="2"/>
          <w:sz w:val="28"/>
          <w:szCs w:val="28"/>
        </w:rPr>
        <w:t>、</w:t>
      </w:r>
      <w:r>
        <w:rPr>
          <w:rFonts w:hint="eastAsia" w:ascii="仿宋" w:hAnsi="仿宋" w:eastAsia="仿宋" w:cs="仿宋"/>
          <w:kern w:val="2"/>
          <w:sz w:val="28"/>
          <w:szCs w:val="28"/>
        </w:rPr>
        <w:t>买方统一向卖方发出合同货物发货通知，卖方按照通知要求在约定时间内将合同货物运至指定仓库指定存放区域，并随车携带合同货物相关技术资料（试验报告、合格证等），负责运输等运杂费用。</w:t>
      </w:r>
    </w:p>
    <w:p>
      <w:pPr>
        <w:pStyle w:val="62"/>
        <w:spacing w:line="480" w:lineRule="exact"/>
        <w:ind w:firstLine="560" w:firstLineChars="200"/>
        <w:rPr>
          <w:rFonts w:ascii="仿宋" w:hAnsi="仿宋" w:eastAsia="仿宋"/>
          <w:kern w:val="2"/>
          <w:sz w:val="28"/>
          <w:szCs w:val="28"/>
        </w:rPr>
      </w:pPr>
      <w:r>
        <w:rPr>
          <w:rFonts w:ascii="仿宋" w:hAnsi="仿宋" w:eastAsia="仿宋" w:cs="仿宋"/>
          <w:kern w:val="2"/>
          <w:sz w:val="28"/>
          <w:szCs w:val="28"/>
        </w:rPr>
        <w:t>2</w:t>
      </w:r>
      <w:r>
        <w:rPr>
          <w:rFonts w:hint="eastAsia" w:ascii="仿宋" w:hAnsi="仿宋" w:eastAsia="仿宋" w:cs="仿宋"/>
          <w:kern w:val="2"/>
          <w:sz w:val="28"/>
          <w:szCs w:val="28"/>
        </w:rPr>
        <w:t>、合同货物入库前，双方应对合同货物的数量、规格、型号、外观包装等进行查验。确认合同货物数量、规格型号无误、外观无破损之后，买卖双方代表签字办理入库手续。入库检验时如数量有误、合同货物规格型号不符或外观破损的，经双方协商，可采取按检验通过的合同货物数量入库或由卖方补齐后按预定数量入库两种方式办理。</w:t>
      </w:r>
    </w:p>
    <w:p>
      <w:pPr>
        <w:pStyle w:val="62"/>
        <w:spacing w:line="480" w:lineRule="exact"/>
        <w:ind w:firstLine="560" w:firstLineChars="200"/>
        <w:rPr>
          <w:rFonts w:ascii="仿宋" w:hAnsi="仿宋" w:eastAsia="仿宋"/>
          <w:kern w:val="2"/>
          <w:sz w:val="28"/>
          <w:szCs w:val="28"/>
        </w:rPr>
      </w:pPr>
      <w:r>
        <w:rPr>
          <w:rFonts w:ascii="仿宋" w:hAnsi="仿宋" w:eastAsia="仿宋" w:cs="仿宋"/>
          <w:kern w:val="2"/>
          <w:sz w:val="28"/>
          <w:szCs w:val="28"/>
        </w:rPr>
        <w:t>3</w:t>
      </w:r>
      <w:r>
        <w:rPr>
          <w:rFonts w:hint="eastAsia" w:ascii="仿宋" w:hAnsi="仿宋" w:eastAsia="仿宋" w:cs="仿宋"/>
          <w:kern w:val="2"/>
          <w:sz w:val="28"/>
          <w:szCs w:val="28"/>
        </w:rPr>
        <w:t>、入库后，每月日，买卖双方进行寄存合同货物对账。买方定期向卖方提供</w:t>
      </w:r>
      <w:r>
        <w:rPr>
          <w:rFonts w:hint="eastAsia" w:ascii="仿宋" w:hAnsi="仿宋" w:eastAsia="仿宋" w:cs="仿宋"/>
          <w:sz w:val="28"/>
          <w:szCs w:val="28"/>
        </w:rPr>
        <w:t>寄存合同货物月度出入库明细（货物需求一览表）</w:t>
      </w:r>
      <w:r>
        <w:rPr>
          <w:rFonts w:hint="eastAsia" w:ascii="仿宋" w:hAnsi="仿宋" w:eastAsia="仿宋" w:cs="仿宋"/>
          <w:kern w:val="2"/>
          <w:sz w:val="28"/>
          <w:szCs w:val="28"/>
        </w:rPr>
        <w:t>，卖方可派员检查合同货物及相关记录，并对实际的合同货物进行清点。</w:t>
      </w:r>
    </w:p>
    <w:p>
      <w:pPr>
        <w:pStyle w:val="62"/>
        <w:spacing w:line="480" w:lineRule="exact"/>
        <w:ind w:firstLine="560" w:firstLineChars="200"/>
        <w:rPr>
          <w:rFonts w:ascii="仿宋" w:hAnsi="仿宋" w:eastAsia="仿宋"/>
          <w:kern w:val="2"/>
          <w:sz w:val="28"/>
          <w:szCs w:val="28"/>
        </w:rPr>
      </w:pPr>
      <w:r>
        <w:rPr>
          <w:rFonts w:ascii="仿宋" w:hAnsi="仿宋" w:eastAsia="仿宋" w:cs="仿宋"/>
          <w:kern w:val="2"/>
          <w:sz w:val="28"/>
          <w:szCs w:val="28"/>
        </w:rPr>
        <w:t>4</w:t>
      </w:r>
      <w:r>
        <w:rPr>
          <w:rFonts w:hint="eastAsia" w:ascii="仿宋" w:hAnsi="仿宋" w:eastAsia="仿宋" w:cs="仿宋"/>
          <w:kern w:val="2"/>
          <w:sz w:val="28"/>
          <w:szCs w:val="28"/>
        </w:rPr>
        <w:t>、卖方应按照买方书面通知及时补库。卖方应在接到买方发出的补库通知后以书面形式确认并反馈相关信息，补库时间自收到买方书面通知之日起不超过</w:t>
      </w:r>
      <w:r>
        <w:rPr>
          <w:rFonts w:ascii="仿宋" w:hAnsi="仿宋" w:eastAsia="仿宋" w:cs="仿宋"/>
          <w:kern w:val="2"/>
          <w:sz w:val="28"/>
          <w:szCs w:val="28"/>
        </w:rPr>
        <w:t>30</w:t>
      </w:r>
      <w:r>
        <w:rPr>
          <w:rFonts w:hint="eastAsia" w:ascii="仿宋" w:hAnsi="仿宋" w:eastAsia="仿宋" w:cs="仿宋"/>
          <w:kern w:val="2"/>
          <w:sz w:val="28"/>
          <w:szCs w:val="28"/>
        </w:rPr>
        <w:t>日。不能及时补库时应及时告知买方，由此给买方造成的损失，由卖方承担。</w:t>
      </w:r>
    </w:p>
    <w:p>
      <w:pPr>
        <w:pStyle w:val="62"/>
        <w:spacing w:line="480" w:lineRule="exact"/>
        <w:ind w:firstLine="560" w:firstLineChars="200"/>
        <w:rPr>
          <w:rFonts w:ascii="仿宋" w:hAnsi="仿宋" w:eastAsia="仿宋"/>
          <w:kern w:val="2"/>
          <w:sz w:val="28"/>
          <w:szCs w:val="28"/>
        </w:rPr>
      </w:pPr>
      <w:r>
        <w:rPr>
          <w:rFonts w:ascii="仿宋" w:hAnsi="仿宋" w:eastAsia="仿宋" w:cs="仿宋"/>
          <w:kern w:val="2"/>
          <w:sz w:val="28"/>
          <w:szCs w:val="28"/>
        </w:rPr>
        <w:t>5</w:t>
      </w:r>
      <w:r>
        <w:rPr>
          <w:rFonts w:hint="eastAsia" w:ascii="仿宋" w:hAnsi="仿宋" w:eastAsia="仿宋" w:cs="仿宋"/>
          <w:kern w:val="2"/>
          <w:sz w:val="28"/>
          <w:szCs w:val="28"/>
        </w:rPr>
        <w:t>、合同货物入买方库后，卖方不得擅自将合同货物领取出库用于其它用途。合同期内卖方若需取回合同货物，需在取回日日前以书面形式告知买方，经买方同意后方可取回。取回前双方应对合同货物的数量、规格、型号、外观包装等进行检查。</w:t>
      </w:r>
    </w:p>
    <w:p>
      <w:pPr>
        <w:pStyle w:val="62"/>
        <w:spacing w:line="480" w:lineRule="exact"/>
        <w:ind w:firstLine="560" w:firstLineChars="200"/>
        <w:rPr>
          <w:rFonts w:ascii="仿宋" w:hAnsi="仿宋" w:eastAsia="仿宋"/>
          <w:kern w:val="2"/>
          <w:sz w:val="28"/>
          <w:szCs w:val="28"/>
        </w:rPr>
      </w:pPr>
      <w:r>
        <w:rPr>
          <w:rFonts w:ascii="仿宋" w:hAnsi="仿宋" w:eastAsia="仿宋" w:cs="仿宋"/>
          <w:kern w:val="2"/>
          <w:sz w:val="28"/>
          <w:szCs w:val="28"/>
        </w:rPr>
        <w:t>6</w:t>
      </w:r>
      <w:r>
        <w:rPr>
          <w:rFonts w:hint="eastAsia" w:ascii="仿宋" w:hAnsi="仿宋" w:eastAsia="仿宋" w:cs="仿宋"/>
          <w:kern w:val="2"/>
          <w:sz w:val="28"/>
          <w:szCs w:val="28"/>
        </w:rPr>
        <w:t>、买方有权按照实际需求领用合同货物，领用之日视为出库日。</w:t>
      </w:r>
    </w:p>
    <w:p>
      <w:pPr>
        <w:pStyle w:val="62"/>
        <w:spacing w:line="480" w:lineRule="exact"/>
        <w:ind w:firstLine="560" w:firstLineChars="200"/>
        <w:rPr>
          <w:rFonts w:ascii="仿宋" w:hAnsi="仿宋" w:eastAsia="仿宋"/>
          <w:kern w:val="2"/>
          <w:sz w:val="28"/>
          <w:szCs w:val="28"/>
        </w:rPr>
      </w:pPr>
      <w:r>
        <w:rPr>
          <w:rFonts w:ascii="仿宋" w:hAnsi="仿宋" w:eastAsia="仿宋" w:cs="仿宋"/>
          <w:kern w:val="2"/>
          <w:sz w:val="28"/>
          <w:szCs w:val="28"/>
        </w:rPr>
        <w:t>7</w:t>
      </w:r>
      <w:r>
        <w:rPr>
          <w:rFonts w:hint="eastAsia" w:ascii="仿宋" w:hAnsi="仿宋" w:eastAsia="仿宋" w:cs="仿宋"/>
          <w:kern w:val="2"/>
          <w:sz w:val="28"/>
          <w:szCs w:val="28"/>
        </w:rPr>
        <w:t>、买方按照卖方提供的合同货物仓储保管措施统一对合同货物进行日常保管。由于卖方不提供或未及时提供或遗漏提供相关保管措施，导致卖方合同货物在买方仓库产生的一切不利后果均由卖方自行承担。因保管不善导致的合同货物外观损毁、灭失的，由买方承担责任。因不可抗力导致合同货物损毁的，买方不承担任何责任。</w:t>
      </w:r>
    </w:p>
    <w:p>
      <w:pPr>
        <w:spacing w:line="480" w:lineRule="exact"/>
        <w:ind w:firstLine="562" w:firstLineChars="200"/>
        <w:rPr>
          <w:rFonts w:ascii="黑体" w:hAnsi="黑体" w:eastAsia="黑体"/>
          <w:b/>
          <w:bCs/>
          <w:sz w:val="28"/>
          <w:szCs w:val="28"/>
          <w:lang w:eastAsia="zh-CN"/>
        </w:rPr>
      </w:pPr>
      <w:r>
        <w:rPr>
          <w:rFonts w:hint="eastAsia" w:ascii="黑体" w:hAnsi="黑体" w:eastAsia="黑体" w:cs="黑体"/>
          <w:b/>
          <w:bCs/>
          <w:sz w:val="28"/>
          <w:szCs w:val="28"/>
          <w:lang w:eastAsia="zh-CN"/>
        </w:rPr>
        <w:t>五、抽样检测</w:t>
      </w:r>
    </w:p>
    <w:p>
      <w:pPr>
        <w:pStyle w:val="62"/>
        <w:spacing w:line="480" w:lineRule="exact"/>
        <w:ind w:firstLine="560" w:firstLineChars="200"/>
        <w:rPr>
          <w:rFonts w:ascii="仿宋" w:hAnsi="仿宋" w:eastAsia="仿宋"/>
          <w:kern w:val="2"/>
          <w:sz w:val="28"/>
          <w:szCs w:val="28"/>
        </w:rPr>
      </w:pPr>
      <w:r>
        <w:rPr>
          <w:rFonts w:ascii="仿宋" w:hAnsi="仿宋" w:eastAsia="仿宋" w:cs="仿宋"/>
          <w:kern w:val="2"/>
          <w:sz w:val="28"/>
          <w:szCs w:val="28"/>
        </w:rPr>
        <w:t>1</w:t>
      </w:r>
      <w:r>
        <w:rPr>
          <w:rFonts w:hint="eastAsia" w:ascii="仿宋" w:hAnsi="仿宋" w:eastAsia="仿宋" w:cs="仿宋"/>
          <w:kern w:val="2"/>
          <w:sz w:val="28"/>
          <w:szCs w:val="28"/>
        </w:rPr>
        <w:t>、买方有权在寄存期间对合同货物进行抽样检测（下称“抽检”），抽检时，卖方需派代表参加。对于可当场完成检测的，由卖方代表、质检人员、仓库管理人员在检验结果单据上签字。对于无法当场完成检测的，由卖方代表、质检人员、仓库管理人员对抽样送检样品进行签字确认，由具备检测资质的专业机构进行检测并出具检测结果。</w:t>
      </w:r>
    </w:p>
    <w:p>
      <w:pPr>
        <w:pStyle w:val="62"/>
        <w:spacing w:line="480" w:lineRule="exact"/>
        <w:ind w:firstLine="560" w:firstLineChars="200"/>
        <w:rPr>
          <w:rFonts w:ascii="仿宋" w:hAnsi="仿宋" w:eastAsia="仿宋"/>
          <w:kern w:val="2"/>
          <w:sz w:val="28"/>
          <w:szCs w:val="28"/>
        </w:rPr>
      </w:pPr>
      <w:r>
        <w:rPr>
          <w:rFonts w:ascii="仿宋" w:hAnsi="仿宋" w:eastAsia="仿宋" w:cs="仿宋"/>
          <w:kern w:val="2"/>
          <w:sz w:val="28"/>
          <w:szCs w:val="28"/>
        </w:rPr>
        <w:t>2</w:t>
      </w:r>
      <w:r>
        <w:rPr>
          <w:rFonts w:hint="eastAsia" w:ascii="仿宋" w:hAnsi="仿宋" w:eastAsia="仿宋" w:cs="仿宋"/>
          <w:kern w:val="2"/>
          <w:sz w:val="28"/>
          <w:szCs w:val="28"/>
        </w:rPr>
        <w:t>、卖方有义务配合买方开展抽检工作，并根据买方的要求提供各类技术资料和其他必要条件。</w:t>
      </w:r>
    </w:p>
    <w:p>
      <w:pPr>
        <w:pStyle w:val="62"/>
        <w:spacing w:line="480" w:lineRule="exact"/>
        <w:ind w:firstLine="560" w:firstLineChars="200"/>
        <w:rPr>
          <w:rFonts w:ascii="仿宋" w:hAnsi="仿宋" w:eastAsia="仿宋" w:cs="仿宋"/>
          <w:kern w:val="2"/>
          <w:sz w:val="28"/>
          <w:szCs w:val="28"/>
        </w:rPr>
      </w:pPr>
      <w:r>
        <w:rPr>
          <w:rFonts w:ascii="仿宋" w:hAnsi="仿宋" w:eastAsia="仿宋" w:cs="仿宋"/>
          <w:kern w:val="2"/>
          <w:sz w:val="28"/>
          <w:szCs w:val="28"/>
        </w:rPr>
        <w:t>3</w:t>
      </w:r>
      <w:r>
        <w:rPr>
          <w:rFonts w:hint="eastAsia" w:ascii="仿宋" w:hAnsi="仿宋" w:eastAsia="仿宋" w:cs="仿宋"/>
          <w:kern w:val="2"/>
          <w:sz w:val="28"/>
          <w:szCs w:val="28"/>
        </w:rPr>
        <w:t>、如抽检的合同货物符合合同要求，所有检测等相关费用由买方承担。如抽检的产品不符合合同要求，买方将按照合同约定或国家相关规定，扩大抽检范围，根据检测结果及合同相关约定，作修理、重作、更换等处理，并追究卖方的违约责任，同时所有检测等相关费用由卖方承担。</w:t>
      </w:r>
    </w:p>
    <w:p>
      <w:pPr>
        <w:pStyle w:val="62"/>
        <w:spacing w:line="480" w:lineRule="exact"/>
        <w:ind w:firstLine="560" w:firstLineChars="200"/>
        <w:rPr>
          <w:rFonts w:ascii="仿宋" w:hAnsi="仿宋" w:eastAsia="仿宋"/>
          <w:kern w:val="2"/>
          <w:sz w:val="28"/>
          <w:szCs w:val="28"/>
        </w:rPr>
      </w:pPr>
      <w:r>
        <w:rPr>
          <w:rFonts w:ascii="仿宋" w:hAnsi="仿宋" w:eastAsia="仿宋" w:cs="仿宋"/>
          <w:kern w:val="2"/>
          <w:sz w:val="28"/>
          <w:szCs w:val="28"/>
        </w:rPr>
        <w:t>4</w:t>
      </w:r>
      <w:r>
        <w:rPr>
          <w:rFonts w:hint="eastAsia" w:ascii="仿宋" w:hAnsi="仿宋" w:eastAsia="仿宋" w:cs="仿宋"/>
          <w:kern w:val="2"/>
          <w:sz w:val="28"/>
          <w:szCs w:val="28"/>
        </w:rPr>
        <w:t>、卖方应对自然老化、锈蚀、技术落后造成损毁的合同货物进行处理并承担费用。</w:t>
      </w:r>
    </w:p>
    <w:p>
      <w:pPr>
        <w:pStyle w:val="62"/>
        <w:spacing w:line="480" w:lineRule="exact"/>
        <w:ind w:firstLine="560" w:firstLineChars="200"/>
        <w:rPr>
          <w:rFonts w:ascii="仿宋" w:hAnsi="仿宋" w:eastAsia="仿宋"/>
          <w:kern w:val="2"/>
          <w:sz w:val="28"/>
          <w:szCs w:val="28"/>
        </w:rPr>
      </w:pPr>
      <w:r>
        <w:rPr>
          <w:rFonts w:ascii="仿宋" w:hAnsi="仿宋" w:eastAsia="仿宋" w:cs="仿宋"/>
          <w:kern w:val="2"/>
          <w:sz w:val="28"/>
          <w:szCs w:val="28"/>
        </w:rPr>
        <w:t>5</w:t>
      </w:r>
      <w:r>
        <w:rPr>
          <w:rFonts w:hint="eastAsia" w:ascii="仿宋" w:hAnsi="仿宋" w:eastAsia="仿宋" w:cs="仿宋"/>
          <w:kern w:val="2"/>
          <w:sz w:val="28"/>
          <w:szCs w:val="28"/>
        </w:rPr>
        <w:t>、卖方不定期对合同货物进行巡查和养护。</w:t>
      </w:r>
    </w:p>
    <w:p>
      <w:pPr>
        <w:spacing w:line="480" w:lineRule="exact"/>
        <w:ind w:firstLine="562" w:firstLineChars="200"/>
        <w:rPr>
          <w:rFonts w:ascii="黑体" w:hAnsi="黑体" w:eastAsia="黑体"/>
          <w:b/>
          <w:bCs/>
          <w:sz w:val="28"/>
          <w:szCs w:val="28"/>
          <w:lang w:eastAsia="zh-CN"/>
        </w:rPr>
      </w:pPr>
      <w:r>
        <w:rPr>
          <w:rFonts w:hint="eastAsia" w:ascii="黑体" w:hAnsi="黑体" w:eastAsia="黑体" w:cs="黑体"/>
          <w:b/>
          <w:bCs/>
          <w:sz w:val="28"/>
          <w:szCs w:val="28"/>
          <w:lang w:eastAsia="zh-CN"/>
        </w:rPr>
        <w:t>六、运输及费用承担</w:t>
      </w:r>
    </w:p>
    <w:p>
      <w:pPr>
        <w:pStyle w:val="62"/>
        <w:spacing w:line="480" w:lineRule="exact"/>
        <w:ind w:firstLine="560" w:firstLineChars="200"/>
        <w:rPr>
          <w:rFonts w:ascii="仿宋" w:hAnsi="仿宋" w:eastAsia="仿宋"/>
          <w:kern w:val="2"/>
          <w:sz w:val="28"/>
          <w:szCs w:val="28"/>
        </w:rPr>
      </w:pPr>
      <w:r>
        <w:rPr>
          <w:rFonts w:ascii="仿宋" w:hAnsi="仿宋" w:eastAsia="仿宋" w:cs="仿宋"/>
          <w:kern w:val="2"/>
          <w:sz w:val="28"/>
          <w:szCs w:val="28"/>
        </w:rPr>
        <w:t>1</w:t>
      </w:r>
      <w:r>
        <w:rPr>
          <w:rFonts w:hint="eastAsia" w:ascii="仿宋" w:hAnsi="仿宋" w:eastAsia="仿宋" w:cs="仿宋"/>
          <w:kern w:val="2"/>
          <w:sz w:val="28"/>
          <w:szCs w:val="28"/>
        </w:rPr>
        <w:t>、当合同货物出库运至工程项目现场，由仓库至现场的二次配送运输费用由买方承担。</w:t>
      </w:r>
    </w:p>
    <w:p>
      <w:pPr>
        <w:pStyle w:val="62"/>
        <w:spacing w:line="480" w:lineRule="exact"/>
        <w:ind w:firstLine="560" w:firstLineChars="200"/>
        <w:rPr>
          <w:rFonts w:ascii="仿宋" w:hAnsi="仿宋" w:eastAsia="仿宋"/>
          <w:kern w:val="2"/>
          <w:sz w:val="28"/>
          <w:szCs w:val="28"/>
        </w:rPr>
      </w:pPr>
      <w:r>
        <w:rPr>
          <w:rFonts w:ascii="仿宋" w:hAnsi="仿宋" w:eastAsia="仿宋" w:cs="仿宋"/>
          <w:kern w:val="2"/>
          <w:sz w:val="28"/>
          <w:szCs w:val="28"/>
        </w:rPr>
        <w:t>2</w:t>
      </w:r>
      <w:r>
        <w:rPr>
          <w:rFonts w:hint="eastAsia" w:ascii="仿宋" w:hAnsi="仿宋" w:eastAsia="仿宋" w:cs="仿宋"/>
          <w:kern w:val="2"/>
          <w:sz w:val="28"/>
          <w:szCs w:val="28"/>
        </w:rPr>
        <w:t>、合同货物发运前，买方将发货时间和预计到货时间通知卖方，便于卖方进行现场指导安装或提供其他服务。</w:t>
      </w:r>
    </w:p>
    <w:p>
      <w:pPr>
        <w:spacing w:line="480" w:lineRule="exact"/>
        <w:ind w:firstLine="562" w:firstLineChars="200"/>
        <w:rPr>
          <w:rFonts w:ascii="黑体" w:hAnsi="黑体" w:eastAsia="黑体"/>
          <w:b/>
          <w:bCs/>
          <w:sz w:val="28"/>
          <w:szCs w:val="28"/>
          <w:lang w:eastAsia="zh-CN"/>
        </w:rPr>
      </w:pPr>
      <w:r>
        <w:rPr>
          <w:rFonts w:hint="eastAsia" w:ascii="黑体" w:hAnsi="黑体" w:eastAsia="黑体" w:cs="黑体"/>
          <w:b/>
          <w:bCs/>
          <w:sz w:val="28"/>
          <w:szCs w:val="28"/>
          <w:lang w:eastAsia="zh-CN"/>
        </w:rPr>
        <w:t>七、货款结算</w:t>
      </w:r>
    </w:p>
    <w:p>
      <w:pPr>
        <w:pStyle w:val="31"/>
        <w:spacing w:line="480" w:lineRule="exact"/>
        <w:ind w:firstLine="560" w:firstLineChars="200"/>
        <w:rPr>
          <w:rFonts w:ascii="仿宋" w:hAnsi="仿宋" w:eastAsia="仿宋" w:cs="Times New Roman"/>
          <w:kern w:val="2"/>
          <w:sz w:val="28"/>
          <w:szCs w:val="28"/>
        </w:rPr>
      </w:pPr>
      <w:r>
        <w:rPr>
          <w:rFonts w:ascii="仿宋" w:hAnsi="仿宋" w:eastAsia="仿宋" w:cs="仿宋"/>
          <w:kern w:val="2"/>
          <w:sz w:val="28"/>
          <w:szCs w:val="28"/>
        </w:rPr>
        <w:t>1</w:t>
      </w:r>
      <w:r>
        <w:rPr>
          <w:rFonts w:hint="eastAsia" w:ascii="仿宋" w:hAnsi="仿宋" w:eastAsia="仿宋" w:cs="仿宋"/>
          <w:kern w:val="2"/>
          <w:sz w:val="28"/>
          <w:szCs w:val="28"/>
        </w:rPr>
        <w:t>、每月日，买方出具《寄存合同货物出库单》、《寄存合同货物月度出入库明细》给卖方对账，卖方需在</w:t>
      </w:r>
      <w:r>
        <w:rPr>
          <w:rFonts w:ascii="仿宋" w:hAnsi="仿宋" w:eastAsia="仿宋" w:cs="仿宋"/>
          <w:kern w:val="2"/>
          <w:sz w:val="28"/>
          <w:szCs w:val="28"/>
        </w:rPr>
        <w:t>5</w:t>
      </w:r>
      <w:r>
        <w:rPr>
          <w:rFonts w:hint="eastAsia" w:ascii="仿宋" w:hAnsi="仿宋" w:eastAsia="仿宋" w:cs="仿宋"/>
          <w:kern w:val="2"/>
          <w:sz w:val="28"/>
          <w:szCs w:val="28"/>
        </w:rPr>
        <w:t>个工作日内书面确认。如卖方有异议，应及时与买方核对。双方以核对确定的结果作为结算依据。</w:t>
      </w:r>
    </w:p>
    <w:p>
      <w:pPr>
        <w:spacing w:line="480" w:lineRule="exact"/>
        <w:ind w:firstLine="560" w:firstLineChars="200"/>
        <w:rPr>
          <w:rFonts w:ascii="仿宋" w:hAnsi="仿宋" w:eastAsia="仿宋"/>
          <w:color w:val="FF0000"/>
          <w:sz w:val="28"/>
          <w:szCs w:val="28"/>
          <w:lang w:eastAsia="zh-CN"/>
        </w:rPr>
      </w:pPr>
      <w:r>
        <w:rPr>
          <w:rFonts w:ascii="仿宋" w:hAnsi="仿宋" w:eastAsia="仿宋" w:cs="仿宋"/>
          <w:sz w:val="28"/>
          <w:szCs w:val="28"/>
          <w:lang w:eastAsia="zh-CN"/>
        </w:rPr>
        <w:t>2</w:t>
      </w:r>
      <w:r>
        <w:rPr>
          <w:rFonts w:hint="eastAsia" w:ascii="仿宋" w:hAnsi="仿宋" w:eastAsia="仿宋" w:cs="仿宋"/>
          <w:sz w:val="28"/>
          <w:szCs w:val="28"/>
          <w:lang w:eastAsia="zh-CN"/>
        </w:rPr>
        <w:t>、买卖双方按照第七条第</w:t>
      </w:r>
      <w:r>
        <w:rPr>
          <w:rFonts w:ascii="仿宋" w:hAnsi="仿宋" w:eastAsia="仿宋" w:cs="仿宋"/>
          <w:sz w:val="28"/>
          <w:szCs w:val="28"/>
          <w:lang w:eastAsia="zh-CN"/>
        </w:rPr>
        <w:t>1</w:t>
      </w:r>
      <w:r>
        <w:rPr>
          <w:rFonts w:hint="eastAsia" w:ascii="仿宋" w:hAnsi="仿宋" w:eastAsia="仿宋" w:cs="仿宋"/>
          <w:sz w:val="28"/>
          <w:szCs w:val="28"/>
          <w:lang w:eastAsia="zh-CN"/>
        </w:rPr>
        <w:t>款的约定结算，合同货物价格在协议库存采购合同约定基础上，以订单生成日的联动价格为准。卖方凭双方核对确定的《寄存合同货物出库单》、《寄存合同货物月度出入库明细》和相应金额的全额增值税专用发票申请支付，买方审核无误后一个月内办理支付手续。支付方式及比例按《采购合同》执行。</w:t>
      </w:r>
    </w:p>
    <w:p>
      <w:pPr>
        <w:pStyle w:val="31"/>
        <w:spacing w:before="0" w:beforeAutospacing="0" w:after="0" w:afterAutospacing="0" w:line="480" w:lineRule="exact"/>
        <w:ind w:firstLine="560" w:firstLineChars="200"/>
        <w:rPr>
          <w:rFonts w:ascii="仿宋" w:hAnsi="仿宋" w:eastAsia="仿宋" w:cs="Times New Roman"/>
          <w:kern w:val="2"/>
          <w:sz w:val="28"/>
          <w:szCs w:val="28"/>
        </w:rPr>
      </w:pPr>
      <w:r>
        <w:rPr>
          <w:rFonts w:ascii="仿宋" w:hAnsi="仿宋" w:eastAsia="仿宋" w:cs="仿宋"/>
          <w:kern w:val="2"/>
          <w:sz w:val="28"/>
          <w:szCs w:val="28"/>
        </w:rPr>
        <w:t>3</w:t>
      </w:r>
      <w:r>
        <w:rPr>
          <w:rFonts w:hint="eastAsia" w:ascii="仿宋" w:hAnsi="仿宋" w:eastAsia="仿宋" w:cs="仿宋"/>
          <w:kern w:val="2"/>
          <w:sz w:val="28"/>
          <w:szCs w:val="28"/>
        </w:rPr>
        <w:t>、《采购合同》有效期届满，寄存剩余货物由买方购买，</w:t>
      </w:r>
      <w:r>
        <w:rPr>
          <w:rFonts w:hint="eastAsia" w:ascii="仿宋" w:hAnsi="仿宋" w:eastAsia="仿宋" w:cs="仿宋"/>
          <w:sz w:val="28"/>
          <w:szCs w:val="28"/>
        </w:rPr>
        <w:t>卖方凭剩余货物相应金额的增值税专用发票申请支付，买方审核无误后一个月内办理支付手续。</w:t>
      </w:r>
    </w:p>
    <w:p>
      <w:pPr>
        <w:pStyle w:val="31"/>
        <w:spacing w:before="0" w:beforeAutospacing="0" w:after="0" w:afterAutospacing="0" w:line="480" w:lineRule="exact"/>
        <w:ind w:firstLine="560" w:firstLineChars="200"/>
        <w:rPr>
          <w:rFonts w:ascii="仿宋" w:hAnsi="仿宋" w:eastAsia="仿宋" w:cs="Times New Roman"/>
          <w:kern w:val="2"/>
          <w:sz w:val="28"/>
          <w:szCs w:val="28"/>
        </w:rPr>
      </w:pPr>
      <w:r>
        <w:rPr>
          <w:rFonts w:ascii="仿宋" w:hAnsi="仿宋" w:eastAsia="仿宋" w:cs="仿宋"/>
          <w:kern w:val="2"/>
          <w:sz w:val="28"/>
          <w:szCs w:val="28"/>
        </w:rPr>
        <w:t xml:space="preserve">4 </w:t>
      </w:r>
      <w:r>
        <w:rPr>
          <w:rFonts w:hint="eastAsia" w:ascii="仿宋" w:hAnsi="仿宋" w:eastAsia="仿宋" w:cs="仿宋"/>
          <w:kern w:val="2"/>
          <w:sz w:val="28"/>
          <w:szCs w:val="28"/>
        </w:rPr>
        <w:t>、所有有关合同货物的送货（不含买方二次配送）、退货、转卖发生的运杂费用均由卖方承担。卖方承担全部运输保险费用（卖方配送至需求仓库、仓库到需求地点）。</w:t>
      </w:r>
    </w:p>
    <w:p>
      <w:pPr>
        <w:pStyle w:val="31"/>
        <w:spacing w:line="480" w:lineRule="exact"/>
        <w:ind w:firstLine="562" w:firstLineChars="200"/>
        <w:rPr>
          <w:rFonts w:ascii="黑体" w:hAnsi="黑体" w:eastAsia="黑体" w:cs="Times New Roman"/>
          <w:b/>
          <w:bCs/>
          <w:kern w:val="2"/>
          <w:sz w:val="28"/>
          <w:szCs w:val="28"/>
        </w:rPr>
      </w:pPr>
      <w:r>
        <w:rPr>
          <w:rFonts w:hint="eastAsia" w:ascii="黑体" w:hAnsi="黑体" w:eastAsia="黑体" w:cs="黑体"/>
          <w:b/>
          <w:bCs/>
          <w:kern w:val="2"/>
          <w:sz w:val="28"/>
          <w:szCs w:val="28"/>
        </w:rPr>
        <w:t>八、其他</w:t>
      </w:r>
    </w:p>
    <w:p>
      <w:pPr>
        <w:pStyle w:val="31"/>
        <w:spacing w:before="0" w:beforeAutospacing="0" w:after="0" w:afterAutospacing="0" w:line="480" w:lineRule="exact"/>
        <w:ind w:firstLine="560" w:firstLineChars="200"/>
        <w:rPr>
          <w:sz w:val="28"/>
          <w:szCs w:val="28"/>
        </w:rPr>
      </w:pPr>
      <w:r>
        <w:rPr>
          <w:rFonts w:hint="eastAsia" w:ascii="仿宋" w:hAnsi="仿宋" w:eastAsia="仿宋" w:cs="仿宋"/>
          <w:snapToGrid w:val="0"/>
          <w:sz w:val="28"/>
          <w:szCs w:val="28"/>
        </w:rPr>
        <w:t>本协议经双方法定代表人（负责人）或其授权代表签字并加盖双方公章或合同专用章之日起生效。协议签订日期以双方中最后一方签署并加盖公章或合同专用章的日期为准。</w:t>
      </w:r>
      <w:r>
        <w:rPr>
          <w:rFonts w:hint="eastAsia" w:ascii="仿宋" w:hAnsi="仿宋" w:eastAsia="仿宋" w:cs="仿宋"/>
          <w:kern w:val="2"/>
          <w:sz w:val="28"/>
          <w:szCs w:val="28"/>
        </w:rPr>
        <w:t>有效期与《采购合同》一致。</w:t>
      </w:r>
    </w:p>
    <w:p>
      <w:pPr>
        <w:rPr>
          <w:sz w:val="28"/>
          <w:szCs w:val="28"/>
        </w:rPr>
      </w:pPr>
    </w:p>
    <w:p>
      <w:pPr>
        <w:pStyle w:val="31"/>
        <w:spacing w:before="0" w:beforeAutospacing="0" w:after="0" w:afterAutospacing="0" w:line="480" w:lineRule="exact"/>
        <w:ind w:firstLine="200"/>
        <w:rPr>
          <w:rFonts w:ascii="仿宋" w:hAnsi="仿宋" w:eastAsia="仿宋" w:cs="Times New Roman"/>
          <w:color w:val="333333"/>
          <w:sz w:val="28"/>
          <w:szCs w:val="28"/>
        </w:rPr>
      </w:pPr>
    </w:p>
    <w:p>
      <w:pPr>
        <w:pStyle w:val="31"/>
        <w:spacing w:line="480" w:lineRule="exact"/>
        <w:ind w:firstLine="3844" w:firstLineChars="1200"/>
        <w:jc w:val="both"/>
        <w:rPr>
          <w:rFonts w:ascii="华文中宋" w:hAnsi="华文中宋" w:eastAsia="华文中宋" w:cs="Times New Roman"/>
          <w:b/>
          <w:bCs/>
          <w:color w:val="333333"/>
          <w:kern w:val="2"/>
          <w:sz w:val="32"/>
          <w:szCs w:val="32"/>
        </w:rPr>
      </w:pPr>
      <w:r>
        <w:rPr>
          <w:rFonts w:hint="eastAsia" w:ascii="华文中宋" w:hAnsi="华文中宋" w:eastAsia="华文中宋" w:cs="华文中宋"/>
          <w:b/>
          <w:bCs/>
          <w:color w:val="333333"/>
          <w:kern w:val="2"/>
          <w:sz w:val="32"/>
          <w:szCs w:val="32"/>
        </w:rPr>
        <w:t>签署页</w:t>
      </w:r>
    </w:p>
    <w:p>
      <w:pPr>
        <w:pStyle w:val="31"/>
        <w:spacing w:line="480" w:lineRule="exact"/>
        <w:ind w:firstLine="641" w:firstLineChars="200"/>
        <w:jc w:val="center"/>
        <w:rPr>
          <w:rFonts w:ascii="华文中宋" w:hAnsi="华文中宋" w:eastAsia="华文中宋" w:cs="Times New Roman"/>
          <w:b/>
          <w:bCs/>
          <w:color w:val="333333"/>
          <w:kern w:val="2"/>
          <w:sz w:val="32"/>
          <w:szCs w:val="32"/>
        </w:rPr>
      </w:pPr>
    </w:p>
    <w:tbl>
      <w:tblPr>
        <w:tblStyle w:val="37"/>
        <w:tblW w:w="9198"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
        <w:gridCol w:w="4359"/>
        <w:gridCol w:w="46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4595" w:type="dxa"/>
            <w:gridSpan w:val="2"/>
            <w:vAlign w:val="center"/>
          </w:tcPr>
          <w:p>
            <w:pPr>
              <w:adjustRightInd w:val="0"/>
              <w:snapToGrid w:val="0"/>
              <w:spacing w:line="480" w:lineRule="exact"/>
              <w:ind w:firstLine="200"/>
              <w:rPr>
                <w:rFonts w:ascii="仿宋" w:hAnsi="仿宋" w:eastAsia="仿宋"/>
                <w:b/>
                <w:bCs/>
                <w:sz w:val="28"/>
                <w:szCs w:val="28"/>
              </w:rPr>
            </w:pPr>
            <w:r>
              <w:rPr>
                <w:rFonts w:hint="eastAsia" w:ascii="仿宋" w:hAnsi="仿宋" w:eastAsia="仿宋" w:cs="仿宋"/>
                <w:b/>
                <w:bCs/>
                <w:sz w:val="28"/>
                <w:szCs w:val="28"/>
              </w:rPr>
              <w:t>买方：</w:t>
            </w:r>
          </w:p>
        </w:tc>
        <w:tc>
          <w:tcPr>
            <w:tcW w:w="4603" w:type="dxa"/>
            <w:vAlign w:val="center"/>
          </w:tcPr>
          <w:p>
            <w:pPr>
              <w:adjustRightInd w:val="0"/>
              <w:snapToGrid w:val="0"/>
              <w:spacing w:line="480" w:lineRule="exact"/>
              <w:ind w:firstLine="200"/>
              <w:rPr>
                <w:rFonts w:ascii="仿宋" w:hAnsi="仿宋" w:eastAsia="仿宋"/>
                <w:b/>
                <w:bCs/>
                <w:sz w:val="28"/>
                <w:szCs w:val="28"/>
              </w:rPr>
            </w:pPr>
            <w:r>
              <w:rPr>
                <w:rFonts w:hint="eastAsia" w:ascii="仿宋" w:hAnsi="仿宋" w:eastAsia="仿宋" w:cs="仿宋"/>
                <w:b/>
                <w:bCs/>
                <w:sz w:val="28"/>
                <w:szCs w:val="28"/>
              </w:rPr>
              <w:t>卖方：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4595" w:type="dxa"/>
            <w:gridSpan w:val="2"/>
            <w:vAlign w:val="bottom"/>
          </w:tcPr>
          <w:p>
            <w:pPr>
              <w:adjustRightInd w:val="0"/>
              <w:snapToGrid w:val="0"/>
              <w:spacing w:line="480" w:lineRule="exact"/>
              <w:ind w:firstLine="200"/>
              <w:rPr>
                <w:rFonts w:ascii="仿宋" w:hAnsi="仿宋" w:eastAsia="仿宋"/>
                <w:sz w:val="28"/>
                <w:szCs w:val="28"/>
                <w:lang w:eastAsia="zh-CN"/>
              </w:rPr>
            </w:pPr>
            <w:r>
              <w:rPr>
                <w:rFonts w:hint="eastAsia" w:ascii="仿宋" w:hAnsi="仿宋" w:eastAsia="仿宋" w:cs="仿宋"/>
                <w:sz w:val="28"/>
                <w:szCs w:val="28"/>
                <w:lang w:eastAsia="zh-CN"/>
              </w:rPr>
              <w:t>法定代表人</w:t>
            </w:r>
            <w:r>
              <w:rPr>
                <w:rFonts w:ascii="仿宋" w:hAnsi="仿宋" w:eastAsia="仿宋" w:cs="仿宋"/>
                <w:sz w:val="28"/>
                <w:szCs w:val="28"/>
                <w:lang w:eastAsia="zh-CN"/>
              </w:rPr>
              <w:t>(</w:t>
            </w:r>
            <w:r>
              <w:rPr>
                <w:rFonts w:hint="eastAsia" w:ascii="仿宋" w:hAnsi="仿宋" w:eastAsia="仿宋" w:cs="仿宋"/>
                <w:sz w:val="28"/>
                <w:szCs w:val="28"/>
                <w:lang w:eastAsia="zh-CN"/>
              </w:rPr>
              <w:t>负责人</w:t>
            </w:r>
            <w:r>
              <w:rPr>
                <w:rFonts w:ascii="仿宋" w:hAnsi="仿宋" w:eastAsia="仿宋" w:cs="仿宋"/>
                <w:sz w:val="28"/>
                <w:szCs w:val="28"/>
                <w:lang w:eastAsia="zh-CN"/>
              </w:rPr>
              <w:t>)</w:t>
            </w:r>
            <w:r>
              <w:rPr>
                <w:rFonts w:hint="eastAsia" w:ascii="仿宋" w:hAnsi="仿宋" w:eastAsia="仿宋" w:cs="仿宋"/>
                <w:sz w:val="28"/>
                <w:szCs w:val="28"/>
                <w:lang w:eastAsia="zh-CN"/>
              </w:rPr>
              <w:t>或</w:t>
            </w:r>
          </w:p>
          <w:p>
            <w:pPr>
              <w:adjustRightInd w:val="0"/>
              <w:snapToGrid w:val="0"/>
              <w:spacing w:line="480" w:lineRule="exact"/>
              <w:ind w:firstLine="200"/>
              <w:rPr>
                <w:rFonts w:ascii="仿宋" w:hAnsi="仿宋" w:eastAsia="仿宋"/>
                <w:sz w:val="28"/>
                <w:szCs w:val="28"/>
                <w:lang w:eastAsia="zh-CN"/>
              </w:rPr>
            </w:pPr>
            <w:r>
              <w:rPr>
                <w:rFonts w:hint="eastAsia" w:ascii="仿宋" w:hAnsi="仿宋" w:eastAsia="仿宋" w:cs="仿宋"/>
                <w:sz w:val="28"/>
                <w:szCs w:val="28"/>
                <w:lang w:eastAsia="zh-CN"/>
              </w:rPr>
              <w:t>授权代表（签字）：</w:t>
            </w:r>
          </w:p>
        </w:tc>
        <w:tc>
          <w:tcPr>
            <w:tcW w:w="4603" w:type="dxa"/>
            <w:vAlign w:val="bottom"/>
          </w:tcPr>
          <w:p>
            <w:pPr>
              <w:adjustRightInd w:val="0"/>
              <w:snapToGrid w:val="0"/>
              <w:spacing w:line="480" w:lineRule="exact"/>
              <w:ind w:firstLine="200"/>
              <w:rPr>
                <w:rFonts w:ascii="仿宋" w:hAnsi="仿宋" w:eastAsia="仿宋"/>
                <w:sz w:val="28"/>
                <w:szCs w:val="28"/>
                <w:lang w:eastAsia="zh-CN"/>
              </w:rPr>
            </w:pPr>
            <w:r>
              <w:rPr>
                <w:rFonts w:hint="eastAsia" w:ascii="仿宋" w:hAnsi="仿宋" w:eastAsia="仿宋" w:cs="仿宋"/>
                <w:sz w:val="28"/>
                <w:szCs w:val="28"/>
                <w:lang w:eastAsia="zh-CN"/>
              </w:rPr>
              <w:t>法定代表人</w:t>
            </w:r>
            <w:r>
              <w:rPr>
                <w:rFonts w:ascii="仿宋" w:hAnsi="仿宋" w:eastAsia="仿宋" w:cs="仿宋"/>
                <w:sz w:val="28"/>
                <w:szCs w:val="28"/>
                <w:lang w:eastAsia="zh-CN"/>
              </w:rPr>
              <w:t>(</w:t>
            </w:r>
            <w:r>
              <w:rPr>
                <w:rFonts w:hint="eastAsia" w:ascii="仿宋" w:hAnsi="仿宋" w:eastAsia="仿宋" w:cs="仿宋"/>
                <w:sz w:val="28"/>
                <w:szCs w:val="28"/>
                <w:lang w:eastAsia="zh-CN"/>
              </w:rPr>
              <w:t>负责人</w:t>
            </w:r>
            <w:r>
              <w:rPr>
                <w:rFonts w:ascii="仿宋" w:hAnsi="仿宋" w:eastAsia="仿宋" w:cs="仿宋"/>
                <w:sz w:val="28"/>
                <w:szCs w:val="28"/>
                <w:lang w:eastAsia="zh-CN"/>
              </w:rPr>
              <w:t>)</w:t>
            </w:r>
            <w:r>
              <w:rPr>
                <w:rFonts w:hint="eastAsia" w:ascii="仿宋" w:hAnsi="仿宋" w:eastAsia="仿宋" w:cs="仿宋"/>
                <w:sz w:val="28"/>
                <w:szCs w:val="28"/>
                <w:lang w:eastAsia="zh-CN"/>
              </w:rPr>
              <w:t>或</w:t>
            </w:r>
          </w:p>
          <w:p>
            <w:pPr>
              <w:adjustRightInd w:val="0"/>
              <w:snapToGrid w:val="0"/>
              <w:spacing w:line="480" w:lineRule="exact"/>
              <w:ind w:firstLine="200"/>
              <w:rPr>
                <w:rFonts w:ascii="仿宋" w:hAnsi="仿宋" w:eastAsia="仿宋"/>
                <w:sz w:val="28"/>
                <w:szCs w:val="28"/>
                <w:lang w:eastAsia="zh-CN"/>
              </w:rPr>
            </w:pPr>
            <w:r>
              <w:rPr>
                <w:rFonts w:hint="eastAsia" w:ascii="仿宋" w:hAnsi="仿宋" w:eastAsia="仿宋" w:cs="仿宋"/>
                <w:sz w:val="28"/>
                <w:szCs w:val="28"/>
                <w:lang w:eastAsia="zh-CN"/>
              </w:rPr>
              <w:t>授权代表（签字）：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4595" w:type="dxa"/>
            <w:gridSpan w:val="2"/>
            <w:vAlign w:val="center"/>
          </w:tcPr>
          <w:p>
            <w:pPr>
              <w:adjustRightInd w:val="0"/>
              <w:snapToGrid w:val="0"/>
              <w:spacing w:line="480" w:lineRule="exact"/>
              <w:ind w:firstLine="200"/>
              <w:rPr>
                <w:rFonts w:ascii="仿宋" w:hAnsi="仿宋" w:eastAsia="仿宋"/>
                <w:sz w:val="28"/>
                <w:szCs w:val="28"/>
              </w:rPr>
            </w:pPr>
            <w:r>
              <w:rPr>
                <w:rFonts w:hint="eastAsia" w:ascii="仿宋" w:hAnsi="仿宋" w:eastAsia="仿宋" w:cs="仿宋"/>
                <w:sz w:val="28"/>
                <w:szCs w:val="28"/>
              </w:rPr>
              <w:t>签订日期：</w:t>
            </w:r>
          </w:p>
        </w:tc>
        <w:tc>
          <w:tcPr>
            <w:tcW w:w="4603" w:type="dxa"/>
            <w:vAlign w:val="center"/>
          </w:tcPr>
          <w:p>
            <w:pPr>
              <w:adjustRightInd w:val="0"/>
              <w:snapToGrid w:val="0"/>
              <w:spacing w:line="480" w:lineRule="exact"/>
              <w:ind w:firstLine="200"/>
              <w:rPr>
                <w:rFonts w:ascii="仿宋" w:hAnsi="仿宋" w:eastAsia="仿宋"/>
                <w:sz w:val="28"/>
                <w:szCs w:val="28"/>
              </w:rPr>
            </w:pPr>
            <w:r>
              <w:rPr>
                <w:rFonts w:hint="eastAsia" w:ascii="仿宋" w:hAnsi="仿宋" w:eastAsia="仿宋" w:cs="仿宋"/>
                <w:sz w:val="28"/>
                <w:szCs w:val="28"/>
              </w:rPr>
              <w:t>签订日期：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236" w:type="dxa"/>
            <w:tcBorders>
              <w:right w:val="nil"/>
            </w:tcBorders>
            <w:vAlign w:val="center"/>
          </w:tcPr>
          <w:p>
            <w:pPr>
              <w:adjustRightInd w:val="0"/>
              <w:snapToGrid w:val="0"/>
              <w:spacing w:line="480" w:lineRule="exact"/>
              <w:ind w:firstLine="200"/>
              <w:rPr>
                <w:rFonts w:ascii="仿宋" w:hAnsi="仿宋" w:eastAsia="仿宋"/>
                <w:sz w:val="28"/>
                <w:szCs w:val="28"/>
              </w:rPr>
            </w:pPr>
          </w:p>
        </w:tc>
        <w:tc>
          <w:tcPr>
            <w:tcW w:w="4359" w:type="dxa"/>
            <w:tcBorders>
              <w:left w:val="nil"/>
            </w:tcBorders>
            <w:vAlign w:val="center"/>
          </w:tcPr>
          <w:p>
            <w:pPr>
              <w:adjustRightInd w:val="0"/>
              <w:snapToGrid w:val="0"/>
              <w:spacing w:line="480" w:lineRule="exact"/>
              <w:rPr>
                <w:rFonts w:ascii="仿宋" w:hAnsi="仿宋" w:eastAsia="仿宋"/>
                <w:sz w:val="28"/>
                <w:szCs w:val="28"/>
              </w:rPr>
            </w:pPr>
            <w:r>
              <w:rPr>
                <w:rFonts w:hint="eastAsia" w:ascii="仿宋" w:hAnsi="仿宋" w:eastAsia="仿宋" w:cs="仿宋"/>
                <w:sz w:val="28"/>
                <w:szCs w:val="28"/>
              </w:rPr>
              <w:t>地址：</w:t>
            </w:r>
          </w:p>
        </w:tc>
        <w:tc>
          <w:tcPr>
            <w:tcW w:w="4603" w:type="dxa"/>
            <w:vAlign w:val="center"/>
          </w:tcPr>
          <w:p>
            <w:pPr>
              <w:adjustRightInd w:val="0"/>
              <w:snapToGrid w:val="0"/>
              <w:spacing w:line="480" w:lineRule="exact"/>
              <w:ind w:firstLine="200"/>
              <w:rPr>
                <w:rFonts w:ascii="仿宋" w:hAnsi="仿宋" w:eastAsia="仿宋"/>
                <w:sz w:val="28"/>
                <w:szCs w:val="28"/>
              </w:rPr>
            </w:pPr>
            <w:r>
              <w:rPr>
                <w:rFonts w:hint="eastAsia" w:ascii="仿宋" w:hAnsi="仿宋" w:eastAsia="仿宋" w:cs="仿宋"/>
                <w:sz w:val="28"/>
                <w:szCs w:val="28"/>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4595" w:type="dxa"/>
            <w:gridSpan w:val="2"/>
            <w:vAlign w:val="center"/>
          </w:tcPr>
          <w:p>
            <w:pPr>
              <w:adjustRightInd w:val="0"/>
              <w:snapToGrid w:val="0"/>
              <w:spacing w:line="480" w:lineRule="exact"/>
              <w:ind w:firstLine="200"/>
              <w:rPr>
                <w:rFonts w:ascii="仿宋" w:hAnsi="仿宋" w:eastAsia="仿宋" w:cs="仿宋"/>
                <w:sz w:val="28"/>
                <w:szCs w:val="28"/>
              </w:rPr>
            </w:pPr>
            <w:r>
              <w:rPr>
                <w:rFonts w:hint="eastAsia" w:ascii="仿宋" w:hAnsi="仿宋" w:eastAsia="仿宋" w:cs="仿宋"/>
                <w:sz w:val="28"/>
                <w:szCs w:val="28"/>
              </w:rPr>
              <w:t>开户银行：</w:t>
            </w:r>
          </w:p>
        </w:tc>
        <w:tc>
          <w:tcPr>
            <w:tcW w:w="4603" w:type="dxa"/>
            <w:vAlign w:val="center"/>
          </w:tcPr>
          <w:p>
            <w:pPr>
              <w:adjustRightInd w:val="0"/>
              <w:snapToGrid w:val="0"/>
              <w:spacing w:line="480" w:lineRule="exact"/>
              <w:ind w:firstLine="200"/>
              <w:rPr>
                <w:rFonts w:ascii="仿宋" w:hAnsi="仿宋" w:eastAsia="仿宋" w:cs="仿宋"/>
                <w:sz w:val="28"/>
                <w:szCs w:val="28"/>
              </w:rPr>
            </w:pPr>
            <w:r>
              <w:rPr>
                <w:rFonts w:hint="eastAsia" w:ascii="仿宋" w:hAnsi="仿宋" w:eastAsia="仿宋" w:cs="仿宋"/>
                <w:sz w:val="28"/>
                <w:szCs w:val="28"/>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4595" w:type="dxa"/>
            <w:gridSpan w:val="2"/>
            <w:vAlign w:val="center"/>
          </w:tcPr>
          <w:p>
            <w:pPr>
              <w:adjustRightInd w:val="0"/>
              <w:snapToGrid w:val="0"/>
              <w:spacing w:line="480" w:lineRule="exact"/>
              <w:ind w:firstLine="200"/>
              <w:rPr>
                <w:rFonts w:ascii="仿宋" w:hAnsi="仿宋" w:eastAsia="仿宋"/>
                <w:sz w:val="28"/>
                <w:szCs w:val="28"/>
              </w:rPr>
            </w:pPr>
            <w:r>
              <w:rPr>
                <w:rFonts w:hint="eastAsia" w:ascii="仿宋" w:hAnsi="仿宋" w:eastAsia="仿宋" w:cs="仿宋"/>
                <w:sz w:val="28"/>
                <w:szCs w:val="28"/>
              </w:rPr>
              <w:t>账号：</w:t>
            </w:r>
          </w:p>
        </w:tc>
        <w:tc>
          <w:tcPr>
            <w:tcW w:w="4603" w:type="dxa"/>
            <w:vAlign w:val="center"/>
          </w:tcPr>
          <w:p>
            <w:pPr>
              <w:adjustRightInd w:val="0"/>
              <w:snapToGrid w:val="0"/>
              <w:spacing w:line="480" w:lineRule="exact"/>
              <w:ind w:firstLine="200"/>
              <w:rPr>
                <w:rFonts w:ascii="仿宋" w:hAnsi="仿宋" w:eastAsia="仿宋"/>
                <w:sz w:val="28"/>
                <w:szCs w:val="28"/>
              </w:rPr>
            </w:pPr>
            <w:r>
              <w:rPr>
                <w:rFonts w:hint="eastAsia" w:ascii="仿宋" w:hAnsi="仿宋" w:eastAsia="仿宋" w:cs="仿宋"/>
                <w:sz w:val="28"/>
                <w:szCs w:val="28"/>
              </w:rPr>
              <w:t>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4595" w:type="dxa"/>
            <w:gridSpan w:val="2"/>
            <w:vAlign w:val="center"/>
          </w:tcPr>
          <w:p>
            <w:pPr>
              <w:adjustRightInd w:val="0"/>
              <w:snapToGrid w:val="0"/>
              <w:spacing w:line="480" w:lineRule="exact"/>
              <w:ind w:firstLine="200"/>
              <w:rPr>
                <w:rFonts w:ascii="仿宋" w:hAnsi="仿宋" w:eastAsia="仿宋" w:cs="仿宋"/>
                <w:sz w:val="28"/>
                <w:szCs w:val="28"/>
              </w:rPr>
            </w:pPr>
            <w:r>
              <w:rPr>
                <w:rFonts w:hint="eastAsia" w:ascii="仿宋" w:hAnsi="仿宋" w:eastAsia="仿宋"/>
                <w:sz w:val="28"/>
              </w:rPr>
              <w:t>统一社会信用代码</w:t>
            </w:r>
            <w:r>
              <w:rPr>
                <w:rFonts w:hint="eastAsia" w:ascii="仿宋" w:hAnsi="仿宋" w:eastAsia="仿宋" w:cs="仿宋"/>
                <w:sz w:val="28"/>
                <w:szCs w:val="28"/>
              </w:rPr>
              <w:t>：</w:t>
            </w:r>
          </w:p>
        </w:tc>
        <w:tc>
          <w:tcPr>
            <w:tcW w:w="4603" w:type="dxa"/>
            <w:vAlign w:val="center"/>
          </w:tcPr>
          <w:p>
            <w:pPr>
              <w:adjustRightInd w:val="0"/>
              <w:snapToGrid w:val="0"/>
              <w:spacing w:line="480" w:lineRule="exact"/>
              <w:ind w:firstLine="200"/>
              <w:rPr>
                <w:rFonts w:ascii="仿宋" w:hAnsi="仿宋" w:eastAsia="仿宋"/>
                <w:sz w:val="28"/>
                <w:szCs w:val="28"/>
              </w:rPr>
            </w:pPr>
            <w:r>
              <w:rPr>
                <w:rFonts w:hint="eastAsia" w:ascii="仿宋" w:hAnsi="仿宋" w:eastAsia="仿宋"/>
                <w:sz w:val="28"/>
              </w:rPr>
              <w:t>统一社会信用代码</w:t>
            </w:r>
            <w:r>
              <w:rPr>
                <w:rFonts w:hint="eastAsia" w:ascii="仿宋" w:hAnsi="仿宋" w:eastAsia="仿宋" w:cs="仿宋"/>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4595" w:type="dxa"/>
            <w:gridSpan w:val="2"/>
            <w:vAlign w:val="center"/>
          </w:tcPr>
          <w:p>
            <w:pPr>
              <w:adjustRightInd w:val="0"/>
              <w:snapToGrid w:val="0"/>
              <w:spacing w:line="480" w:lineRule="exact"/>
              <w:ind w:firstLine="200"/>
              <w:rPr>
                <w:rFonts w:ascii="仿宋" w:hAnsi="仿宋" w:eastAsia="仿宋"/>
                <w:sz w:val="28"/>
                <w:szCs w:val="28"/>
              </w:rPr>
            </w:pPr>
            <w:r>
              <w:rPr>
                <w:rFonts w:hint="eastAsia" w:ascii="仿宋" w:hAnsi="仿宋" w:eastAsia="仿宋" w:cs="仿宋"/>
                <w:sz w:val="28"/>
                <w:szCs w:val="28"/>
              </w:rPr>
              <w:t>开户行地址：</w:t>
            </w:r>
          </w:p>
        </w:tc>
        <w:tc>
          <w:tcPr>
            <w:tcW w:w="4603" w:type="dxa"/>
            <w:vAlign w:val="center"/>
          </w:tcPr>
          <w:p>
            <w:pPr>
              <w:adjustRightInd w:val="0"/>
              <w:snapToGrid w:val="0"/>
              <w:spacing w:line="480" w:lineRule="exact"/>
              <w:ind w:firstLine="200"/>
              <w:rPr>
                <w:rFonts w:ascii="仿宋" w:hAnsi="仿宋" w:eastAsia="仿宋"/>
                <w:sz w:val="28"/>
                <w:szCs w:val="28"/>
              </w:rPr>
            </w:pPr>
            <w:r>
              <w:rPr>
                <w:rFonts w:hint="eastAsia" w:ascii="仿宋" w:hAnsi="仿宋" w:eastAsia="仿宋" w:cs="仿宋"/>
                <w:sz w:val="28"/>
                <w:szCs w:val="28"/>
              </w:rPr>
              <w:t>开户行地址：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4595" w:type="dxa"/>
            <w:gridSpan w:val="2"/>
            <w:vAlign w:val="center"/>
          </w:tcPr>
          <w:p>
            <w:pPr>
              <w:adjustRightInd w:val="0"/>
              <w:snapToGrid w:val="0"/>
              <w:spacing w:line="480" w:lineRule="exact"/>
              <w:ind w:firstLine="200"/>
              <w:rPr>
                <w:rFonts w:ascii="仿宋" w:hAnsi="仿宋" w:eastAsia="仿宋" w:cs="仿宋"/>
                <w:sz w:val="28"/>
                <w:szCs w:val="28"/>
              </w:rPr>
            </w:pPr>
            <w:r>
              <w:rPr>
                <w:rFonts w:hint="eastAsia" w:ascii="仿宋" w:hAnsi="仿宋" w:eastAsia="仿宋" w:cs="仿宋"/>
                <w:sz w:val="28"/>
                <w:szCs w:val="28"/>
              </w:rPr>
              <w:t>联系人：</w:t>
            </w:r>
          </w:p>
        </w:tc>
        <w:tc>
          <w:tcPr>
            <w:tcW w:w="4603" w:type="dxa"/>
            <w:vAlign w:val="center"/>
          </w:tcPr>
          <w:p>
            <w:pPr>
              <w:adjustRightInd w:val="0"/>
              <w:snapToGrid w:val="0"/>
              <w:spacing w:line="480" w:lineRule="exact"/>
              <w:ind w:firstLine="200"/>
              <w:rPr>
                <w:rFonts w:ascii="仿宋" w:hAnsi="仿宋" w:eastAsia="仿宋" w:cs="仿宋"/>
                <w:sz w:val="28"/>
                <w:szCs w:val="28"/>
              </w:rPr>
            </w:pPr>
            <w:r>
              <w:rPr>
                <w:rFonts w:hint="eastAsia" w:ascii="仿宋" w:hAnsi="仿宋" w:eastAsia="仿宋" w:cs="仿宋"/>
                <w:sz w:val="28"/>
                <w:szCs w:val="28"/>
              </w:rPr>
              <w:t>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4595" w:type="dxa"/>
            <w:gridSpan w:val="2"/>
            <w:vAlign w:val="center"/>
          </w:tcPr>
          <w:p>
            <w:pPr>
              <w:adjustRightInd w:val="0"/>
              <w:snapToGrid w:val="0"/>
              <w:spacing w:line="480" w:lineRule="exact"/>
              <w:ind w:firstLine="200"/>
              <w:rPr>
                <w:rFonts w:ascii="仿宋" w:hAnsi="仿宋" w:eastAsia="仿宋"/>
                <w:sz w:val="28"/>
                <w:szCs w:val="28"/>
              </w:rPr>
            </w:pPr>
            <w:r>
              <w:rPr>
                <w:rFonts w:hint="eastAsia" w:ascii="仿宋" w:hAnsi="仿宋" w:eastAsia="仿宋" w:cs="仿宋"/>
                <w:sz w:val="28"/>
                <w:szCs w:val="28"/>
              </w:rPr>
              <w:t>电话：</w:t>
            </w:r>
          </w:p>
        </w:tc>
        <w:tc>
          <w:tcPr>
            <w:tcW w:w="4603" w:type="dxa"/>
            <w:vAlign w:val="center"/>
          </w:tcPr>
          <w:p>
            <w:pPr>
              <w:adjustRightInd w:val="0"/>
              <w:snapToGrid w:val="0"/>
              <w:spacing w:line="480" w:lineRule="exact"/>
              <w:ind w:firstLine="200"/>
              <w:rPr>
                <w:rFonts w:ascii="仿宋" w:hAnsi="仿宋" w:eastAsia="仿宋"/>
                <w:sz w:val="28"/>
                <w:szCs w:val="28"/>
              </w:rPr>
            </w:pPr>
            <w:r>
              <w:rPr>
                <w:rFonts w:hint="eastAsia" w:ascii="仿宋" w:hAnsi="仿宋" w:eastAsia="仿宋" w:cs="仿宋"/>
                <w:sz w:val="28"/>
                <w:szCs w:val="28"/>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4595" w:type="dxa"/>
            <w:gridSpan w:val="2"/>
            <w:vAlign w:val="center"/>
          </w:tcPr>
          <w:p>
            <w:pPr>
              <w:adjustRightInd w:val="0"/>
              <w:snapToGrid w:val="0"/>
              <w:spacing w:line="480" w:lineRule="exact"/>
              <w:ind w:firstLine="200"/>
              <w:rPr>
                <w:rFonts w:ascii="仿宋" w:hAnsi="仿宋" w:eastAsia="仿宋"/>
                <w:sz w:val="28"/>
                <w:szCs w:val="28"/>
              </w:rPr>
            </w:pPr>
            <w:r>
              <w:rPr>
                <w:rFonts w:hint="eastAsia" w:ascii="仿宋" w:hAnsi="仿宋" w:eastAsia="仿宋" w:cs="仿宋"/>
                <w:sz w:val="28"/>
                <w:szCs w:val="28"/>
              </w:rPr>
              <w:t>传真：</w:t>
            </w:r>
          </w:p>
        </w:tc>
        <w:tc>
          <w:tcPr>
            <w:tcW w:w="4603" w:type="dxa"/>
            <w:vAlign w:val="center"/>
          </w:tcPr>
          <w:p>
            <w:pPr>
              <w:adjustRightInd w:val="0"/>
              <w:snapToGrid w:val="0"/>
              <w:spacing w:line="480" w:lineRule="exact"/>
              <w:ind w:firstLine="200"/>
              <w:rPr>
                <w:rFonts w:ascii="仿宋" w:hAnsi="仿宋" w:eastAsia="仿宋"/>
                <w:sz w:val="28"/>
                <w:szCs w:val="28"/>
              </w:rPr>
            </w:pPr>
            <w:r>
              <w:rPr>
                <w:rFonts w:hint="eastAsia" w:ascii="仿宋" w:hAnsi="仿宋" w:eastAsia="仿宋" w:cs="仿宋"/>
                <w:sz w:val="28"/>
                <w:szCs w:val="28"/>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4595" w:type="dxa"/>
            <w:gridSpan w:val="2"/>
            <w:vAlign w:val="center"/>
          </w:tcPr>
          <w:p>
            <w:pPr>
              <w:adjustRightInd w:val="0"/>
              <w:snapToGrid w:val="0"/>
              <w:spacing w:line="480" w:lineRule="exact"/>
              <w:ind w:firstLine="200"/>
              <w:rPr>
                <w:rFonts w:ascii="仿宋" w:hAnsi="仿宋" w:eastAsia="仿宋" w:cs="仿宋"/>
                <w:sz w:val="28"/>
                <w:szCs w:val="28"/>
              </w:rPr>
            </w:pPr>
            <w:r>
              <w:rPr>
                <w:rFonts w:hint="eastAsia" w:ascii="仿宋" w:hAnsi="仿宋" w:eastAsia="仿宋" w:cs="仿宋"/>
                <w:sz w:val="28"/>
                <w:szCs w:val="28"/>
              </w:rPr>
              <w:t>电子邮箱</w:t>
            </w:r>
            <w:r>
              <w:rPr>
                <w:rFonts w:ascii="仿宋" w:hAnsi="仿宋" w:eastAsia="仿宋" w:cs="仿宋"/>
                <w:sz w:val="28"/>
                <w:szCs w:val="28"/>
              </w:rPr>
              <w:t>:</w:t>
            </w:r>
          </w:p>
        </w:tc>
        <w:tc>
          <w:tcPr>
            <w:tcW w:w="4603" w:type="dxa"/>
            <w:vAlign w:val="center"/>
          </w:tcPr>
          <w:p>
            <w:pPr>
              <w:adjustRightInd w:val="0"/>
              <w:snapToGrid w:val="0"/>
              <w:spacing w:line="480" w:lineRule="exact"/>
              <w:ind w:firstLine="200"/>
              <w:rPr>
                <w:rFonts w:ascii="仿宋" w:hAnsi="仿宋" w:eastAsia="仿宋" w:cs="仿宋"/>
                <w:sz w:val="28"/>
                <w:szCs w:val="28"/>
              </w:rPr>
            </w:pPr>
            <w:r>
              <w:rPr>
                <w:rFonts w:hint="eastAsia" w:ascii="仿宋" w:hAnsi="仿宋" w:eastAsia="仿宋" w:cs="仿宋"/>
                <w:sz w:val="28"/>
                <w:szCs w:val="28"/>
              </w:rPr>
              <w:t>电子邮箱</w:t>
            </w:r>
            <w:r>
              <w:rPr>
                <w:rFonts w:ascii="仿宋" w:hAnsi="仿宋" w:eastAsia="仿宋" w:cs="仿宋"/>
                <w:sz w:val="28"/>
                <w:szCs w:val="28"/>
              </w:rPr>
              <w:t>:</w:t>
            </w:r>
          </w:p>
        </w:tc>
      </w:tr>
    </w:tbl>
    <w:p>
      <w:pPr>
        <w:rPr>
          <w:color w:val="FF0000"/>
        </w:rPr>
      </w:pPr>
    </w:p>
    <w:p>
      <w:pPr>
        <w:widowControl/>
        <w:rPr>
          <w:color w:val="FF0000"/>
        </w:rPr>
      </w:pPr>
      <w:r>
        <w:rPr>
          <w:color w:val="FF0000"/>
        </w:rPr>
        <w:br w:type="page"/>
      </w:r>
    </w:p>
    <w:tbl>
      <w:tblPr>
        <w:tblStyle w:val="37"/>
        <w:tblW w:w="10328" w:type="dxa"/>
        <w:jc w:val="center"/>
        <w:tblInd w:w="0" w:type="dxa"/>
        <w:tblLayout w:type="fixed"/>
        <w:tblCellMar>
          <w:top w:w="0" w:type="dxa"/>
          <w:left w:w="108" w:type="dxa"/>
          <w:bottom w:w="0" w:type="dxa"/>
          <w:right w:w="108" w:type="dxa"/>
        </w:tblCellMar>
      </w:tblPr>
      <w:tblGrid>
        <w:gridCol w:w="522"/>
        <w:gridCol w:w="966"/>
        <w:gridCol w:w="607"/>
        <w:gridCol w:w="2875"/>
        <w:gridCol w:w="705"/>
        <w:gridCol w:w="579"/>
        <w:gridCol w:w="1689"/>
        <w:gridCol w:w="2385"/>
      </w:tblGrid>
      <w:tr>
        <w:tblPrEx>
          <w:tblLayout w:type="fixed"/>
          <w:tblCellMar>
            <w:top w:w="0" w:type="dxa"/>
            <w:left w:w="108" w:type="dxa"/>
            <w:bottom w:w="0" w:type="dxa"/>
            <w:right w:w="108" w:type="dxa"/>
          </w:tblCellMar>
        </w:tblPrEx>
        <w:trPr>
          <w:trHeight w:val="435" w:hRule="atLeast"/>
          <w:jc w:val="center"/>
        </w:trPr>
        <w:tc>
          <w:tcPr>
            <w:tcW w:w="10328" w:type="dxa"/>
            <w:gridSpan w:val="8"/>
            <w:tcBorders>
              <w:top w:val="nil"/>
              <w:left w:val="nil"/>
              <w:bottom w:val="single" w:color="auto" w:sz="4" w:space="0"/>
              <w:right w:val="nil"/>
            </w:tcBorders>
            <w:shd w:val="clear" w:color="auto" w:fill="auto"/>
            <w:vAlign w:val="center"/>
          </w:tcPr>
          <w:p>
            <w:pPr>
              <w:widowControl/>
              <w:rPr>
                <w:rFonts w:ascii="仿宋" w:hAnsi="仿宋" w:eastAsia="仿宋" w:cs="Arial"/>
                <w:b/>
                <w:bCs/>
                <w:sz w:val="21"/>
                <w:szCs w:val="21"/>
                <w:lang w:eastAsia="zh-CN"/>
              </w:rPr>
            </w:pPr>
            <w:r>
              <w:rPr>
                <w:rFonts w:hint="eastAsia" w:ascii="仿宋" w:hAnsi="仿宋" w:eastAsia="仿宋" w:cs="Arial"/>
                <w:b/>
                <w:bCs/>
                <w:sz w:val="21"/>
                <w:szCs w:val="21"/>
                <w:lang w:eastAsia="zh-CN"/>
              </w:rPr>
              <w:t>附件</w:t>
            </w:r>
            <w:r>
              <w:rPr>
                <w:rFonts w:ascii="仿宋" w:hAnsi="仿宋" w:eastAsia="仿宋" w:cs="Arial"/>
                <w:b/>
                <w:bCs/>
                <w:sz w:val="21"/>
                <w:szCs w:val="21"/>
                <w:lang w:eastAsia="zh-CN"/>
              </w:rPr>
              <w:t>2</w:t>
            </w:r>
            <w:r>
              <w:rPr>
                <w:rFonts w:hint="eastAsia" w:ascii="仿宋" w:hAnsi="仿宋" w:eastAsia="仿宋" w:cs="Arial"/>
                <w:b/>
                <w:bCs/>
                <w:sz w:val="21"/>
                <w:szCs w:val="21"/>
                <w:lang w:eastAsia="zh-CN"/>
              </w:rPr>
              <w:t>：</w:t>
            </w:r>
            <w:r>
              <w:rPr>
                <w:rFonts w:ascii="仿宋" w:hAnsi="仿宋" w:eastAsia="仿宋" w:cs="Arial"/>
                <w:b/>
                <w:bCs/>
                <w:sz w:val="21"/>
                <w:szCs w:val="21"/>
                <w:lang w:eastAsia="zh-CN"/>
              </w:rPr>
              <w:t>2819AC</w:t>
            </w:r>
            <w:r>
              <w:rPr>
                <w:rFonts w:hint="eastAsia" w:ascii="仿宋" w:hAnsi="仿宋" w:eastAsia="仿宋" w:cs="Arial"/>
                <w:b/>
                <w:bCs/>
                <w:sz w:val="21"/>
                <w:szCs w:val="21"/>
                <w:lang w:eastAsia="zh-CN"/>
              </w:rPr>
              <w:t>海拔修正及其他特殊要求</w:t>
            </w:r>
          </w:p>
        </w:tc>
      </w:tr>
      <w:tr>
        <w:tblPrEx>
          <w:tblLayout w:type="fixed"/>
          <w:tblCellMar>
            <w:top w:w="0" w:type="dxa"/>
            <w:left w:w="108" w:type="dxa"/>
            <w:bottom w:w="0" w:type="dxa"/>
            <w:right w:w="108" w:type="dxa"/>
          </w:tblCellMar>
        </w:tblPrEx>
        <w:trPr>
          <w:trHeight w:val="266" w:hRule="atLeast"/>
          <w:jc w:val="center"/>
        </w:trPr>
        <w:tc>
          <w:tcPr>
            <w:tcW w:w="522" w:type="dxa"/>
            <w:tcBorders>
              <w:top w:val="nil"/>
              <w:left w:val="single" w:color="auto" w:sz="4" w:space="0"/>
              <w:bottom w:val="single" w:color="auto" w:sz="4" w:space="0"/>
              <w:right w:val="single" w:color="auto" w:sz="4" w:space="0"/>
            </w:tcBorders>
            <w:shd w:val="clear" w:color="000000" w:fill="C0C0C0"/>
            <w:vAlign w:val="center"/>
          </w:tcPr>
          <w:p>
            <w:pPr>
              <w:widowControl/>
              <w:jc w:val="center"/>
              <w:rPr>
                <w:rFonts w:ascii="仿宋" w:hAnsi="仿宋" w:eastAsia="仿宋" w:cs="Arial"/>
                <w:b/>
                <w:bCs/>
                <w:sz w:val="15"/>
                <w:szCs w:val="15"/>
                <w:lang w:eastAsia="zh-CN"/>
              </w:rPr>
            </w:pPr>
            <w:r>
              <w:rPr>
                <w:rFonts w:hint="eastAsia" w:ascii="仿宋" w:hAnsi="仿宋" w:eastAsia="仿宋" w:cs="Arial"/>
                <w:b/>
                <w:bCs/>
                <w:sz w:val="15"/>
                <w:szCs w:val="15"/>
                <w:lang w:eastAsia="zh-CN"/>
              </w:rPr>
              <w:t>序号</w:t>
            </w:r>
          </w:p>
        </w:tc>
        <w:tc>
          <w:tcPr>
            <w:tcW w:w="966" w:type="dxa"/>
            <w:tcBorders>
              <w:top w:val="nil"/>
              <w:left w:val="nil"/>
              <w:bottom w:val="single" w:color="auto" w:sz="4" w:space="0"/>
              <w:right w:val="single" w:color="auto" w:sz="4" w:space="0"/>
            </w:tcBorders>
            <w:shd w:val="clear" w:color="000000" w:fill="C0C0C0"/>
            <w:vAlign w:val="center"/>
          </w:tcPr>
          <w:p>
            <w:pPr>
              <w:widowControl/>
              <w:jc w:val="center"/>
              <w:rPr>
                <w:rFonts w:ascii="仿宋" w:hAnsi="仿宋" w:eastAsia="仿宋" w:cs="Arial"/>
                <w:b/>
                <w:bCs/>
                <w:sz w:val="15"/>
                <w:szCs w:val="15"/>
                <w:lang w:eastAsia="zh-CN"/>
              </w:rPr>
            </w:pPr>
            <w:r>
              <w:rPr>
                <w:rFonts w:ascii="仿宋" w:hAnsi="仿宋" w:eastAsia="仿宋" w:cs="Arial"/>
                <w:b/>
                <w:bCs/>
                <w:sz w:val="15"/>
                <w:szCs w:val="15"/>
                <w:lang w:eastAsia="zh-CN"/>
              </w:rPr>
              <w:t>采购申请</w:t>
            </w:r>
          </w:p>
        </w:tc>
        <w:tc>
          <w:tcPr>
            <w:tcW w:w="607" w:type="dxa"/>
            <w:tcBorders>
              <w:top w:val="nil"/>
              <w:left w:val="nil"/>
              <w:bottom w:val="single" w:color="auto" w:sz="4" w:space="0"/>
              <w:right w:val="single" w:color="auto" w:sz="4" w:space="0"/>
            </w:tcBorders>
            <w:shd w:val="clear" w:color="000000" w:fill="C0C0C0"/>
            <w:vAlign w:val="center"/>
          </w:tcPr>
          <w:p>
            <w:pPr>
              <w:widowControl/>
              <w:jc w:val="center"/>
              <w:rPr>
                <w:rFonts w:ascii="仿宋" w:hAnsi="仿宋" w:eastAsia="仿宋" w:cs="Arial"/>
                <w:b/>
                <w:bCs/>
                <w:sz w:val="15"/>
                <w:szCs w:val="15"/>
                <w:lang w:eastAsia="zh-CN"/>
              </w:rPr>
            </w:pPr>
            <w:r>
              <w:rPr>
                <w:rFonts w:ascii="仿宋" w:hAnsi="仿宋" w:eastAsia="仿宋" w:cs="Arial"/>
                <w:b/>
                <w:bCs/>
                <w:sz w:val="15"/>
                <w:szCs w:val="15"/>
                <w:lang w:eastAsia="zh-CN"/>
              </w:rPr>
              <w:t>行</w:t>
            </w:r>
            <w:r>
              <w:rPr>
                <w:rFonts w:hint="eastAsia" w:ascii="仿宋" w:hAnsi="仿宋" w:eastAsia="仿宋" w:cs="Arial"/>
                <w:b/>
                <w:bCs/>
                <w:sz w:val="15"/>
                <w:szCs w:val="15"/>
                <w:lang w:eastAsia="zh-CN"/>
              </w:rPr>
              <w:t>号</w:t>
            </w:r>
          </w:p>
        </w:tc>
        <w:tc>
          <w:tcPr>
            <w:tcW w:w="2875" w:type="dxa"/>
            <w:tcBorders>
              <w:top w:val="nil"/>
              <w:left w:val="nil"/>
              <w:bottom w:val="single" w:color="auto" w:sz="4" w:space="0"/>
              <w:right w:val="single" w:color="auto" w:sz="4" w:space="0"/>
            </w:tcBorders>
            <w:shd w:val="clear" w:color="000000" w:fill="C0C0C0"/>
            <w:vAlign w:val="center"/>
          </w:tcPr>
          <w:p>
            <w:pPr>
              <w:widowControl/>
              <w:jc w:val="center"/>
              <w:rPr>
                <w:rFonts w:ascii="仿宋" w:hAnsi="仿宋" w:eastAsia="仿宋" w:cs="Arial"/>
                <w:b/>
                <w:bCs/>
                <w:sz w:val="15"/>
                <w:szCs w:val="15"/>
                <w:lang w:eastAsia="zh-CN"/>
              </w:rPr>
            </w:pPr>
            <w:r>
              <w:rPr>
                <w:rFonts w:ascii="仿宋" w:hAnsi="仿宋" w:eastAsia="仿宋" w:cs="Arial"/>
                <w:b/>
                <w:bCs/>
                <w:sz w:val="15"/>
                <w:szCs w:val="15"/>
                <w:lang w:eastAsia="zh-CN"/>
              </w:rPr>
              <w:t>物料描述</w:t>
            </w:r>
          </w:p>
        </w:tc>
        <w:tc>
          <w:tcPr>
            <w:tcW w:w="705" w:type="dxa"/>
            <w:tcBorders>
              <w:top w:val="nil"/>
              <w:left w:val="nil"/>
              <w:bottom w:val="single" w:color="auto" w:sz="4" w:space="0"/>
              <w:right w:val="single" w:color="auto" w:sz="4" w:space="0"/>
            </w:tcBorders>
            <w:shd w:val="clear" w:color="000000" w:fill="C0C0C0"/>
            <w:vAlign w:val="center"/>
          </w:tcPr>
          <w:p>
            <w:pPr>
              <w:widowControl/>
              <w:jc w:val="center"/>
              <w:rPr>
                <w:rFonts w:ascii="仿宋" w:hAnsi="仿宋" w:eastAsia="仿宋" w:cs="Arial"/>
                <w:b/>
                <w:bCs/>
                <w:sz w:val="15"/>
                <w:szCs w:val="15"/>
                <w:lang w:eastAsia="zh-CN"/>
              </w:rPr>
            </w:pPr>
            <w:r>
              <w:rPr>
                <w:rFonts w:ascii="仿宋" w:hAnsi="仿宋" w:eastAsia="仿宋" w:cs="Arial"/>
                <w:b/>
                <w:bCs/>
                <w:sz w:val="15"/>
                <w:szCs w:val="15"/>
                <w:lang w:eastAsia="zh-CN"/>
              </w:rPr>
              <w:t>数量</w:t>
            </w:r>
          </w:p>
        </w:tc>
        <w:tc>
          <w:tcPr>
            <w:tcW w:w="579" w:type="dxa"/>
            <w:tcBorders>
              <w:top w:val="nil"/>
              <w:left w:val="nil"/>
              <w:bottom w:val="single" w:color="auto" w:sz="4" w:space="0"/>
              <w:right w:val="single" w:color="auto" w:sz="4" w:space="0"/>
            </w:tcBorders>
            <w:shd w:val="clear" w:color="000000" w:fill="C0C0C0"/>
            <w:vAlign w:val="center"/>
          </w:tcPr>
          <w:p>
            <w:pPr>
              <w:widowControl/>
              <w:jc w:val="center"/>
              <w:rPr>
                <w:rFonts w:ascii="仿宋" w:hAnsi="仿宋" w:eastAsia="仿宋" w:cs="Arial"/>
                <w:b/>
                <w:bCs/>
                <w:sz w:val="15"/>
                <w:szCs w:val="15"/>
                <w:lang w:eastAsia="zh-CN"/>
              </w:rPr>
            </w:pPr>
            <w:r>
              <w:rPr>
                <w:rFonts w:ascii="仿宋" w:hAnsi="仿宋" w:eastAsia="仿宋" w:cs="Arial"/>
                <w:b/>
                <w:bCs/>
                <w:sz w:val="15"/>
                <w:szCs w:val="15"/>
                <w:lang w:eastAsia="zh-CN"/>
              </w:rPr>
              <w:t>单位</w:t>
            </w:r>
          </w:p>
        </w:tc>
        <w:tc>
          <w:tcPr>
            <w:tcW w:w="1689" w:type="dxa"/>
            <w:tcBorders>
              <w:top w:val="nil"/>
              <w:left w:val="nil"/>
              <w:bottom w:val="single" w:color="auto" w:sz="4" w:space="0"/>
              <w:right w:val="single" w:color="auto" w:sz="4" w:space="0"/>
            </w:tcBorders>
            <w:shd w:val="clear" w:color="000000" w:fill="C0C0C0"/>
            <w:vAlign w:val="center"/>
          </w:tcPr>
          <w:p>
            <w:pPr>
              <w:widowControl/>
              <w:jc w:val="center"/>
              <w:rPr>
                <w:rFonts w:ascii="仿宋" w:hAnsi="仿宋" w:eastAsia="仿宋" w:cs="Arial"/>
                <w:b/>
                <w:bCs/>
                <w:sz w:val="15"/>
                <w:szCs w:val="15"/>
                <w:lang w:eastAsia="zh-CN"/>
              </w:rPr>
            </w:pPr>
            <w:r>
              <w:rPr>
                <w:rFonts w:ascii="仿宋" w:hAnsi="仿宋" w:eastAsia="仿宋" w:cs="Arial"/>
                <w:b/>
                <w:bCs/>
                <w:sz w:val="15"/>
                <w:szCs w:val="15"/>
                <w:lang w:eastAsia="zh-CN"/>
              </w:rPr>
              <w:t>技术规范书ID</w:t>
            </w:r>
          </w:p>
        </w:tc>
        <w:tc>
          <w:tcPr>
            <w:tcW w:w="2385" w:type="dxa"/>
            <w:tcBorders>
              <w:top w:val="nil"/>
              <w:left w:val="nil"/>
              <w:bottom w:val="single" w:color="auto" w:sz="4" w:space="0"/>
              <w:right w:val="single" w:color="auto" w:sz="4" w:space="0"/>
            </w:tcBorders>
            <w:shd w:val="clear" w:color="000000" w:fill="C0C0C0"/>
            <w:vAlign w:val="center"/>
          </w:tcPr>
          <w:p>
            <w:pPr>
              <w:widowControl/>
              <w:jc w:val="center"/>
              <w:rPr>
                <w:rFonts w:ascii="仿宋" w:hAnsi="仿宋" w:eastAsia="仿宋" w:cs="Arial"/>
                <w:sz w:val="15"/>
                <w:szCs w:val="15"/>
                <w:lang w:eastAsia="zh-CN"/>
              </w:rPr>
            </w:pPr>
            <w:r>
              <w:rPr>
                <w:rFonts w:hint="eastAsia" w:ascii="仿宋" w:hAnsi="仿宋" w:eastAsia="仿宋" w:cs="Arial"/>
                <w:b/>
                <w:bCs/>
                <w:sz w:val="15"/>
                <w:szCs w:val="15"/>
                <w:lang w:eastAsia="zh-CN"/>
              </w:rPr>
              <w:t>特殊要求</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0440016341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1230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10kV变压器,100kVA,普通,硅钢片,油浸</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5266-500007392-00008</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0440016331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10kV变压器,1250kVA,普通,硅钢片,干式</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5266-500007398-00004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海拔修正5000米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170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10kV变压器,400kVA,普通,硅钢片,干式</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5216-500007421-00002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1180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10kV变压器,800kVA,普通,硅钢片,干式</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9915-500007414-00002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0440016016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10kV电缆中间接头,3×120,直通接头,冷缩,铜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海拔修正4500米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0440016341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10kV电缆中间接头,3×120,直通接头,冷缩,铜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0440016341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10kV电缆中间接头,3×150,直通接头,冷缩,铜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8</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0440016035</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230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10kV电缆中间接头,3×240,直通接头,冷缩,铜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0440016341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1200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10kV电缆中间接头,3×240,直通接头,冷缩,铜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0440016035</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330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10kV电缆中间接头,3×300,直通接头,冷缩,铝</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49</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11</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0440016035</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200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10kV电缆中间接头,3×300,直通接头,冷缩,铜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188</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0440016322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810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10kV电缆中间接头,3×300,直通接头,冷缩,铜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13</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0440016341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1190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10kV电缆中间接头,3×300,直通接头,冷缩,铜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37</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14</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0440016341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1180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10kV电缆中间接头,3×70,直通接头,冷缩,铜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15</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0440015632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190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10kV电缆终端,3×120,户内终端,冷缩,铜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海拔修正4500米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16</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0440015688</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10kV电缆终端,3×120,户内终端,冷缩,铜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17</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0440015949</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490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10kV电缆终端,3×120,户内终端,冷缩,铜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18</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930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10kV电缆终端,3×120,户内终端,冷缩,铜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19</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0440016016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270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10kV电缆终端,3×120,户内终端,冷缩,铜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8</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海拔修正4500米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20</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0440016035</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260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10kV电缆终端,3×120,户内终端,冷缩,铜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18</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21</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0440016341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1170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10kV电缆终端,3×120,户内终端,冷缩,铜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22</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0440015632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10kV电缆终端,3×120,户外终端,冷缩,铜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海拔修正4500米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23</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0440015688</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340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10kV电缆终端,3×120,户外终端,冷缩,铜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24</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0440015949</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500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10kV电缆终端,3×120,户外终端,冷缩,铜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25</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940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10kV电缆终端,3×120,户外终端,冷缩,铜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26</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10kV电缆终端,3×120,户外终端,冷缩,铜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27</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0440016035</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270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10kV电缆终端,3×120,户外终端,冷缩,铜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13</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10kV电缆终端,3×120,户外终端,冷缩,铜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29</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370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10kV电缆终端,3×120,户外终端,冷缩,铜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30</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0440016322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800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10kV电缆终端,3×120,户外终端,冷缩,铜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31</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0440016341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1160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10kV电缆终端,3×120,户外终端,冷缩,铜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32</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0440015632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240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10kV电缆终端,3×150,户内终端,冷缩,铜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海拔修正4500米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33</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0440016035</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10kV电缆终端,3×150,户内终端,冷缩,铜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34</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0440016341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1150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10kV电缆终端,3×150,户内终端,冷缩,铜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35</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0440015632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170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10kV电缆终端,3×150,户外终端,冷缩,铜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海拔修正4500米，工程实际需要。</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36</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0440015688</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10kV电缆终端,3×150,户外终端,冷缩,铜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37</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960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10kV电缆终端,3×150,户外终端,冷缩,铜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38</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0440016016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290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10kV电缆终端,3×150,户外终端,冷缩,铜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海拔修正4500米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39</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0440016035</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240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10kV电缆终端,3×150,户外终端,冷缩,铜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40</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600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10kV电缆终端,3×150,户外终端,冷缩,铜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41</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0440016341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1140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10kV电缆终端,3×150,户外终端,冷缩,铜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42</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0440015632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10kV电缆终端,3×240,户内终端,冷缩,铜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海拔修正4500米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43</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0440015688</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10kV电缆终端,3×240,户内终端,冷缩,铜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44</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970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10kV电缆终端,3×240,户内终端,冷缩,铜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45</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0440016016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10kV电缆终端,3×240,户内终端,冷缩,铜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海拔修正4500米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46</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0440016035</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10kV电缆终端,3×240,户内终端,冷缩,铜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47</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0440016331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600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10kV电缆终端,3×240,户内终端,冷缩,铜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海拔修正5000米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48</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0440016341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1130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10kV电缆终端,3×240,户内终端,冷缩,铜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49</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0440015688</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660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10kV电缆终端,3×240,户外终端,冷缩,铜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50</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10kV电缆终端,3×240,户外终端,冷缩,铜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51</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0440016016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300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10kV电缆终端,3×240,户外终端,冷缩,铜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海拔修正4500米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52</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0440016035</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10kV电缆终端,3×240,户外终端,冷缩,铜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53</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660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10kV电缆终端,3×240,户外终端,冷缩,铜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8</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54</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0440016322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790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10kV电缆终端,3×240,户外终端,冷缩,铜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8</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55</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0440016331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590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10kV电缆终端,3×240,户外终端,冷缩,铜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海拔修正5000米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56</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0440016341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1120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10kV电缆终端,3×240,户外终端,冷缩,铜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57</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0440016035</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10kV电缆终端,3×300,户内终端,冷缩,铝</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58</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0440015688</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10kV电缆终端,3×300,户内终端,冷缩,铜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59</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1000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10kV电缆终端,3×300,户内终端,冷缩,铜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14</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60</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0440016016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10kV电缆终端,3×300,户内终端,冷缩,铜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海拔修正4500米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61</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0440016035</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190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10kV电缆终端,3×300,户内终端,冷缩,铜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218</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62</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10kV电缆终端,3×300,户内终端,冷缩,铜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63</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0440016341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1110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10kV电缆终端,3×300,户内终端,冷缩,铜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64</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0440016035</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10kV电缆终端,3×300,户外终端,冷缩,铝</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65</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0440015688</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640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10kV电缆终端,3×300,户外终端,冷缩,铜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66</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10kV电缆终端,3×300,户外终端,冷缩,铜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34</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67</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0440016016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330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10kV电缆终端,3×300,户外终端,冷缩,铜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海拔修正4500米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68</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0440016035</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10kV电缆终端,3×300,户外终端,冷缩,铜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69</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670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10kV电缆终端,3×300,户外终端,冷缩,铜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70</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0440016322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10kV电缆终端,3×300,户外终端,冷缩,铜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71</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0440016341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1100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10kV电缆终端,3×300,户外终端,冷缩,铜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72</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0440016322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770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10kV电缆终端,3×300,设备终端,预制,铜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73</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0440015944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10kV电缆终端,3×35,户内终端,冷缩,铜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74</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900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10kV电缆终端,3×35,户内终端,冷缩,铜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75</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10kV电缆终端,3×35,户内终端,冷缩,铜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76</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0440015944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10kV电缆终端,3×35,户外终端,冷缩,铜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77</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0440016322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760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10kV电缆终端,3×400,户内终端,冷缩,铜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24</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78</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0440015632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160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10kV电缆终端,3×400,户外终端,冷缩,铜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海拔修正4500米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79</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10kV电缆终端,3×70,户内终端,冷缩,铝</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80</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0440015632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10kV电缆终端,3×70,户内终端,冷缩,铜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海拔修正4500米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81</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0440015688</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10kV电缆终端,3×70,户内终端,冷缩,铜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82</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10kV电缆终端,3×70,户内终端,冷缩,铜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83</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0440016035</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290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10kV电缆终端,3×70,户内终端,冷缩,铜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48</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84</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640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10kV电缆终端,3×70,户内终端,冷缩,铜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85</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0440016341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1090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10kV电缆终端,3×70,户内终端,冷缩,铜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34</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86</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0440015632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10kV电缆终端,3×70,户外终端,冷缩,铜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海拔修正4500米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87</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0440015688</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670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10kV电缆终端,3×70,户外终端,冷缩,铜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88</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0440016035</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10kV电缆终端,3×70,户外终端,冷缩,铜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89</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630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10kV电缆终端,3×70,户外终端,冷缩,铜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90</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360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10kV电缆终端,3×70,户外终端,冷缩,铜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91</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0440016341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10kV电缆终端,3×70,户外终端,冷缩,铜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23</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9906-500073469-00004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92</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0440015688</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10kV三相隔离开关,630A,20kA,手动双柱立开式,不接地</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组</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5216-500002150-00002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海拔修正4000米，配置绝缘护套</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93</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0440015949</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10kV三相隔离开关,630A,20kA,手动双柱立开式,不接地</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组</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5216-500002150-00002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94</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200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10kV三相隔离开关,630A,20kA,手动双柱立开式,不接地</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685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组</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5216-500002150-00001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海拔修正4000米，配置绝缘护套</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95</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0440016016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460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10kV三相隔离开关,630A,20kA,手动双柱立开式,不接地</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80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组</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5216-500002150-00002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海拔修正4500米,配置绝缘护套</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96</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10kV三相隔离开关,630A,20kA,手动双柱立开式,不接地</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166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组</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5216-500002150-00002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海拔修正4000米,配置绝缘护套</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97</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10kV三相隔离开关,630A,20kA,手动双柱立开式,不接地</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18</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组</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5216-500002150-00002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低压业扩物资，海拔修正4000米，配置绝缘护套。</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98</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0440016322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10kV三相隔离开关,630A,20kA,手动双柱立开式,不接地</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组</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5216-500002150-00001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海拔修正为4000米，配绝缘护套。</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0440016331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10kV三相隔离开关,630A,20kA,手动双柱立开式,不接地</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37</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组</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5216-500002150-00002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海拔修正为5000米，配绝缘护罩</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100</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0440016341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1060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10kV三相隔离开关,630A,20kA,手动双柱立开式,不接地</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组</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5216-500002150-00001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101</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0440016341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1070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10kV三相隔离开关,630A,20kA,手动双柱立开式,不接地</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152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组</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5216-500002150-00002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102</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0440015688</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10kV箱式变电站,400kVA,欧式,硅钢片,普通,有环网柜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5216-500003056-00050</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103</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0440015688</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700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10kV箱式变电站,400kVA,欧式,硅钢片,普通,有环网柜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5216-500003056-00051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104</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10kV箱式变电站,400kVA,欧式,硅钢片,普通,有环网柜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5266-500003056-00009</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105</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10kV箱式变电站,400kVA,欧式,硅钢片,普通,有环网柜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5266-500003056-00009</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106</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700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10kV箱式变电站,400kVA,欧式,硅钢片,普通,有环网柜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5266-500003056-00009</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107</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0440015688</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690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10kV箱式变电站,630kVA,欧式,硅钢片,普通,有环网柜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5216-500003056-00050</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108</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10kV箱式变电站,630kVA,欧式,硅钢片,普通,有环网柜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5266-500003056-00009</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109</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10kV箱式变电站,630kVA,欧式,硅钢片,普通,有环网柜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5266-500003056-00009</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110</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10kV箱式变电站,630kVA,欧式,硅钢片,普通,有环网柜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5266-500003056-00009</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111</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10kV箱式变电站,630kVA,欧式,硅钢片,普通,有环网柜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5266-500003056-00009</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112</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10kV柱上变压器台成套设备,DZA-2-GX,50kVA,15m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9915-500139864-00001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113</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10kV柱上变压器台成套设备,DZA-2-GX,50kVA,15m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9915-500139864-00001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114</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0440015688</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10kV柱上变压器台成套设备,ZA-1-CX,100kVA,12m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9915-500134519-00002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115</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0440015949</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10kV柱上变压器台成套设备,ZA-1-CX,100kVA,12m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9915-500134519-00004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116</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10kV柱上变压器台成套设备,ZA-1-CX,100kVA,15m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9915-500134493-00016</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117</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10kV柱上变压器台成套设备,ZA-1-CX,100kVA,15m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9915-500134493-00016</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118</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0440015949</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330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10kV柱上变压器台成套设备,ZA-1-CX,200kVA,12m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9915-500134509-00011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119</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130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10kV柱上变压器台成套设备,ZA-1-CX,200kVA,12m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9906-500008511-00158</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120</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0440015949</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370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10kV柱上变压器台成套设备,ZA-1-CX,200kVA,15m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9915-500134495-00042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121</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160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10kV柱上变压器台成套设备,ZA-1-CX,200kVA,15m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9915-500134495-00042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122</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0440016016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10kV柱上变压器台成套设备,ZA-1-CX,200kVA,15m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9915-500134495-00037</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海拔修正为4500米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123</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10kV柱上变压器台成套设备,ZA-1-CX,200kVA,15m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9915-500134495-00044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124</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0440016341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10kV柱上变压器台成套设备,ZA-1-CX,200kVA,15m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9915-500134495-00036</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125</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390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10kV柱上变压器台成套设备,ZA-1-CX,400(125)kVA,15m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9915-500134815-00001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126</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0440015949</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10kV柱上变压器台成套设备,ZA-1-CX,400kVA,12m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9915-500134500-00009</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127</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140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10kV柱上变压器台成套设备,ZA-1-CX,400kVA,12m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9915-500134500-00009</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128</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0440015949</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360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10kV柱上变压器台成套设备,ZA-1-CX,400kVA,15m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9915-500134504-00010</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129</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170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10kV柱上变压器台成套设备,ZA-1-CX,400kVA,15m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17</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9915-500134504-00003</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130</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0440016341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1040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10kV柱上变压器台成套设备,ZA-1-CX,400kVA,15m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9915-500134504-00002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131</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0440015688</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300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10kV柱上变压器台成套设备,ZA-1-CX,50kVA,12m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9906-500008511-00156</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132</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0440015949</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290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10kV柱上变压器台成套设备,ZA-1-CX,50kVA,12m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9906-500008511-00148</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133</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10kV柱上变压器台成套设备,ZA-1-CX,50kVA,12m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9906-500008511-00148</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134</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0440015949</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340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10kV柱上变压器台成套设备,ZA-1-ZX,100kVA,12m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9915-500134511-00009</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135</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10kV柱上变压器台成套设备,ZA-1-ZX,100kVA,12m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9915-500134511-00009</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136</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10kV柱上变压器台成套设备,ZA-1-ZX,100kVA,12m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9915-500134511-00009</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137</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0440016322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740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10kV柱上变压器台成套设备,ZA-1-ZX,100kVA,12m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9906-500008511-00141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138</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0440016331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570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10kV柱上变压器台成套设备,ZA-1-ZX,100kVA,12m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9906-500008511-00161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海拔修正为5000米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139</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10kV柱上变压器台成套设备,ZA-1-ZX,100kVA,15m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9915-500134520-00004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140</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130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10kV柱上变压器台成套设备,ZA-1-ZX,100kVA,15m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9915-500134520-00004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141</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0440016322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730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10kV柱上变压器台成套设备,ZA-1-ZX,100kVA,15m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9906-500008511-00141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142</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0440015688</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290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10kV柱上变压器台成套设备,ZA-1-ZX,200kVA,12m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9915-500134515-00005</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143</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0440015949</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390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10kV柱上变压器台成套设备,ZA-1-ZX,200kVA,12m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9915-500134515-00010</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144</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10kV柱上变压器台成套设备,ZA-1-ZX,200kVA,12m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9915-500134515-00010</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145</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140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10kV柱上变压器台成套设备,ZA-1-ZX,200kVA,12m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9915-500134515-00012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146</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0440016322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10kV柱上变压器台成套设备,ZA-1-ZX,200kVA,12m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9906-500008511-00142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147</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0440015949</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10kV柱上变压器台成套设备,ZA-1-ZX,200kVA,15m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9915-500134512-00010</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148</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10kV柱上变压器台成套设备,ZA-1-ZX,200kVA,15m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34</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9915-500134512-00010</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149</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10kV柱上变压器台成套设备,ZA-1-ZX,200kVA,15m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9915-500134512-00012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150</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0440016322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10kV柱上变压器台成套设备,ZA-1-ZX,200kVA,15m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9906-500008511-00142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151</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0440015688</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260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10kV柱上变压器台成套设备,ZA-1-ZX,400kVA,12m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9915-500134505-00002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152</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0440015949</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300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10kV柱上变压器台成套设备,ZA-1-ZX,400kVA,12m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9915-500134505-00009</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153</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10kV柱上变压器台成套设备,ZA-1-ZX,400kVA,12m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9915-500134505-00011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154</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0440016341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1030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10kV柱上变压器台成套设备,ZA-1-ZX,400kVA,12m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9915-500134505-00001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155</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0440015949</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10kV柱上变压器台成套设备,ZA-1-ZX,400kVA,15m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9915-500134497-00039</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156</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10kV柱上变压器台成套设备,ZA-1-ZX,400kVA,15m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9915-500134497-00039</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157</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0440016016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10kV柱上变压器台成套设备,ZA-1-ZX,400kVA,15m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9915-500134497-00034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海拔修正为4500米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158</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160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10kV柱上变压器台成套设备,ZA-1-ZX,400kVA,15m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9915-500134497-00041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159</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10kV柱上变压器台成套设备,ZA-1-ZX,400kVA,15m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9915-500134497-00041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160</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0440016322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700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10kV柱上变压器台成套设备,ZA-1-ZX,400kVA,15m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9906-500008511-00142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161</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0440015688</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10kV柱上变压器台成套设备,ZA-1-ZX,50kVA,12m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9906-500008511-00165</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162</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0440015949</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400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10kV柱上变压器台成套设备,ZA-1-ZX,50kVA,12m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9906-500008511-00161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163</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10kV柱上变压器台成套设备,ZA-1-ZX,50kVA,12m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9906-500008511-00161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164</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0440016322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690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10kV柱上变压器台成套设备,ZA-1-ZX,50kVA,12m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9906-500008511-00141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165</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0440016331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560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10kV柱上变压器台成套设备,ZA-1-ZX,50kVA,12m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8</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9906-500008511-00161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海拔修正为5000米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166</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0440016016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10kV柱上变压器台成套设备,ZA-1-ZX,50kVA,15m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9906-500008511-00141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海拔修正为4500米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167</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0440016322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10kV柱上变压器台成套设备,ZA-1-ZX,50kVA,15m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8</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9906-500008511-00141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168</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0440015688</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770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10kV柱上变压器台成套设备,ZA-2,单相变30kVA,12m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9906-500008511-00256</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169</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10kV柱上变压器台成套设备,ZA-2,单相变30kVA,12m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9906-500008511-00256</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170</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0440016331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10kV柱上变压器台成套设备,ZA-2,单相变30kVA,12m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9906-500008511-00255</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海拔修正为5000米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171</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0440016341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10kV柱上变压器台成套设备,ZA-2,单相变30kVA,12m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9906-500008511-00256</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172</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340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1kV电缆终端,4×120,户外终端,冷缩,铜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9906-500132754-00001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173</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1kV电缆终端,4×240,户外终端,冷缩,铜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9906-500132754-00001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174</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1kV电缆终端,4×240,户外终端,冷缩,铜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9906-500132754-00001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175</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1kV电缆终端,4×95,户外终端,冷缩,铜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9906-500132754-00001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176</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0440015918</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低压电力电缆,YJLV,铝,16,2芯,ZC,无铠装,普通</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千米</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9906-500108894-00001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177</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低压电力电缆,YJLV,铝,16,2芯,ZC,无铠装,普通</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千米</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9906-500108894-00001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178</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0440015918</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低压电力电缆,YJLV,铝,35,4芯,ZC,无铠装,普通</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千米</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9906-500108894-00001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179</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低压电力电缆,YJLV,铝,35,4芯,ZC,无铠装,普通</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千米</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9906-500108894-00001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180</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低压电力电缆,YJV,铜,120,4芯,ZC,22,普通</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1.7</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千米</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9906-500108894-00001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181</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0440015918</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低压电力电缆,YJV,铜,35,4芯,ZC,22,普通</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千米</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9906-500108894-00001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182</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300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低压电力电缆,YJV,铜,50,4芯,ZC,22,普通</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千米</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9906-500108894-00001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183</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330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低压电力电缆,YJV,铜,50,4芯,ZC,无铠装,普通</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千米</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9906-500108894-00001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184</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290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低压电力电缆,YJV,铜,70,4芯,ZC,22,普通</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1.7</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千米</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9906-500108894-00001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185</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0440015993</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640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低压电力电缆,YJY,铜,10,2芯,ZC,23,普通</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千米</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28GH-500129362-00001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根据工程实际需求配置</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186</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0440015993</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低压电力电缆,YJY,铜,10,4芯,ZC,23,普通</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千米</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28GH-500129362-00001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根据工程实际需求配置</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187</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0440015993</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低压电力电缆,YJY,铜,120/70,3+1芯,ZC,23,普通</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千米</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28GH-500129362-00001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根据工程实际需求配置</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188</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0440015993</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低压电力电缆,YJY,铜,150,3芯,ZC,23,普通</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千米</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28GH-500129362-00001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根据工程实际需求配置</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189</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0440015993</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700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低压电力电缆,YJY,铜,150/95,3+1芯,ZC,23,普通</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千米</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28GH-500129362-00001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根据工程实际需求配置</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190</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0440015993</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770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低压电力电缆,YJY,铜,16,4芯,ZC,23,普通</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千米</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28GH-500129362-00001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根据工程实际需求配置</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191</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0440015993</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690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低压电力电缆,YJY,铜,185/95,3+1芯,ZC,23,普通</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千米</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28GH-500129362-00001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根据工程实际需求配置</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192</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0440015993</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低压电力电缆,YJY,铜,240/120,3+1芯,ZC,23,普通</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千米</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28GH-500129362-00001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根据工程实际需求配置</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193</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0440015993</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760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低压电力电缆,YJY,铜,25/16,3+1芯,ZC,23,普通</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8</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千米</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28GH-500129362-00001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根据工程实际需求配置</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194</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0440015993</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670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低压电力电缆,YJY,铜,300,4芯,ZC,23,普通</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千米</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28GH-500129362-00001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根据工程实际需求配置</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195</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0440015993</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630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低压电力电缆,YJY,铜,35,2芯,ZC,23,普通</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千米</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28GH-500129362-00001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根据工程实际需求配置</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196</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0440015993</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低压电力电缆,YJY,铜,35/16,3+1芯,ZC,23,普通</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8</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千米</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28GH-500129362-00001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根据工程实际需求配置</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197</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0440015993</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低压电力电缆,YJY,铜,4,4芯,ZC,23,普通</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千米</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28GH-500129362-00001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根据工程实际需求配置</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198</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0440015993</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740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低压电力电缆,YJY,铜,50/25,3+1芯,ZC,23,普通</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千米</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28GH-500129362-00001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根据工程实际需求配置</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199</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0440015993</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660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低压电力电缆,YJY,铜,6,4芯,NH,23,NH</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千米</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28GH-500129362-00001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根据工程实际需求配置</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200</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0440015993</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790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低压电力电缆,YJY,铜,6,4芯,ZC,23,普通</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千米</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28GH-500129362-00001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根据工程实际需求配置</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201</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0440015993</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800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低压电力电缆,YJY,铜,6,5芯,ZA,23,WDZA</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千米</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28GH-500129362-00001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根据工程实际需求配置</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202</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0440015993</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低压电力电缆,YJY,铜,70,2芯,ZC,23,普通</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千米</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28GH-500129362-00001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根据工程实际需求配置</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203</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0440015993</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730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低压电力电缆,YJY,铜,70/35,3+1芯,ZC,23,普通</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千米</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28GH-500129362-00001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根据工程实际需求配置</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204</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0440015993</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低压电力电缆,YJY,铜,95/50,3+1芯,ZC,23,普通</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千米</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28GH-500129362-00001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根据工程实际需求配置</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205</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0440016341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600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电缆分支箱,AC10kV,不带开关,二路,630A</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13</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9906-500056940-00003</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206</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400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电缆分支箱,AC400V,刀熔开关,四路,400A</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300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9906-500021617-00016</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207</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260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电力电缆,AC10kV,YJV,120,3,22,ZC,无阻水</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千米</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9906-500030091-00003</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208</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270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电力电缆,AC10kV,YJV,70,3,22,ZC,无阻水</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千米</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9906-500030091-00003</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209</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0440016123</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电力电缆,AC10kV,YJV,70,3,无铠装,ZC,无阻水</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千米</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9906-500030091-00003</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非配电网物资</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210</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蝶式绝缘子,ED-1</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1840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9906-500017324-00005</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211</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200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钢绞线,1×19-11.5-1270-B,80,镀锌</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13.4</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吨</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9906-500059246-00003</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212</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0440016322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430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高压开关柜,AC10kV,分段断路器柜,小车式,1250A,31.5kA,真空</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9915-500002588-00003</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213</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0440016322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高压开关柜,AC10kV,分段断路器柜,小车式,630A,20kA,真空</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9915-500002511-00001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214</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0440016322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高压开关柜,AC10kV,分段隔离柜,小车式,1250A,无开关,无</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9915-500099479-00003</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215</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0440016322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400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高压开关柜,AC10kV,分段隔离柜,小车式,630A,无开关,无</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9915-500121764-00002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216</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1140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高压开关柜,AC10kV,进线开关柜,小车式,1250A,25kA,真空</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9915-500002571-00008</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217</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0440016322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390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高压开关柜,AC10kV,进线开关柜,小车式,1250A,31.5kA,真空</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9915-500002582-00022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218</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0440016322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高压开关柜,AC10kV,进线开关柜,小车式,630A,20kA,真空</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9915-500002505-00006</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219</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1160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高压开关柜,AC10kV,馈线开关柜,小车式,1250A,25kA,真空</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9915-500002573-00001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220</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0440016322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370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高压开关柜,AC10kV,馈线开关柜,小车式,1250A,31.5kA,真空</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9915-500002584-00002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221</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0440016322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360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高压开关柜,AC10kV,馈线开关柜,小车式,630A,20kA,真空</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8</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9915-500002507-00001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222</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1150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高压开关柜,AC10kV,母线设备柜,小车式,1250A,无开关,无</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9915-500099478-00003</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223</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0440016322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高压开关柜,AC10kV,母线设备柜,小车式,1250A,无开关,无</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9915-500099478-00003</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224</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0440016322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340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高压开关柜,AC10kV,母线设备柜,小车式,630A,无开关,无</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9906-500061602-00006</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225</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0440016322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330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高压开关柜,AC10kV,站用变开关柜,小车式,1250A,无开关,无</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9906-500061602-00006</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226</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0440016322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高压开关柜,AC10kV,站用变开关柜,小车式,630A,无开关,无</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9915-500135737-00001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227</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230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高压熔断器,AC10kV,跌落式,100A</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303</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9906-500007914-00042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海拔修正4000米,配置绝缘护套</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228</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240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高压熔断器,AC10kV,跌落式,100A</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9906-500007914-00040</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海拔修正4000米,配置绝缘护套</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229</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0440016341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高压熔断器,AC10kV,跌落式,100A</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33</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9906-500007914-00042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海拔修正4000米,配置绝缘护套</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230</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0440015688</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高压熔断器,AC10kV,跌落式,200A</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390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9906-500007913-00042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海拔修正4000米,配置绝缘护套</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231</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0440015949</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高压熔断器,AC10kV,跌落式,200A</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580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9906-500007913-00034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海拔修正，4000米，配绝缘护套</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232</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高压熔断器,AC10kV,跌落式,200A</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1284</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9906-500007913-00038</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海拔修正4000米,配置绝缘护套</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233</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260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高压熔断器,AC10kV,跌落式,200A</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63</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9906-500007913-00042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海拔修正4000米,配置绝缘护套</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234</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0440016016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440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高压熔断器,AC10kV,跌落式,200A</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145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9906-500007913-00042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海拔修正为4500米，配置绝缘护套</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235</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0440016035</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高压熔断器,AC10kV,跌落式,200A</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9906-500007913-00042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海拔修正4000米,配置绝缘护套</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236</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高压熔断器,AC10kV,跌落式,200A</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585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9906-500007913-00034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海拔修正4000米,配置绝缘护套</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237</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高压熔断器,AC10kV,跌落式,200A</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48</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9906-500007913-00034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低压业扩物资，海拔修正4000米,配置绝缘护套。</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238</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0440016322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高压熔断器,AC10kV,跌落式,200A</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650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9906-500007913-00042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海拔修正为4000米,配绝缘护套。</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239</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0440016331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390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高压熔断器,AC10kV,跌落式,200A</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39</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9906-500007913-00034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海拔修正为5000米,配置绝缘护套。</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240</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0440016341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400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高压熔断器,AC10kV,跌落式,200A</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685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9906-500007913-00034</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海拔修正4000米,配置绝缘护套</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241</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170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架空绝缘导线,AC10kV,JKLGYJ,120/20</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千米</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9906-500059246-00006</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242</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630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架空绝缘导线,AC10kV,JKLGYJ,70/10</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0.896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千米</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9906-500059246-00006</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国网典设物料</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243</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160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架空绝缘导线,AC10kV,JKLGYJ,95/15</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7.4</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千米</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9906-500059246-00006</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244</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架空绝缘导线,AC10kV,JKLYJ,185</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0.063</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千米</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9906-500059246-00006</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工程需要</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245</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架空绝缘导线,AC1kV,JKLYJ,120</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千米</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9906-500059246-00008</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246</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190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架空绝缘导线,AC1kV,JKLYJ,70</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118</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千米</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9906-500059246-00008</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247</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0440015688</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490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交流棒形悬式复合绝缘子,FXBW-10/70,310,350</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2500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支</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9906-500073878-00022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248</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0440015949</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交流棒形悬式复合绝缘子,FXBW-10/70,310,350</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5300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支</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9906-500073878-00029</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249</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交流棒形悬式复合绝缘子,FXBW-10/70,310,350</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138</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支</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9906-500073878-00029</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250</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360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交流棒形悬式复合绝缘子,FXBW-10/70,310,350</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13432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支</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9906-500073878-00022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251</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370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交流棒形悬式复合绝缘子,FXBW-10/70,310,350</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1038</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支</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9906-500073878-00029</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252</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交流棒形悬式复合绝缘子,FXBW-10/70,310,350</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80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支</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9906-500073878-00022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253</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0440016322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190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交流棒形悬式复合绝缘子,FXBW-10/70,310,350</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6000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支</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9906-500073878-00022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254</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0440016016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交流棒形悬式复合绝缘子,FXBW-10/70,390,490</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1250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支</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9906-500073878-00022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工程实际需要，海拔修正4500米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255</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交流棒形悬式复合绝缘子,FXBW-10/70,390,490</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4938</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支</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9906-500073878-00022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256</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0440016331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交流棒形悬式复合绝缘子,FXBW-10/70,390,490</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1350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支</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9906-500073878-00022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海拔修正为5000米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257</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0440016341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交流棒形悬式复合绝缘子,FXBW-10/70,390,490</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324</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支</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9906-500073878-00022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258</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0440015688</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240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交流避雷器,AC10kV,17kV,硅橡胶,50kV,不带间隙</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600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9906-500027151-00069</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海拔修正4000米,配置绝缘护套</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259</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0440015949</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交流避雷器,AC10kV,17kV,硅橡胶,50kV,不带间隙</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860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9906-500027151-00069</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海拔修正4000米,配置绝缘护套</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260</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交流避雷器,AC10kV,17kV,硅橡胶,50kV,不带间隙</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3082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9906-500027151-00075</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海拔修正4000米,配置绝缘护套</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261</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0440016016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交流避雷器,AC10kV,17kV,硅橡胶,50kV,不带间隙</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310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9906-500027151-00069</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海拔修正为4500米，配置绝缘护套</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262</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0440016016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430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交流避雷器,AC10kV,17kV,硅橡胶,50kV,不带间隙</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80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9906-500027151-00069</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海拔修正为4500米，配置绝缘护套</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263</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0440016035</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交流避雷器,AC10kV,17kV,硅橡胶,50kV,不带间隙</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315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9906-500027151-00069</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海拔修正4000米,配置绝缘护套</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264</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交流避雷器,AC10kV,17kV,硅橡胶,50kV,不带间隙</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593</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9906-500027151-00069</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海拔修正4000米,配置绝缘护套</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265</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交流避雷器,AC10kV,17kV,硅橡胶,50kV,不带间隙</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174</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9906-500027151-00060</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海拔修正4000米,配置绝缘护套。</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266</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交流避雷器,AC10kV,17kV,硅橡胶,50kV,不带间隙</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18</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9906-500027151-00069</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低压业扩物资，海拔修正4000米,配置绝缘护套</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267</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交流避雷器,AC10kV,17kV,硅橡胶,50kV,不带间隙</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9906-500027151-00069</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低压业扩物资，海拔修正4000米,配置绝缘护套</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268</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0440016322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交流避雷器,AC10kV,17kV,硅橡胶,50kV,不带间隙</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150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9906-500027151-00069</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海拔修正为4000米，配绝缘护套。</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269</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0440016331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交流避雷器,AC10kV,17kV,硅橡胶,50kV,不带间隙</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183</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9906-500027151-00060</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海拔修正为5000米,配置绝缘护套。</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270</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0440016331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330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交流避雷器,AC10kV,17kV,硅橡胶,50kV,不带间隙</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9906-500027151-00069</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海拔修正为5000米,配置绝缘护套。</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271</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0440016341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200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交流避雷器,AC10kV,17kV,硅橡胶,50kV,不带间隙</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168</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9906-500027151-00069</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海拔修正4000米,配置绝缘护套</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272</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0440016341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交流避雷器,AC10kV,17kV,硅橡胶,50kV,不带间隙</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351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9906-500027151-00060</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海拔修正4000米,配置绝缘护套</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273</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0440015688</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交流盘形悬式瓷绝缘子,U70B/146,255,320</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5400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片</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9906-500073878-00032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274</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0440015949</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交流盘形悬式瓷绝缘子,U70B/146,255,320</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16000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片</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9906-500073878-00032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275</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交流盘形悬式瓷绝缘子,U70B/146,255,320</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16932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片</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9906-500073878-00032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276</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0440016016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370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交流盘形悬式瓷绝缘子,U70B/146,255,320</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1450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片</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9906-500073878-00032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海拔修正4500米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277</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0440016035</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交流盘形悬式瓷绝缘子,U70B/146,255,320</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1962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片</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9906-500073878-00032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278</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交流盘形悬式瓷绝缘子,U70B/146,255,320</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9342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片</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9906-500073878-00032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279</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230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交流盘形悬式瓷绝缘子,U70B/146,255,320</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5120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片</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9906-500073878-00032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低压业扩物资，海拔修正为4000米。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280</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0440016322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170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交流盘形悬式瓷绝缘子,U70B/146,255,320</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7700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片</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9906-500073878-00032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281</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0440016331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交流盘形悬式瓷绝缘子,U70B/146,255,320</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2336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片</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9906-500073878-00032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海拔修正5000米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282</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0440016341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190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交流盘形悬式瓷绝缘子,U70B/146,255,320</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2143</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片</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9906-500073878-00032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283</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0440015688</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接地短路故障指示器</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200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9915-500009956-00032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台即为组，每组1托3，报价含检测产生的相关费用，每50组配一套故障指示器安装工具</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284</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0440015949</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接地短路故障指示器</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720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9915-500009956-00032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台即为组，每组1托3，报价含检测产生的相关费用，每50组配一套故障指安装工具</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285</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接地短路故障指示器</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9915-500009956-00032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台即为组，每组1托3，报价含检测产生的相关费用，每50组配一套故障指示器安装工具</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286</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1310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接地短路故障指示器</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9915-500009956-00032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台即为组，每组1托3，报价含检测产生的相关费用，每50组配一套故障指示器安装工具</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287</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1320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接地短路故障指示器</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9915-500009956-00032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台即为组，每组1托3，报价含检测产生的相关费用，每50组配一套故障指示器安装工具</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288</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1330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接地短路故障指示器</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9915-500009956-00032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台即为组，每组1托3，报价含检测产生的相关费用，每50组配一套故障指示器安装工具</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289</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1340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接地短路故障指示器</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9915-500009956-00032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台即为组，每组1托3，报价含检测产生的相关费用，每50组配一套故障指示器安装工具</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290</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1350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接地短路故障指示器</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9915-500009956-00032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台即为组，每组1托3，报价含检测产生的相关费用，每50组配一套故障指示器安装工具</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291</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1360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接地短路故障指示器</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9915-500009956-00032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台即为组，每组1托3，报价含检测产生的相关费用，每50组配一套故障指示器安装工具</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292</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1370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接地短路故障指示器</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9915-500009956-00032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台即为组，每组1托3，报价含检测产生的相关费用，每50组配一套故障指示器安装工具</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293</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1380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接地短路故障指示器</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9915-500009956-00032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台即为组，每组1托3，报价含检测产生的相关费用，每50组配一套故障指示器安装工具</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294</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1390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接地短路故障指示器</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9915-500009956-00032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台即为组，每组1托3，报价含检测产生的相关费用，每50组配一套故障指示器安装工具</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295</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1400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接地短路故障指示器</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9915-500009956-00032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台即为组，每组1托3，报价含检测产生的相关费用，每50组配一套故障指示器安装工具</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296</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1410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接地短路故障指示器</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9915-500009956-00032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台即为组，每组1托3，报价含检测产生的相关费用，每50组配一套故障指示器安装工具</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297</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1420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接地短路故障指示器</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9915-500009956-00032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台即为组，每组1托3，报价含检测产生的相关费用，每50组配一套故障指示器安装工具</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298</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1430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接地短路故障指示器</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130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9915-500009956-00032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台即为组，每组1托3，报价含检测产生的相关费用，每50组配一套故障指示器安装工具</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299</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0440016016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400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接地短路故障指示器</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9915-500009956-00032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台即为组，每组1托3，报价含检测产生的相关费用，每50组配一套故障指示器安装工具</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300</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0440016016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接地短路故障指示器</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9915-500009956-00032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台即为组，每组1托3，报价含检测产生的相关费用，每50组配一套故障指示器安装工具</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301</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0440016035</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接地短路故障指示器</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9915-500009956-00032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台即为组，每组1托3，报价含检测产生的相关费用，每50组配一套故障指示器安装工具</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302</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0440016035</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430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接地短路故障指示器</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9915-500009956-00032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台即为组，每组1托3，报价含检测产生的相关费用，每50组配一套故障指示器安装工具</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303</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0440016035</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440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接地短路故障指示器</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9915-500009956-00032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台即为组，每组1托3，报价含检测产生的相关费用，每50组配一套故障指示器安装工具</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304</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接地短路故障指示器</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241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9915-500009956-00032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台即为组，每组1托3，报价含检测产生的相关费用，每50组配一套故障指示器安装工具</w:t>
            </w:r>
          </w:p>
        </w:tc>
      </w:tr>
      <w:tr>
        <w:tblPrEx>
          <w:tblLayout w:type="fixed"/>
          <w:tblCellMar>
            <w:top w:w="0" w:type="dxa"/>
            <w:left w:w="108" w:type="dxa"/>
            <w:bottom w:w="0" w:type="dxa"/>
            <w:right w:w="108" w:type="dxa"/>
          </w:tblCellMar>
        </w:tblPrEx>
        <w:trPr>
          <w:trHeight w:val="765"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305</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接地短路故障指示器</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9915-500009956-00032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低压业扩物资，台即为组，每组1托3，报价含检测产生的相关费用，每50组配一套故障指示器安装工具。</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306</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0440016331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300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接地短路故障指示器</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213</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9915-500009956-00032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台即为组，每组1托3，报价含检测产生的相关费用，每50组配一套故障指示器安装工具</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307</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0440016341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接地短路故障指示器</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9915-500009956-00032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台即为组，每组1托3，报价含检测产生的相关费用，每50组配一套故障指示器安装工具</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308</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0440015688</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配电终端,配变终端(TTU)</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9915-500082251-00001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报价含检测产生的相关费用</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309</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0440015949</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配电终端,配变终端(TTU)</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9915-500082251-00002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报价含检测产生的相关费用</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310</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1200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配电终端,配变终端(TTU)</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350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9915-500082251-00002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报价含检测产生的相关费用。</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311</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760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配电终端,配变终端(TTU)</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8</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9915-500082251-00002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报价含检测产生的相关费用</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312</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430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配电终端,配变终端(TTU)</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9915-500082251-00002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低压业扩物资，报价含检测产生的相关费用。</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313</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0440016322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160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配电终端,配变终端(TTU)</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34</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9915-500082251-00002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报价含检测产生的相关费用。</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314</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1170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配电终端,站所终端(DTU)</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9915-500082249-00083</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报价含检测产生的相关费用。</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315</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1190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配电终端,站所终端(DTU)</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9915-500082249-00083</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报价含检测产生的相关费用。</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316</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0440016322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配电终端,站所终端(DTU)</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9915-500082249-00065</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报价含检测产生的相关费用。</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317</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0440015688</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线路柱式瓷绝缘子,R12.5ET150N,170,336,534</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9000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9906-500073878-00028</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318</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0440015773</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线路柱式瓷绝缘子,R12.5ET150N,170,336,534</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1207</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9906-500073878-00028</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319</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0440015949</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线路柱式瓷绝缘子,R12.5ET150N,170,336,534</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14000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9906-500073878-00028</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320</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330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线路柱式瓷绝缘子,R12.5ET150N,170,336,534</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13157</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9906-500073878-00027</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321</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340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线路柱式瓷绝缘子,R12.5ET150N,170,336,534</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3903</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9906-500073878-00028</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322</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线路柱式瓷绝缘子,R12.5ET150N,170,336,534</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13157</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9906-500073878-00027</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323</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0440016016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线路柱式瓷绝缘子,R12.5ET150N,170,336,534</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2800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9906-500073878-00028</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海拔修正4500米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324</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0440016016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390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线路柱式瓷绝缘子,R12.5ET150N,170,336,534</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9906-500073878-00027</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海拔修正4500米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325</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360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线路柱式瓷绝缘子,R12.5ET150N,170,336,534</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1793</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9906-500073878-00027</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326</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370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线路柱式瓷绝缘子,R12.5ET150N,170,336,534</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12221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9906-500073878-00028</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327</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线路柱式瓷绝缘子,R12.5ET150N,170,336,534</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290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9906-500073878-00027</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低压业扩物资，海拔修正为4000米。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328</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0440016322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线路柱式瓷绝缘子,R12.5ET150N,170,336,534</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9906-500073878-00028</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329</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0440016322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130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线路柱式瓷绝缘子,R12.5ET150N,170,336,534</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256.5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9906-500073878-00027</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330</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0440016331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线路柱式瓷绝缘子,R12.5ET150N,170,336,534</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3848</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9906-500073878-00028</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海拔修正5000米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331</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0440016331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线路柱式瓷绝缘子,R12.5ET150N,170,336,534</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9906-500073878-00027</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海拔修正5000米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332</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0440016341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160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线路柱式瓷绝缘子,R12.5ET150N,170,336,534</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2555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9906-500073878-00028</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333</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线路柱式瓷绝缘子,R5ET105L,125,283,360</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1493</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9906-500073878-00028</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334</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270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一二次融合成套环网箱,AC10kV,630A,SF6,二进二出</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9915-500138328-00009</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海拔修正4000米，报价含检测产生的相关费用。</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335</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0440016035</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一二次融合成套环网箱,AC10kV,630A,SF6,二进二出</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9915-500138328-00009</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海拔修正4000米,报价含检测产生的相关费用。</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336</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0440016035</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一二次融合成套环网箱,AC10kV,630A,SF6,二进四出</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9915-500138329-00010</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海拔修正4000米,报价含检测产生的相关费用。</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337</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0440016035</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370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一二次融合成套环网箱,AC10kV,630A,SF6,二进四出</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9915-500138329-00010</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海拔修正4000米,报价含检测产生的相关费用。</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338</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0440016035</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一二次融合成套环网箱,AC10kV,630A,SF6,二进四出</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9915-500138329-00010</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海拔修正4000米,报价含检测产生的相关费用。</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339</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0440016035</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390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一二次融合成套环网箱,AC10kV,630A,SF6,二进四出</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9915-500138329-00010</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海拔修正4000米,报价含检测产生的相关费用。</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340</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0440016035</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400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一二次融合成套环网箱,AC10kV,630A,SF6,二进四出</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9915-500138329-00010</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海拔修正4000米,报价含检测产生的相关费用。</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341</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0440016035</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一二次融合成套环网箱,AC10kV,630A,SF6,二进四出</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9915-500138329-00010</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海拔修正4000米,报价含检测产生的相关费用。</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342</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0440016035</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一二次融合成套环网箱,AC10kV,630A,SF6,二进四出</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9915-500138329-00010</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海拔修正4000米,报价含检测产生的相关费用。</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343</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280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一二次融合成套环网箱,AC10kV,630A,固体,二进四出</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9915-500138342-00005</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海拔修正4000米，报价含检测产生的相关费用。</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344</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0440016016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470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一二次融合成套环网箱,AC10kV,630A,固体,二进四出</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9915-500138342-00005</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海拔修正为4500米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345</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0440016322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一二次融合成套环网箱,AC10kV,630A,固体,二进四出</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9915-500138342-00010</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海拔修正为4000米，报价含检测产生的相关费用。</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346</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0440016341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一二次融合成套环网箱,AC10kV,630A,固体,二进四出</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9915-500138342-00010</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海拔修正为4000米；报价含检测产生的相关费用</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347</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0440015688</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720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一二次融合成套环网箱,AC10kV,630A,空气,二进四出</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9915-500138334-00009</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海拔修正为4000米，报价含检测产生的相关费用。</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348</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0440015688</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200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一二次融合成套柱上断路器,AC10kV,630A,20kA,户外</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9915-500138347-00012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海拔修正为4000米，配绝缘护罩；报价含检测产生的相关费用</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349</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0440015949</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一二次融合成套柱上断路器,AC10kV,630A,20kA,户外</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9915-500138347-00011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海拔修正4000米，报价含检测费</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350</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190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一二次融合成套柱上断路器,AC10kV,630A,20kA,户外</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9915-500138347-00012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海拔修正为4000米，配绝缘护罩；报价含检测产生的相关费用</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351</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一二次融合成套柱上断路器,AC10kV,630A,20kA,户外</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9915-500138347-00012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海拔修正为4000米，配绝缘护罩；报价含检测产生的相关费用</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352</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1260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一二次融合成套柱上断路器,AC10kV,630A,20kA,户外</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9915-500138347-00012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海拔修正为4000米，配绝缘护罩；报价含检测产生的相关费用</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353</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1270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一二次融合成套柱上断路器,AC10kV,630A,20kA,户外</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9915-500138347-00012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海拔修正为4000米，配绝缘护罩；报价含检测产生的相关费用</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354</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0440016016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一二次融合成套柱上断路器,AC10kV,630A,20kA,户外</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9915-500138347-00012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海拔修正为4500米，配绝缘护罩；报价含检测产生的相关费用</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355</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一二次融合成套柱上断路器,AC10kV,630A,20kA,户外</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53</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9915-500138347-00012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海拔修正为4000米，配绝缘护罩；报价含检测产生的相关费用</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356</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一二次融合成套柱上断路器,AC10kV,630A,20kA,户外</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9915-500138347-00012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低压业扩物资海，拔修正为4000米，配绝缘护罩；报价含检测产生的相关费用</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357</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0440016322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一二次融合成套柱上断路器,AC10kV,630A,20kA,户外</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9915-500138347-00011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海拔修正为4000米，报价含检测产生的相关费用。</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358</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0440016331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60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一二次融合成套柱上断路器,AC10kV,630A,20kA,户外</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13</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9915-500138347-00012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海拔修正为5000米，配绝缘护罩；报价含检测产生的相关费用</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359</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0440016341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140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一二次融合成套柱上断路器,AC10kV,630A,20kA,户外</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8</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9915-500138347-00012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海拔修正为4000米，配绝缘护罩；报价含检测产生的相关费用</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360</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0440016341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130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一二次融合成套柱上断路器,AC10kV,630A,20kA,用户分界</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套</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9915-500138348-00012</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海拔修正为4000米，配绝缘护罩；报价含检测产生的相关费用</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361</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0440015688</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针式瓷绝缘子,P-6T,120,150</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13000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9906-500073878-00026</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362</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0440015949</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针式瓷绝缘子,P-6T,120,150</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19000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9906-500073878-00026</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363</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针式瓷绝缘子,P-6T,120,150</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18392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9906-500073878-00026</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364</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0440016016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360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针式瓷绝缘子,P-6T,120,150</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2200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9906-500073878-00026</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海拔修正4500米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365</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390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针式瓷绝缘子,P-6T,120,150</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13115</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9906-500073878-00026</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366</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240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针式瓷绝缘子,P-6T,120,150</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5720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9906-500073878-00026</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低压业扩物资，海拔修正为4000米。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367</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0440016322</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针式瓷绝缘子,P-6T,120,150</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8340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9906-500073878-00026</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海拔修正为4000米。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368</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0440016331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针式瓷绝缘子,P-6T,120,150</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5372</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9906-500073878-00026</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海拔修正5000米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369</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0440016341</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针式瓷绝缘子,P-6T,120,150</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2158</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只</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9906-500073878-00026</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海拔修正4000米</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370</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锥形水泥杆,非预应力,法兰组装杆,12m,190mm,M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260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根</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9906-500054969-00017</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371</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0440015986</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锥形水泥杆,非预应力,法兰组装杆,12m,230mm,N</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46</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根</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9915-500137841-00001</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工程需要</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372</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130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锥形水泥杆,非预应力,法兰组装杆,15m,190mm,M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210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根</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9906-500054969-00017</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373</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140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锥形水泥杆,非预应力,法兰组装杆,18m,190mm,M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150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根</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9906-500054969-00017</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374</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150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锥形水泥杆,非预应力,法兰组装杆,18m,230mm,N</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8</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根</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9906-500054969-00017</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375</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100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锥形水泥杆,非预应力,整根杆,10m,190mm,I</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120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根</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9906-500054969-00016</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w:t>
            </w:r>
          </w:p>
        </w:tc>
      </w:tr>
      <w:tr>
        <w:tblPrEx>
          <w:tblLayout w:type="fixed"/>
          <w:tblCellMar>
            <w:top w:w="0" w:type="dxa"/>
            <w:left w:w="108" w:type="dxa"/>
            <w:bottom w:w="0" w:type="dxa"/>
            <w:right w:w="108" w:type="dxa"/>
          </w:tblCellMar>
        </w:tblPrEx>
        <w:trPr>
          <w:trHeight w:val="510" w:hRule="atLeast"/>
          <w:jc w:val="center"/>
        </w:trPr>
        <w:tc>
          <w:tcPr>
            <w:tcW w:w="5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376</w:t>
            </w:r>
          </w:p>
        </w:tc>
        <w:tc>
          <w:tcPr>
            <w:tcW w:w="966"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0440016074</w:t>
            </w:r>
          </w:p>
        </w:tc>
        <w:tc>
          <w:tcPr>
            <w:tcW w:w="607"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110</w:t>
            </w:r>
          </w:p>
        </w:tc>
        <w:tc>
          <w:tcPr>
            <w:tcW w:w="287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锥形水泥杆,非预应力,整根杆,12m,190mm,M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1180</w:t>
            </w:r>
          </w:p>
        </w:tc>
        <w:tc>
          <w:tcPr>
            <w:tcW w:w="57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根</w:t>
            </w:r>
          </w:p>
        </w:tc>
        <w:tc>
          <w:tcPr>
            <w:tcW w:w="168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9906-500054969-00016</w:t>
            </w:r>
          </w:p>
        </w:tc>
        <w:tc>
          <w:tcPr>
            <w:tcW w:w="2385"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Arial"/>
                <w:sz w:val="15"/>
                <w:szCs w:val="15"/>
                <w:lang w:eastAsia="zh-CN"/>
              </w:rPr>
            </w:pPr>
            <w:r>
              <w:rPr>
                <w:rFonts w:ascii="仿宋" w:hAnsi="仿宋" w:eastAsia="仿宋" w:cs="Arial"/>
                <w:sz w:val="15"/>
                <w:szCs w:val="15"/>
                <w:lang w:eastAsia="zh-CN"/>
              </w:rPr>
              <w:t>低压业扩物资</w:t>
            </w:r>
          </w:p>
        </w:tc>
      </w:tr>
    </w:tbl>
    <w:p>
      <w:pPr>
        <w:rPr>
          <w:color w:val="FF0000"/>
          <w:lang w:eastAsia="zh-CN"/>
        </w:rPr>
      </w:pPr>
    </w:p>
    <w:p>
      <w:pPr>
        <w:rPr>
          <w:color w:val="FF0000"/>
          <w:lang w:eastAsia="zh-CN"/>
        </w:rPr>
      </w:pPr>
    </w:p>
    <w:p>
      <w:pPr>
        <w:pStyle w:val="15"/>
        <w:tabs>
          <w:tab w:val="left" w:pos="5880"/>
          <w:tab w:val="left" w:pos="6826"/>
          <w:tab w:val="left" w:pos="7769"/>
        </w:tabs>
        <w:ind w:right="102"/>
        <w:rPr>
          <w:lang w:eastAsia="zh-CN"/>
        </w:rPr>
      </w:pPr>
    </w:p>
    <w:p>
      <w:pPr>
        <w:pStyle w:val="15"/>
        <w:tabs>
          <w:tab w:val="left" w:pos="5880"/>
          <w:tab w:val="left" w:pos="6826"/>
          <w:tab w:val="left" w:pos="7769"/>
        </w:tabs>
        <w:ind w:left="0" w:right="102"/>
        <w:rPr>
          <w:rFonts w:cs="宋体"/>
          <w:sz w:val="11"/>
          <w:szCs w:val="11"/>
          <w:lang w:eastAsia="zh-CN"/>
        </w:rPr>
      </w:pPr>
    </w:p>
    <w:sectPr>
      <w:headerReference r:id="rId3" w:type="first"/>
      <w:footerReference r:id="rId5" w:type="first"/>
      <w:footerReference r:id="rId4" w:type="default"/>
      <w:pgSz w:w="11906" w:h="16838"/>
      <w:pgMar w:top="1440" w:right="1797" w:bottom="1440" w:left="1797"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0002E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Arial">
    <w:panose1 w:val="020B0604020202020204"/>
    <w:charset w:val="00"/>
    <w:family w:val="swiss"/>
    <w:pitch w:val="default"/>
    <w:sig w:usb0="E0002EFF" w:usb1="C000785B" w:usb2="00000009" w:usb3="00000000" w:csb0="400001FF" w:csb1="FFFF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center"/>
    </w:pPr>
    <w:r>
      <w:fldChar w:fldCharType="begin"/>
    </w:r>
    <w:r>
      <w:instrText xml:space="preserve"> PAGE   \* MERGEFORMAT </w:instrText>
    </w:r>
    <w:r>
      <w:fldChar w:fldCharType="separate"/>
    </w:r>
    <w:r>
      <w:rPr>
        <w:lang w:val="zh-CN"/>
      </w:rPr>
      <w:t>45</w:t>
    </w:r>
    <w:r>
      <w:rPr>
        <w:lang w:val="zh-CN"/>
      </w:rPr>
      <w:fldChar w:fldCharType="end"/>
    </w:r>
  </w:p>
  <w:p>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center"/>
    </w:pPr>
    <w:r>
      <w:fldChar w:fldCharType="begin"/>
    </w:r>
    <w:r>
      <w:instrText xml:space="preserve"> PAGE   \* MERGEFORMAT </w:instrText>
    </w:r>
    <w:r>
      <w:fldChar w:fldCharType="separate"/>
    </w:r>
    <w:r>
      <w:rPr>
        <w:lang w:val="zh-CN"/>
      </w:rPr>
      <w:t>1</w:t>
    </w:r>
    <w:r>
      <w:rPr>
        <w:lang w:val="zh-CN"/>
      </w:rPr>
      <w:fldChar w:fldCharType="end"/>
    </w:r>
  </w:p>
  <w:p>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rPr>
        <w:rFonts w:ascii="宋体"/>
        <w:sz w:val="21"/>
        <w:szCs w:val="21"/>
        <w:lang w:eastAsia="zh-CN"/>
      </w:rPr>
    </w:pPr>
    <w:r>
      <w:rPr>
        <w:rFonts w:ascii="宋体" w:hAnsi="宋体"/>
        <w:sz w:val="21"/>
        <w:szCs w:val="21"/>
        <w:lang w:eastAsia="zh-CN"/>
      </w:rPr>
      <w:t xml:space="preserve">                                    SGTYHT/1</w:t>
    </w:r>
    <w:r>
      <w:rPr>
        <w:rFonts w:hint="eastAsia" w:ascii="宋体" w:hAnsi="宋体"/>
        <w:sz w:val="21"/>
        <w:szCs w:val="21"/>
        <w:lang w:eastAsia="zh-CN"/>
      </w:rPr>
      <w:t>6</w:t>
    </w:r>
    <w:r>
      <w:rPr>
        <w:rFonts w:ascii="宋体" w:hAnsi="宋体"/>
        <w:sz w:val="21"/>
        <w:szCs w:val="21"/>
        <w:lang w:eastAsia="zh-CN"/>
      </w:rPr>
      <w:t>-MM-1</w:t>
    </w:r>
    <w:r>
      <w:rPr>
        <w:rFonts w:hint="eastAsia" w:ascii="宋体" w:hAnsi="宋体"/>
        <w:sz w:val="21"/>
        <w:szCs w:val="21"/>
        <w:lang w:eastAsia="zh-CN"/>
      </w:rPr>
      <w:t>72协议库存物资寄存结算协议</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val="1"/>
  <w:bordersDoNotSurroundFooter w:val="1"/>
  <w:hideSpellingErrors/>
  <w:documentProtection w:enforcement="0"/>
  <w:defaultTabStop w:val="720"/>
  <w:drawingGridHorizontalSpacing w:val="110"/>
  <w:displayHorizontalDrawingGridEvery w:val="2"/>
  <w:characterSpacingControl w:val="doNotCompress"/>
  <w:noLineBreaksAfter w:lang="zh-CN" w:val="$([{£¥·‘“〈《「『【〔〖〝﹙﹛﹝＄（．［｛￡￥"/>
  <w:noLineBreaksBefore w:lang="zh-CN" w:val="!%),.:;&gt;?]}¢¨°·ˇˉ―‖’”…‰′″›℃∶、。〃〉》」』】〕〗〞︶︺︾﹀﹄﹚﹜﹞！＂％＇），．：；？］｀｜｝～￠"/>
  <w:compat>
    <w:ulTrailSpace/>
    <w:useFELayout/>
    <w:compatSetting w:name="compatibilityMode" w:uri="http://schemas.microsoft.com/office/word" w:val="12"/>
  </w:compat>
  <w:rsids>
    <w:rsidRoot w:val="00E103AB"/>
    <w:rsid w:val="00006E0F"/>
    <w:rsid w:val="00015BCF"/>
    <w:rsid w:val="00017B51"/>
    <w:rsid w:val="00021D45"/>
    <w:rsid w:val="000226D5"/>
    <w:rsid w:val="000324B5"/>
    <w:rsid w:val="00035C33"/>
    <w:rsid w:val="0004273C"/>
    <w:rsid w:val="00044B60"/>
    <w:rsid w:val="00063D2B"/>
    <w:rsid w:val="00070D0E"/>
    <w:rsid w:val="0007355F"/>
    <w:rsid w:val="00077645"/>
    <w:rsid w:val="000803B6"/>
    <w:rsid w:val="00086951"/>
    <w:rsid w:val="00094FA3"/>
    <w:rsid w:val="00097C68"/>
    <w:rsid w:val="000A7FD7"/>
    <w:rsid w:val="000B1298"/>
    <w:rsid w:val="000B229F"/>
    <w:rsid w:val="000C0385"/>
    <w:rsid w:val="000C0D31"/>
    <w:rsid w:val="000C2F97"/>
    <w:rsid w:val="000D10CA"/>
    <w:rsid w:val="000D3533"/>
    <w:rsid w:val="000D6105"/>
    <w:rsid w:val="000E244C"/>
    <w:rsid w:val="000E6617"/>
    <w:rsid w:val="000F1A48"/>
    <w:rsid w:val="000F33EC"/>
    <w:rsid w:val="000F5C99"/>
    <w:rsid w:val="000F6AF0"/>
    <w:rsid w:val="000F6F8B"/>
    <w:rsid w:val="00113D63"/>
    <w:rsid w:val="001237C3"/>
    <w:rsid w:val="00137088"/>
    <w:rsid w:val="00145D83"/>
    <w:rsid w:val="001512AA"/>
    <w:rsid w:val="00161A14"/>
    <w:rsid w:val="00161BD4"/>
    <w:rsid w:val="00164E1A"/>
    <w:rsid w:val="00166169"/>
    <w:rsid w:val="00177E52"/>
    <w:rsid w:val="00180C1C"/>
    <w:rsid w:val="00185118"/>
    <w:rsid w:val="00190AA5"/>
    <w:rsid w:val="001B5B39"/>
    <w:rsid w:val="001C5F35"/>
    <w:rsid w:val="001F0EA8"/>
    <w:rsid w:val="001F14DA"/>
    <w:rsid w:val="001F27D4"/>
    <w:rsid w:val="0020171B"/>
    <w:rsid w:val="002063FA"/>
    <w:rsid w:val="00206A44"/>
    <w:rsid w:val="00207088"/>
    <w:rsid w:val="00207D4F"/>
    <w:rsid w:val="00210107"/>
    <w:rsid w:val="002136FB"/>
    <w:rsid w:val="002144AB"/>
    <w:rsid w:val="00217475"/>
    <w:rsid w:val="00217806"/>
    <w:rsid w:val="002215FB"/>
    <w:rsid w:val="00223132"/>
    <w:rsid w:val="00225833"/>
    <w:rsid w:val="00225E93"/>
    <w:rsid w:val="00245ECB"/>
    <w:rsid w:val="00246869"/>
    <w:rsid w:val="002505E7"/>
    <w:rsid w:val="00256A60"/>
    <w:rsid w:val="00262AED"/>
    <w:rsid w:val="00262B28"/>
    <w:rsid w:val="00262CA0"/>
    <w:rsid w:val="0027003A"/>
    <w:rsid w:val="002702AD"/>
    <w:rsid w:val="00286912"/>
    <w:rsid w:val="00290ABA"/>
    <w:rsid w:val="0029258B"/>
    <w:rsid w:val="00293C35"/>
    <w:rsid w:val="002A1721"/>
    <w:rsid w:val="002A19F1"/>
    <w:rsid w:val="002A1F79"/>
    <w:rsid w:val="002A5ADC"/>
    <w:rsid w:val="002B0083"/>
    <w:rsid w:val="002B02A6"/>
    <w:rsid w:val="002B1959"/>
    <w:rsid w:val="002B1A46"/>
    <w:rsid w:val="002B4387"/>
    <w:rsid w:val="002C1B86"/>
    <w:rsid w:val="002C5ED1"/>
    <w:rsid w:val="002C6107"/>
    <w:rsid w:val="002D1343"/>
    <w:rsid w:val="002D47EF"/>
    <w:rsid w:val="002E4886"/>
    <w:rsid w:val="002F14AC"/>
    <w:rsid w:val="003007D5"/>
    <w:rsid w:val="0030323F"/>
    <w:rsid w:val="003142C2"/>
    <w:rsid w:val="003142E8"/>
    <w:rsid w:val="003170B4"/>
    <w:rsid w:val="003178AA"/>
    <w:rsid w:val="003249FC"/>
    <w:rsid w:val="00335769"/>
    <w:rsid w:val="00337C16"/>
    <w:rsid w:val="00351C9F"/>
    <w:rsid w:val="003805F7"/>
    <w:rsid w:val="00387051"/>
    <w:rsid w:val="003906B4"/>
    <w:rsid w:val="003943B9"/>
    <w:rsid w:val="00397A44"/>
    <w:rsid w:val="00397AE9"/>
    <w:rsid w:val="003A38A1"/>
    <w:rsid w:val="003B1F35"/>
    <w:rsid w:val="003B64A1"/>
    <w:rsid w:val="003C6597"/>
    <w:rsid w:val="003D329A"/>
    <w:rsid w:val="003D723F"/>
    <w:rsid w:val="003E178D"/>
    <w:rsid w:val="003E62D4"/>
    <w:rsid w:val="003F3814"/>
    <w:rsid w:val="003F7650"/>
    <w:rsid w:val="00403688"/>
    <w:rsid w:val="00404DE9"/>
    <w:rsid w:val="00411F29"/>
    <w:rsid w:val="00415547"/>
    <w:rsid w:val="00423C62"/>
    <w:rsid w:val="00423D3A"/>
    <w:rsid w:val="00432918"/>
    <w:rsid w:val="00437909"/>
    <w:rsid w:val="00442144"/>
    <w:rsid w:val="0045480E"/>
    <w:rsid w:val="004602D8"/>
    <w:rsid w:val="004626B7"/>
    <w:rsid w:val="00462C25"/>
    <w:rsid w:val="004654F7"/>
    <w:rsid w:val="00466EB3"/>
    <w:rsid w:val="004748ED"/>
    <w:rsid w:val="004751F2"/>
    <w:rsid w:val="004755A8"/>
    <w:rsid w:val="00477BB4"/>
    <w:rsid w:val="00492983"/>
    <w:rsid w:val="00493010"/>
    <w:rsid w:val="00493CFA"/>
    <w:rsid w:val="00496E0B"/>
    <w:rsid w:val="004B08F9"/>
    <w:rsid w:val="004C5116"/>
    <w:rsid w:val="004C51C8"/>
    <w:rsid w:val="004D2DB5"/>
    <w:rsid w:val="004D7B56"/>
    <w:rsid w:val="004D7ED3"/>
    <w:rsid w:val="004E4659"/>
    <w:rsid w:val="004E76AB"/>
    <w:rsid w:val="005006B0"/>
    <w:rsid w:val="00506337"/>
    <w:rsid w:val="00512CB1"/>
    <w:rsid w:val="00521083"/>
    <w:rsid w:val="00521198"/>
    <w:rsid w:val="00524FF9"/>
    <w:rsid w:val="005260D7"/>
    <w:rsid w:val="00526908"/>
    <w:rsid w:val="00527DBA"/>
    <w:rsid w:val="00541391"/>
    <w:rsid w:val="005432F6"/>
    <w:rsid w:val="00543D90"/>
    <w:rsid w:val="00543FA7"/>
    <w:rsid w:val="00552BFB"/>
    <w:rsid w:val="00554E2C"/>
    <w:rsid w:val="00561408"/>
    <w:rsid w:val="00564B33"/>
    <w:rsid w:val="0056787F"/>
    <w:rsid w:val="00576B59"/>
    <w:rsid w:val="005805E5"/>
    <w:rsid w:val="00590060"/>
    <w:rsid w:val="0059481F"/>
    <w:rsid w:val="005949C1"/>
    <w:rsid w:val="005963C7"/>
    <w:rsid w:val="005A1208"/>
    <w:rsid w:val="005A3497"/>
    <w:rsid w:val="005A4FD6"/>
    <w:rsid w:val="005B4669"/>
    <w:rsid w:val="005B5F64"/>
    <w:rsid w:val="005C0057"/>
    <w:rsid w:val="005C2D07"/>
    <w:rsid w:val="005C57F5"/>
    <w:rsid w:val="005C695A"/>
    <w:rsid w:val="005C7209"/>
    <w:rsid w:val="005C7EEF"/>
    <w:rsid w:val="005D18F9"/>
    <w:rsid w:val="005D6013"/>
    <w:rsid w:val="005D6518"/>
    <w:rsid w:val="005E160A"/>
    <w:rsid w:val="005E445A"/>
    <w:rsid w:val="005F3484"/>
    <w:rsid w:val="005F5A3A"/>
    <w:rsid w:val="00602119"/>
    <w:rsid w:val="00610828"/>
    <w:rsid w:val="00612CC9"/>
    <w:rsid w:val="006143DB"/>
    <w:rsid w:val="00615368"/>
    <w:rsid w:val="00622274"/>
    <w:rsid w:val="00631B9C"/>
    <w:rsid w:val="00637070"/>
    <w:rsid w:val="006427F1"/>
    <w:rsid w:val="00642A24"/>
    <w:rsid w:val="00644801"/>
    <w:rsid w:val="0065386C"/>
    <w:rsid w:val="0066158C"/>
    <w:rsid w:val="00667C64"/>
    <w:rsid w:val="00670BD3"/>
    <w:rsid w:val="006721B4"/>
    <w:rsid w:val="00676789"/>
    <w:rsid w:val="00680A73"/>
    <w:rsid w:val="006813D0"/>
    <w:rsid w:val="006814D9"/>
    <w:rsid w:val="006825D4"/>
    <w:rsid w:val="00691F51"/>
    <w:rsid w:val="00692849"/>
    <w:rsid w:val="0069671F"/>
    <w:rsid w:val="006A70D4"/>
    <w:rsid w:val="006B1BD8"/>
    <w:rsid w:val="006B2CF2"/>
    <w:rsid w:val="006B39EF"/>
    <w:rsid w:val="006C5CFC"/>
    <w:rsid w:val="006C74E6"/>
    <w:rsid w:val="006E1CFE"/>
    <w:rsid w:val="006E4EBE"/>
    <w:rsid w:val="006F04EF"/>
    <w:rsid w:val="006F5946"/>
    <w:rsid w:val="00707776"/>
    <w:rsid w:val="007109E5"/>
    <w:rsid w:val="007117D1"/>
    <w:rsid w:val="0071540B"/>
    <w:rsid w:val="00715D74"/>
    <w:rsid w:val="00716D22"/>
    <w:rsid w:val="007239E6"/>
    <w:rsid w:val="00725FB2"/>
    <w:rsid w:val="00735CB8"/>
    <w:rsid w:val="0074522E"/>
    <w:rsid w:val="00750CCA"/>
    <w:rsid w:val="007523C0"/>
    <w:rsid w:val="00752930"/>
    <w:rsid w:val="00780453"/>
    <w:rsid w:val="00781D99"/>
    <w:rsid w:val="00790C9A"/>
    <w:rsid w:val="00795361"/>
    <w:rsid w:val="007B0183"/>
    <w:rsid w:val="007B5547"/>
    <w:rsid w:val="007B5AAB"/>
    <w:rsid w:val="007B5F3E"/>
    <w:rsid w:val="007B7798"/>
    <w:rsid w:val="007B7D56"/>
    <w:rsid w:val="007C1A58"/>
    <w:rsid w:val="007C1CFA"/>
    <w:rsid w:val="007C2808"/>
    <w:rsid w:val="007C2813"/>
    <w:rsid w:val="007C2C47"/>
    <w:rsid w:val="007C518B"/>
    <w:rsid w:val="007D49D4"/>
    <w:rsid w:val="007D58E9"/>
    <w:rsid w:val="007E74A9"/>
    <w:rsid w:val="007F0997"/>
    <w:rsid w:val="007F41E3"/>
    <w:rsid w:val="007F64C7"/>
    <w:rsid w:val="008068EB"/>
    <w:rsid w:val="00806F4B"/>
    <w:rsid w:val="00814747"/>
    <w:rsid w:val="00816558"/>
    <w:rsid w:val="00820398"/>
    <w:rsid w:val="008211BD"/>
    <w:rsid w:val="00821B1E"/>
    <w:rsid w:val="0082769B"/>
    <w:rsid w:val="0083267B"/>
    <w:rsid w:val="008329AC"/>
    <w:rsid w:val="008429F2"/>
    <w:rsid w:val="00850E30"/>
    <w:rsid w:val="00852CF8"/>
    <w:rsid w:val="008548B2"/>
    <w:rsid w:val="00855F13"/>
    <w:rsid w:val="00856BAA"/>
    <w:rsid w:val="008606B0"/>
    <w:rsid w:val="008621F3"/>
    <w:rsid w:val="00872D1A"/>
    <w:rsid w:val="008819BE"/>
    <w:rsid w:val="00881E64"/>
    <w:rsid w:val="00882646"/>
    <w:rsid w:val="00892173"/>
    <w:rsid w:val="00892953"/>
    <w:rsid w:val="008A05EB"/>
    <w:rsid w:val="008B3C08"/>
    <w:rsid w:val="008B45A9"/>
    <w:rsid w:val="008C0A21"/>
    <w:rsid w:val="008C27C0"/>
    <w:rsid w:val="008C501C"/>
    <w:rsid w:val="008D2DE0"/>
    <w:rsid w:val="008D4FA0"/>
    <w:rsid w:val="008E654F"/>
    <w:rsid w:val="0090295E"/>
    <w:rsid w:val="009046AA"/>
    <w:rsid w:val="00911A48"/>
    <w:rsid w:val="009161DD"/>
    <w:rsid w:val="00917B4A"/>
    <w:rsid w:val="0092024C"/>
    <w:rsid w:val="009216E3"/>
    <w:rsid w:val="009224D7"/>
    <w:rsid w:val="00922999"/>
    <w:rsid w:val="00923902"/>
    <w:rsid w:val="00927389"/>
    <w:rsid w:val="00927630"/>
    <w:rsid w:val="0093732F"/>
    <w:rsid w:val="00941F9D"/>
    <w:rsid w:val="00955DA5"/>
    <w:rsid w:val="00957981"/>
    <w:rsid w:val="00963662"/>
    <w:rsid w:val="009738A7"/>
    <w:rsid w:val="00974892"/>
    <w:rsid w:val="00977076"/>
    <w:rsid w:val="00980B8B"/>
    <w:rsid w:val="00984390"/>
    <w:rsid w:val="0098481B"/>
    <w:rsid w:val="00987D8C"/>
    <w:rsid w:val="009959CB"/>
    <w:rsid w:val="009967C3"/>
    <w:rsid w:val="009A25F3"/>
    <w:rsid w:val="009A3C09"/>
    <w:rsid w:val="009B34D8"/>
    <w:rsid w:val="009B70C9"/>
    <w:rsid w:val="009B7C5C"/>
    <w:rsid w:val="009C14BA"/>
    <w:rsid w:val="009D1E03"/>
    <w:rsid w:val="009E1090"/>
    <w:rsid w:val="009F3E3B"/>
    <w:rsid w:val="009F615A"/>
    <w:rsid w:val="00A024FA"/>
    <w:rsid w:val="00A20A6B"/>
    <w:rsid w:val="00A240F9"/>
    <w:rsid w:val="00A250AE"/>
    <w:rsid w:val="00A307DD"/>
    <w:rsid w:val="00A30E05"/>
    <w:rsid w:val="00A42747"/>
    <w:rsid w:val="00A45791"/>
    <w:rsid w:val="00A46A13"/>
    <w:rsid w:val="00A54D9A"/>
    <w:rsid w:val="00A56AB0"/>
    <w:rsid w:val="00A6508B"/>
    <w:rsid w:val="00A71DD5"/>
    <w:rsid w:val="00A862B1"/>
    <w:rsid w:val="00A87A09"/>
    <w:rsid w:val="00A93C45"/>
    <w:rsid w:val="00A96420"/>
    <w:rsid w:val="00A97A00"/>
    <w:rsid w:val="00AA1BDB"/>
    <w:rsid w:val="00AA24F1"/>
    <w:rsid w:val="00AA4A43"/>
    <w:rsid w:val="00AB3CD5"/>
    <w:rsid w:val="00AB42FD"/>
    <w:rsid w:val="00AB5EA1"/>
    <w:rsid w:val="00AC06E4"/>
    <w:rsid w:val="00AC15C8"/>
    <w:rsid w:val="00AC1E07"/>
    <w:rsid w:val="00AC5C87"/>
    <w:rsid w:val="00AC71B1"/>
    <w:rsid w:val="00AD04D3"/>
    <w:rsid w:val="00AD2901"/>
    <w:rsid w:val="00AD3D40"/>
    <w:rsid w:val="00AD48E5"/>
    <w:rsid w:val="00AE020F"/>
    <w:rsid w:val="00AE3F91"/>
    <w:rsid w:val="00AE6504"/>
    <w:rsid w:val="00AF0529"/>
    <w:rsid w:val="00AF4542"/>
    <w:rsid w:val="00B10173"/>
    <w:rsid w:val="00B11A5D"/>
    <w:rsid w:val="00B12A96"/>
    <w:rsid w:val="00B15EBA"/>
    <w:rsid w:val="00B16CA8"/>
    <w:rsid w:val="00B30D38"/>
    <w:rsid w:val="00B34AD5"/>
    <w:rsid w:val="00B35533"/>
    <w:rsid w:val="00B47DEA"/>
    <w:rsid w:val="00B52EF0"/>
    <w:rsid w:val="00B53F6D"/>
    <w:rsid w:val="00B6467D"/>
    <w:rsid w:val="00B671B9"/>
    <w:rsid w:val="00B6793C"/>
    <w:rsid w:val="00B71280"/>
    <w:rsid w:val="00B719E2"/>
    <w:rsid w:val="00B756AD"/>
    <w:rsid w:val="00B8077B"/>
    <w:rsid w:val="00B94137"/>
    <w:rsid w:val="00B94857"/>
    <w:rsid w:val="00BA59ED"/>
    <w:rsid w:val="00BA7CA5"/>
    <w:rsid w:val="00BB1905"/>
    <w:rsid w:val="00BB36C3"/>
    <w:rsid w:val="00BB75FC"/>
    <w:rsid w:val="00BC5135"/>
    <w:rsid w:val="00BC7342"/>
    <w:rsid w:val="00BC737C"/>
    <w:rsid w:val="00BD0562"/>
    <w:rsid w:val="00BD57EA"/>
    <w:rsid w:val="00BD71DB"/>
    <w:rsid w:val="00BE5DE1"/>
    <w:rsid w:val="00BF4199"/>
    <w:rsid w:val="00C0443F"/>
    <w:rsid w:val="00C05CE6"/>
    <w:rsid w:val="00C1159A"/>
    <w:rsid w:val="00C21DF6"/>
    <w:rsid w:val="00C22204"/>
    <w:rsid w:val="00C34D64"/>
    <w:rsid w:val="00C35DCB"/>
    <w:rsid w:val="00C362FF"/>
    <w:rsid w:val="00C40958"/>
    <w:rsid w:val="00C42713"/>
    <w:rsid w:val="00C43C14"/>
    <w:rsid w:val="00C51637"/>
    <w:rsid w:val="00C51685"/>
    <w:rsid w:val="00C5384C"/>
    <w:rsid w:val="00C541AF"/>
    <w:rsid w:val="00C6028F"/>
    <w:rsid w:val="00C60DDE"/>
    <w:rsid w:val="00C60F5B"/>
    <w:rsid w:val="00C630F7"/>
    <w:rsid w:val="00C63373"/>
    <w:rsid w:val="00C64344"/>
    <w:rsid w:val="00C65851"/>
    <w:rsid w:val="00C67087"/>
    <w:rsid w:val="00C779C8"/>
    <w:rsid w:val="00C77E24"/>
    <w:rsid w:val="00C85BD1"/>
    <w:rsid w:val="00C870C5"/>
    <w:rsid w:val="00CA11B2"/>
    <w:rsid w:val="00CA27AB"/>
    <w:rsid w:val="00CB0170"/>
    <w:rsid w:val="00CB1582"/>
    <w:rsid w:val="00CC529A"/>
    <w:rsid w:val="00CD10B5"/>
    <w:rsid w:val="00CD4491"/>
    <w:rsid w:val="00CE694D"/>
    <w:rsid w:val="00D040E3"/>
    <w:rsid w:val="00D05D64"/>
    <w:rsid w:val="00D10499"/>
    <w:rsid w:val="00D13AA2"/>
    <w:rsid w:val="00D220FE"/>
    <w:rsid w:val="00D32D4C"/>
    <w:rsid w:val="00D3490C"/>
    <w:rsid w:val="00D34BA6"/>
    <w:rsid w:val="00D36204"/>
    <w:rsid w:val="00D449CB"/>
    <w:rsid w:val="00D56AFA"/>
    <w:rsid w:val="00D57365"/>
    <w:rsid w:val="00D61989"/>
    <w:rsid w:val="00D65683"/>
    <w:rsid w:val="00D70CE3"/>
    <w:rsid w:val="00D94148"/>
    <w:rsid w:val="00DA4AC9"/>
    <w:rsid w:val="00DA71A3"/>
    <w:rsid w:val="00DC39CE"/>
    <w:rsid w:val="00DC4018"/>
    <w:rsid w:val="00DD5988"/>
    <w:rsid w:val="00E02054"/>
    <w:rsid w:val="00E04997"/>
    <w:rsid w:val="00E103AB"/>
    <w:rsid w:val="00E172BA"/>
    <w:rsid w:val="00E252D0"/>
    <w:rsid w:val="00E36B30"/>
    <w:rsid w:val="00E370D9"/>
    <w:rsid w:val="00E4035A"/>
    <w:rsid w:val="00E43DEC"/>
    <w:rsid w:val="00E529A4"/>
    <w:rsid w:val="00E54CFF"/>
    <w:rsid w:val="00E5516B"/>
    <w:rsid w:val="00E55AF1"/>
    <w:rsid w:val="00E61A18"/>
    <w:rsid w:val="00E655A6"/>
    <w:rsid w:val="00E80E09"/>
    <w:rsid w:val="00E8389A"/>
    <w:rsid w:val="00E854E4"/>
    <w:rsid w:val="00EA6E9E"/>
    <w:rsid w:val="00EB13BA"/>
    <w:rsid w:val="00EB5714"/>
    <w:rsid w:val="00EB7603"/>
    <w:rsid w:val="00EC3E67"/>
    <w:rsid w:val="00EC41AE"/>
    <w:rsid w:val="00EC6E1E"/>
    <w:rsid w:val="00EE2759"/>
    <w:rsid w:val="00EF6231"/>
    <w:rsid w:val="00F02D2E"/>
    <w:rsid w:val="00F13B13"/>
    <w:rsid w:val="00F15B7D"/>
    <w:rsid w:val="00F165FC"/>
    <w:rsid w:val="00F2289F"/>
    <w:rsid w:val="00F237ED"/>
    <w:rsid w:val="00F3039C"/>
    <w:rsid w:val="00F349E7"/>
    <w:rsid w:val="00F4243F"/>
    <w:rsid w:val="00F47F4D"/>
    <w:rsid w:val="00F50091"/>
    <w:rsid w:val="00F50277"/>
    <w:rsid w:val="00F50781"/>
    <w:rsid w:val="00F50CBF"/>
    <w:rsid w:val="00F55EE5"/>
    <w:rsid w:val="00F57598"/>
    <w:rsid w:val="00F6014A"/>
    <w:rsid w:val="00F6231E"/>
    <w:rsid w:val="00F7003A"/>
    <w:rsid w:val="00F763A0"/>
    <w:rsid w:val="00F84999"/>
    <w:rsid w:val="00F9352E"/>
    <w:rsid w:val="00F95006"/>
    <w:rsid w:val="00FA1616"/>
    <w:rsid w:val="00FB35CE"/>
    <w:rsid w:val="00FC0A6F"/>
    <w:rsid w:val="00FC1BCC"/>
    <w:rsid w:val="00FC214F"/>
    <w:rsid w:val="00FD2C8D"/>
    <w:rsid w:val="00FD66F4"/>
    <w:rsid w:val="00FE2891"/>
    <w:rsid w:val="00FE3D5D"/>
    <w:rsid w:val="00FE4E80"/>
    <w:rsid w:val="00FE68D8"/>
    <w:rsid w:val="012A5C27"/>
    <w:rsid w:val="013F334A"/>
    <w:rsid w:val="025873BF"/>
    <w:rsid w:val="02AE7A5C"/>
    <w:rsid w:val="02D16D08"/>
    <w:rsid w:val="034715F5"/>
    <w:rsid w:val="03973A81"/>
    <w:rsid w:val="05981281"/>
    <w:rsid w:val="05FB5EB0"/>
    <w:rsid w:val="06F858B2"/>
    <w:rsid w:val="072B7A5D"/>
    <w:rsid w:val="07F845C1"/>
    <w:rsid w:val="089D13DD"/>
    <w:rsid w:val="09473D4B"/>
    <w:rsid w:val="0A0B172F"/>
    <w:rsid w:val="0A7C24CE"/>
    <w:rsid w:val="0B8E5724"/>
    <w:rsid w:val="0C404FB4"/>
    <w:rsid w:val="0C4E4490"/>
    <w:rsid w:val="0CD9603B"/>
    <w:rsid w:val="0D8F0EE8"/>
    <w:rsid w:val="0E253B03"/>
    <w:rsid w:val="0EDF7CE0"/>
    <w:rsid w:val="0FEB27C3"/>
    <w:rsid w:val="0FEC41E3"/>
    <w:rsid w:val="106756E2"/>
    <w:rsid w:val="106D0979"/>
    <w:rsid w:val="12A307A0"/>
    <w:rsid w:val="12C169A7"/>
    <w:rsid w:val="12CE3BC6"/>
    <w:rsid w:val="132B5FDC"/>
    <w:rsid w:val="13457CBF"/>
    <w:rsid w:val="13542253"/>
    <w:rsid w:val="13622C1F"/>
    <w:rsid w:val="142D6687"/>
    <w:rsid w:val="14E539A8"/>
    <w:rsid w:val="15B90A1C"/>
    <w:rsid w:val="18240BCE"/>
    <w:rsid w:val="189D5B40"/>
    <w:rsid w:val="190F03A9"/>
    <w:rsid w:val="192715A0"/>
    <w:rsid w:val="19E57EDB"/>
    <w:rsid w:val="1A462DBD"/>
    <w:rsid w:val="1A696794"/>
    <w:rsid w:val="1A92564F"/>
    <w:rsid w:val="1AD84122"/>
    <w:rsid w:val="1C7A584F"/>
    <w:rsid w:val="1C8B62EB"/>
    <w:rsid w:val="1DE27140"/>
    <w:rsid w:val="1E457C7C"/>
    <w:rsid w:val="1F560C33"/>
    <w:rsid w:val="1FCD2BFC"/>
    <w:rsid w:val="1FDE3179"/>
    <w:rsid w:val="20852181"/>
    <w:rsid w:val="21CA753A"/>
    <w:rsid w:val="21F90D78"/>
    <w:rsid w:val="22214C6D"/>
    <w:rsid w:val="22450499"/>
    <w:rsid w:val="25097A7F"/>
    <w:rsid w:val="250E75EB"/>
    <w:rsid w:val="2527606D"/>
    <w:rsid w:val="26184C95"/>
    <w:rsid w:val="26ED16E1"/>
    <w:rsid w:val="288F0A89"/>
    <w:rsid w:val="28D766D2"/>
    <w:rsid w:val="29A4262D"/>
    <w:rsid w:val="29FF21E5"/>
    <w:rsid w:val="2A3969CE"/>
    <w:rsid w:val="2A7A05E2"/>
    <w:rsid w:val="2BFD784A"/>
    <w:rsid w:val="2D1478F9"/>
    <w:rsid w:val="2EAF7FC9"/>
    <w:rsid w:val="2EFA2FA2"/>
    <w:rsid w:val="2FEC5BD9"/>
    <w:rsid w:val="30267A4B"/>
    <w:rsid w:val="3232569C"/>
    <w:rsid w:val="362903B0"/>
    <w:rsid w:val="364276C7"/>
    <w:rsid w:val="36567945"/>
    <w:rsid w:val="367B6C58"/>
    <w:rsid w:val="369304EE"/>
    <w:rsid w:val="36A570F8"/>
    <w:rsid w:val="37F466BD"/>
    <w:rsid w:val="38C95C28"/>
    <w:rsid w:val="390C52E8"/>
    <w:rsid w:val="39F263EF"/>
    <w:rsid w:val="3A54463B"/>
    <w:rsid w:val="3A54480C"/>
    <w:rsid w:val="3A586313"/>
    <w:rsid w:val="3A9A2420"/>
    <w:rsid w:val="3AFB7AA3"/>
    <w:rsid w:val="3B0D3E44"/>
    <w:rsid w:val="3B24447E"/>
    <w:rsid w:val="3D362822"/>
    <w:rsid w:val="3E8C69F3"/>
    <w:rsid w:val="3F7B0E34"/>
    <w:rsid w:val="3F8F1DDE"/>
    <w:rsid w:val="3FBC2D58"/>
    <w:rsid w:val="414F6C22"/>
    <w:rsid w:val="42A86E57"/>
    <w:rsid w:val="431E71E9"/>
    <w:rsid w:val="440202A6"/>
    <w:rsid w:val="442F5917"/>
    <w:rsid w:val="45945773"/>
    <w:rsid w:val="45F24FA7"/>
    <w:rsid w:val="47FC31FC"/>
    <w:rsid w:val="48C409D4"/>
    <w:rsid w:val="4B50433C"/>
    <w:rsid w:val="4C324334"/>
    <w:rsid w:val="4C566168"/>
    <w:rsid w:val="4D371A2F"/>
    <w:rsid w:val="4D8A30B7"/>
    <w:rsid w:val="4D9C053F"/>
    <w:rsid w:val="4E0500EF"/>
    <w:rsid w:val="4EAE08B2"/>
    <w:rsid w:val="4EB01091"/>
    <w:rsid w:val="4EB2495A"/>
    <w:rsid w:val="4F4311E3"/>
    <w:rsid w:val="4FC566F4"/>
    <w:rsid w:val="51D654F3"/>
    <w:rsid w:val="53750224"/>
    <w:rsid w:val="540467AD"/>
    <w:rsid w:val="543220FA"/>
    <w:rsid w:val="561119B3"/>
    <w:rsid w:val="567740EB"/>
    <w:rsid w:val="56FC4315"/>
    <w:rsid w:val="571866F2"/>
    <w:rsid w:val="574B4506"/>
    <w:rsid w:val="575743F3"/>
    <w:rsid w:val="579C09EC"/>
    <w:rsid w:val="57FB4F9F"/>
    <w:rsid w:val="5842466D"/>
    <w:rsid w:val="58FD0FDD"/>
    <w:rsid w:val="592F7A8D"/>
    <w:rsid w:val="59BB43B3"/>
    <w:rsid w:val="5A015859"/>
    <w:rsid w:val="5A8C5093"/>
    <w:rsid w:val="5AFE222E"/>
    <w:rsid w:val="5B280BD4"/>
    <w:rsid w:val="5B2F68BC"/>
    <w:rsid w:val="5B716016"/>
    <w:rsid w:val="5B9D3E04"/>
    <w:rsid w:val="5BEA6E84"/>
    <w:rsid w:val="5CFB3923"/>
    <w:rsid w:val="5D16539A"/>
    <w:rsid w:val="5DD22198"/>
    <w:rsid w:val="5E7C453B"/>
    <w:rsid w:val="5ED32B8B"/>
    <w:rsid w:val="5F8E4B52"/>
    <w:rsid w:val="5FD86AC3"/>
    <w:rsid w:val="60240127"/>
    <w:rsid w:val="6087271F"/>
    <w:rsid w:val="60AA2EAE"/>
    <w:rsid w:val="60B85A75"/>
    <w:rsid w:val="629516DA"/>
    <w:rsid w:val="642141E8"/>
    <w:rsid w:val="645A22BC"/>
    <w:rsid w:val="64C768C5"/>
    <w:rsid w:val="650A0F6F"/>
    <w:rsid w:val="65B807E8"/>
    <w:rsid w:val="65E82E9E"/>
    <w:rsid w:val="67945E67"/>
    <w:rsid w:val="68915DBC"/>
    <w:rsid w:val="69E801BB"/>
    <w:rsid w:val="6B740726"/>
    <w:rsid w:val="6BF3632D"/>
    <w:rsid w:val="6DBD162E"/>
    <w:rsid w:val="6E5B57A5"/>
    <w:rsid w:val="6F615651"/>
    <w:rsid w:val="6F816755"/>
    <w:rsid w:val="707C196A"/>
    <w:rsid w:val="714A120D"/>
    <w:rsid w:val="71BB74F2"/>
    <w:rsid w:val="72185C27"/>
    <w:rsid w:val="72E66AD9"/>
    <w:rsid w:val="735C112E"/>
    <w:rsid w:val="739A6387"/>
    <w:rsid w:val="73FB77A4"/>
    <w:rsid w:val="74235525"/>
    <w:rsid w:val="75511B49"/>
    <w:rsid w:val="77706E4D"/>
    <w:rsid w:val="777549D1"/>
    <w:rsid w:val="77AE2E11"/>
    <w:rsid w:val="77B6435A"/>
    <w:rsid w:val="77BC067B"/>
    <w:rsid w:val="77CE2C24"/>
    <w:rsid w:val="77E12BF9"/>
    <w:rsid w:val="79901B38"/>
    <w:rsid w:val="79A34DCD"/>
    <w:rsid w:val="79BA1C06"/>
    <w:rsid w:val="79CA67B5"/>
    <w:rsid w:val="7ADC7A92"/>
    <w:rsid w:val="7B210965"/>
    <w:rsid w:val="7BD34ADA"/>
    <w:rsid w:val="7C615F71"/>
    <w:rsid w:val="7C707C7F"/>
    <w:rsid w:val="7C995D97"/>
    <w:rsid w:val="7DF7790F"/>
    <w:rsid w:val="7E421A24"/>
    <w:rsid w:val="7E510C2C"/>
    <w:rsid w:val="7E84376D"/>
    <w:rsid w:val="7E9A2903"/>
    <w:rsid w:val="7EC73F50"/>
    <w:rsid w:val="7FA84A86"/>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ocked="1"/>
    <w:lsdException w:qFormat="1" w:unhideWhenUsed="0" w:uiPriority="0" w:semiHidden="0" w:name="heading 6" w:locked="1"/>
    <w:lsdException w:qFormat="1" w:unhideWhenUsed="0" w:uiPriority="0" w:semiHidden="0" w:name="heading 7" w:locked="1"/>
    <w:lsdException w:qFormat="1" w:unhideWhenUsed="0" w:uiPriority="0" w:semiHidden="0" w:name="heading 8" w:locked="1"/>
    <w:lsdException w:qFormat="1" w:unhideWhenUsed="0" w:uiPriority="0" w:semiHidden="0"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uiPriority="99" w:name="Normal Indent" w:locked="1"/>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qFormat="1" w:uiPriority="99" w:semiHidden="0" w:name="footnote reference" w:locked="1"/>
    <w:lsdException w:uiPriority="99" w:name="annotation reference" w:locked="1"/>
    <w:lsdException w:uiPriority="99" w:name="line number" w:locked="1"/>
    <w:lsdException w:uiPriority="99"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ocked="1"/>
    <w:lsdException w:uiPriority="99" w:name="Closing" w:locked="1"/>
    <w:lsdException w:uiPriority="99" w:name="Signature" w:locked="1"/>
    <w:lsdException w:uiPriority="1" w:name="Default Paragraph Font"/>
    <w:lsdException w:qFormat="1" w:unhideWhenUsed="0" w:uiPriority="0" w:semiHidden="0" w:name="Body Text"/>
    <w:lsdException w:qFormat="1" w:unhideWhenUsed="0" w:uiPriority="0"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0"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qFormat="1" w:unhideWhenUsed="0" w:uiPriority="0" w:semiHidden="0" w:name="Body Text 3" w:locked="1"/>
    <w:lsdException w:uiPriority="99" w:name="Body Text Indent 2" w:locked="1"/>
    <w:lsdException w:qFormat="1" w:unhideWhenUsed="0" w:uiPriority="0" w:semiHidden="0"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iPriority="0" w:semiHidden="0" w:name="Document Map" w:locked="1"/>
    <w:lsdException w:uiPriority="99" w:name="Plain Text" w:locked="1"/>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0" w:semiHidden="0"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0" w:semiHidden="0" w:name="Balloon Text"/>
    <w:lsdException w:qFormat="1" w:unhideWhenUsed="0" w:uiPriority="59" w:semiHidden="0" w:name="Table Grid" w:locked="1"/>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Calibri" w:hAnsi="Calibri" w:eastAsia="宋体" w:cs="Times New Roman"/>
      <w:sz w:val="22"/>
      <w:szCs w:val="22"/>
      <w:lang w:val="en-US" w:eastAsia="en-US" w:bidi="ar-SA"/>
    </w:rPr>
  </w:style>
  <w:style w:type="paragraph" w:styleId="2">
    <w:name w:val="heading 1"/>
    <w:basedOn w:val="1"/>
    <w:next w:val="1"/>
    <w:link w:val="38"/>
    <w:qFormat/>
    <w:uiPriority w:val="0"/>
    <w:pPr>
      <w:ind w:left="3"/>
      <w:outlineLvl w:val="0"/>
    </w:pPr>
    <w:rPr>
      <w:rFonts w:ascii="Microsoft JhengHei" w:hAnsi="Microsoft JhengHei" w:eastAsia="Microsoft JhengHei"/>
      <w:b/>
      <w:bCs/>
      <w:sz w:val="44"/>
      <w:szCs w:val="44"/>
    </w:rPr>
  </w:style>
  <w:style w:type="paragraph" w:styleId="3">
    <w:name w:val="heading 2"/>
    <w:basedOn w:val="1"/>
    <w:next w:val="1"/>
    <w:link w:val="39"/>
    <w:qFormat/>
    <w:uiPriority w:val="0"/>
    <w:pPr>
      <w:ind w:left="100"/>
      <w:outlineLvl w:val="1"/>
    </w:pPr>
    <w:rPr>
      <w:rFonts w:ascii="Microsoft JhengHei" w:hAnsi="Microsoft JhengHei" w:eastAsia="Microsoft JhengHei"/>
      <w:b/>
      <w:bCs/>
      <w:sz w:val="32"/>
      <w:szCs w:val="32"/>
    </w:rPr>
  </w:style>
  <w:style w:type="paragraph" w:styleId="4">
    <w:name w:val="heading 3"/>
    <w:basedOn w:val="1"/>
    <w:next w:val="1"/>
    <w:link w:val="40"/>
    <w:qFormat/>
    <w:uiPriority w:val="0"/>
    <w:pPr>
      <w:ind w:left="237"/>
      <w:outlineLvl w:val="2"/>
    </w:pPr>
    <w:rPr>
      <w:rFonts w:ascii="宋体" w:hAnsi="宋体"/>
      <w:sz w:val="28"/>
      <w:szCs w:val="28"/>
    </w:rPr>
  </w:style>
  <w:style w:type="paragraph" w:styleId="5">
    <w:name w:val="heading 4"/>
    <w:basedOn w:val="1"/>
    <w:next w:val="1"/>
    <w:link w:val="41"/>
    <w:qFormat/>
    <w:uiPriority w:val="0"/>
    <w:pPr>
      <w:ind w:left="522"/>
      <w:outlineLvl w:val="3"/>
    </w:pPr>
    <w:rPr>
      <w:rFonts w:ascii="Times New Roman" w:hAnsi="Times New Roman"/>
      <w:b/>
      <w:bCs/>
      <w:sz w:val="21"/>
      <w:szCs w:val="21"/>
    </w:rPr>
  </w:style>
  <w:style w:type="paragraph" w:styleId="6">
    <w:name w:val="heading 6"/>
    <w:basedOn w:val="1"/>
    <w:next w:val="1"/>
    <w:link w:val="42"/>
    <w:qFormat/>
    <w:locked/>
    <w:uiPriority w:val="0"/>
    <w:pPr>
      <w:keepNext/>
      <w:keepLines/>
      <w:widowControl/>
      <w:tabs>
        <w:tab w:val="left" w:pos="1440"/>
      </w:tabs>
      <w:spacing w:before="240" w:after="64" w:line="320" w:lineRule="auto"/>
      <w:ind w:left="1152" w:hanging="1152"/>
      <w:outlineLvl w:val="5"/>
    </w:pPr>
    <w:rPr>
      <w:rFonts w:ascii="Arial" w:hAnsi="Arial" w:eastAsia="黑体"/>
      <w:b/>
      <w:bCs/>
      <w:sz w:val="24"/>
      <w:szCs w:val="24"/>
      <w:lang w:eastAsia="zh-CN"/>
    </w:rPr>
  </w:style>
  <w:style w:type="paragraph" w:styleId="7">
    <w:name w:val="heading 7"/>
    <w:basedOn w:val="1"/>
    <w:next w:val="1"/>
    <w:link w:val="43"/>
    <w:qFormat/>
    <w:locked/>
    <w:uiPriority w:val="0"/>
    <w:pPr>
      <w:keepNext/>
      <w:keepLines/>
      <w:widowControl/>
      <w:tabs>
        <w:tab w:val="left" w:pos="2520"/>
      </w:tabs>
      <w:spacing w:before="240" w:after="64" w:line="320" w:lineRule="auto"/>
      <w:ind w:left="1296" w:hanging="1296"/>
      <w:outlineLvl w:val="6"/>
    </w:pPr>
    <w:rPr>
      <w:rFonts w:ascii="Times New Roman" w:hAnsi="Times New Roman"/>
      <w:b/>
      <w:bCs/>
      <w:sz w:val="24"/>
      <w:szCs w:val="24"/>
      <w:lang w:eastAsia="zh-CN"/>
    </w:rPr>
  </w:style>
  <w:style w:type="paragraph" w:styleId="8">
    <w:name w:val="heading 8"/>
    <w:basedOn w:val="1"/>
    <w:next w:val="1"/>
    <w:link w:val="44"/>
    <w:qFormat/>
    <w:locked/>
    <w:uiPriority w:val="0"/>
    <w:pPr>
      <w:keepNext/>
      <w:keepLines/>
      <w:widowControl/>
      <w:tabs>
        <w:tab w:val="left" w:pos="1440"/>
      </w:tabs>
      <w:spacing w:before="240" w:after="64" w:line="320" w:lineRule="auto"/>
      <w:ind w:left="1440" w:hanging="1440"/>
      <w:outlineLvl w:val="7"/>
    </w:pPr>
    <w:rPr>
      <w:rFonts w:ascii="Arial" w:hAnsi="Arial" w:eastAsia="黑体"/>
      <w:sz w:val="24"/>
      <w:szCs w:val="24"/>
      <w:lang w:eastAsia="zh-CN"/>
    </w:rPr>
  </w:style>
  <w:style w:type="paragraph" w:styleId="9">
    <w:name w:val="heading 9"/>
    <w:basedOn w:val="1"/>
    <w:next w:val="1"/>
    <w:link w:val="45"/>
    <w:qFormat/>
    <w:locked/>
    <w:uiPriority w:val="0"/>
    <w:pPr>
      <w:keepNext/>
      <w:keepLines/>
      <w:widowControl/>
      <w:tabs>
        <w:tab w:val="left" w:pos="1584"/>
      </w:tabs>
      <w:spacing w:before="240" w:after="64" w:line="320" w:lineRule="auto"/>
      <w:ind w:left="1584" w:hanging="1584"/>
      <w:outlineLvl w:val="8"/>
    </w:pPr>
    <w:rPr>
      <w:rFonts w:ascii="Arial" w:hAnsi="Arial" w:eastAsia="黑体"/>
      <w:sz w:val="20"/>
      <w:szCs w:val="21"/>
      <w:lang w:eastAsia="zh-CN"/>
    </w:rPr>
  </w:style>
  <w:style w:type="character" w:default="1" w:styleId="33">
    <w:name w:val="Default Paragraph Font"/>
    <w:unhideWhenUsed/>
    <w:uiPriority w:val="1"/>
  </w:style>
  <w:style w:type="table" w:default="1" w:styleId="37">
    <w:name w:val="Normal Table"/>
    <w:unhideWhenUsed/>
    <w:qFormat/>
    <w:uiPriority w:val="99"/>
    <w:tblPr>
      <w:tblLayout w:type="fixed"/>
      <w:tblCellMar>
        <w:top w:w="0" w:type="dxa"/>
        <w:left w:w="108" w:type="dxa"/>
        <w:bottom w:w="0" w:type="dxa"/>
        <w:right w:w="108" w:type="dxa"/>
      </w:tblCellMar>
    </w:tblPr>
  </w:style>
  <w:style w:type="paragraph" w:styleId="10">
    <w:name w:val="annotation subject"/>
    <w:basedOn w:val="11"/>
    <w:next w:val="11"/>
    <w:link w:val="127"/>
    <w:qFormat/>
    <w:locked/>
    <w:uiPriority w:val="0"/>
    <w:rPr>
      <w:rFonts w:ascii="Calibri" w:hAnsi="Calibri"/>
      <w:b/>
      <w:bCs/>
      <w:kern w:val="0"/>
      <w:sz w:val="20"/>
      <w:szCs w:val="24"/>
    </w:rPr>
  </w:style>
  <w:style w:type="paragraph" w:styleId="11">
    <w:name w:val="annotation text"/>
    <w:basedOn w:val="1"/>
    <w:link w:val="56"/>
    <w:qFormat/>
    <w:uiPriority w:val="99"/>
    <w:rPr>
      <w:rFonts w:ascii="Times New Roman" w:hAnsi="Times New Roman"/>
      <w:kern w:val="2"/>
      <w:sz w:val="21"/>
      <w:lang w:eastAsia="zh-CN"/>
    </w:rPr>
  </w:style>
  <w:style w:type="paragraph" w:styleId="12">
    <w:name w:val="toc 7"/>
    <w:basedOn w:val="1"/>
    <w:next w:val="1"/>
    <w:qFormat/>
    <w:uiPriority w:val="39"/>
    <w:pPr>
      <w:ind w:left="2520" w:leftChars="1200"/>
      <w:jc w:val="both"/>
    </w:pPr>
    <w:rPr>
      <w:kern w:val="2"/>
      <w:sz w:val="21"/>
      <w:lang w:eastAsia="zh-CN"/>
    </w:rPr>
  </w:style>
  <w:style w:type="paragraph" w:styleId="13">
    <w:name w:val="Document Map"/>
    <w:basedOn w:val="1"/>
    <w:link w:val="97"/>
    <w:unhideWhenUsed/>
    <w:qFormat/>
    <w:locked/>
    <w:uiPriority w:val="0"/>
    <w:pPr>
      <w:jc w:val="both"/>
    </w:pPr>
    <w:rPr>
      <w:rFonts w:ascii="宋体"/>
      <w:kern w:val="2"/>
      <w:sz w:val="18"/>
      <w:szCs w:val="18"/>
      <w:lang w:eastAsia="zh-CN"/>
    </w:rPr>
  </w:style>
  <w:style w:type="paragraph" w:styleId="14">
    <w:name w:val="Body Text 3"/>
    <w:basedOn w:val="1"/>
    <w:link w:val="123"/>
    <w:qFormat/>
    <w:locked/>
    <w:uiPriority w:val="0"/>
    <w:pPr>
      <w:jc w:val="both"/>
    </w:pPr>
    <w:rPr>
      <w:rFonts w:ascii="宋体"/>
      <w:sz w:val="24"/>
      <w:szCs w:val="20"/>
      <w:lang w:eastAsia="zh-CN"/>
    </w:rPr>
  </w:style>
  <w:style w:type="paragraph" w:styleId="15">
    <w:name w:val="Body Text"/>
    <w:basedOn w:val="1"/>
    <w:link w:val="47"/>
    <w:qFormat/>
    <w:uiPriority w:val="0"/>
    <w:pPr>
      <w:ind w:left="100"/>
    </w:pPr>
    <w:rPr>
      <w:rFonts w:ascii="宋体" w:hAnsi="宋体"/>
      <w:sz w:val="21"/>
      <w:szCs w:val="21"/>
    </w:rPr>
  </w:style>
  <w:style w:type="paragraph" w:styleId="16">
    <w:name w:val="Body Text Indent"/>
    <w:basedOn w:val="1"/>
    <w:link w:val="129"/>
    <w:qFormat/>
    <w:locked/>
    <w:uiPriority w:val="0"/>
    <w:pPr>
      <w:spacing w:after="120"/>
      <w:ind w:left="420" w:leftChars="200"/>
      <w:jc w:val="both"/>
    </w:pPr>
    <w:rPr>
      <w:sz w:val="20"/>
      <w:szCs w:val="24"/>
      <w:lang w:eastAsia="zh-CN"/>
    </w:rPr>
  </w:style>
  <w:style w:type="paragraph" w:styleId="17">
    <w:name w:val="toc 5"/>
    <w:basedOn w:val="1"/>
    <w:next w:val="1"/>
    <w:qFormat/>
    <w:uiPriority w:val="39"/>
    <w:pPr>
      <w:ind w:left="1680" w:leftChars="800"/>
      <w:jc w:val="both"/>
    </w:pPr>
    <w:rPr>
      <w:kern w:val="2"/>
      <w:sz w:val="21"/>
      <w:lang w:eastAsia="zh-CN"/>
    </w:rPr>
  </w:style>
  <w:style w:type="paragraph" w:styleId="18">
    <w:name w:val="toc 3"/>
    <w:basedOn w:val="1"/>
    <w:next w:val="1"/>
    <w:qFormat/>
    <w:uiPriority w:val="39"/>
    <w:pPr>
      <w:ind w:left="940"/>
    </w:pPr>
    <w:rPr>
      <w:rFonts w:ascii="宋体" w:hAnsi="宋体"/>
      <w:sz w:val="21"/>
      <w:szCs w:val="21"/>
    </w:rPr>
  </w:style>
  <w:style w:type="paragraph" w:styleId="19">
    <w:name w:val="toc 8"/>
    <w:basedOn w:val="1"/>
    <w:next w:val="1"/>
    <w:qFormat/>
    <w:uiPriority w:val="39"/>
    <w:pPr>
      <w:ind w:left="2940" w:leftChars="1400"/>
      <w:jc w:val="both"/>
    </w:pPr>
    <w:rPr>
      <w:kern w:val="2"/>
      <w:sz w:val="21"/>
      <w:lang w:eastAsia="zh-CN"/>
    </w:rPr>
  </w:style>
  <w:style w:type="paragraph" w:styleId="20">
    <w:name w:val="Date"/>
    <w:basedOn w:val="1"/>
    <w:next w:val="1"/>
    <w:link w:val="57"/>
    <w:qFormat/>
    <w:uiPriority w:val="0"/>
    <w:pPr>
      <w:ind w:left="100" w:leftChars="2500"/>
      <w:jc w:val="both"/>
    </w:pPr>
    <w:rPr>
      <w:kern w:val="2"/>
      <w:sz w:val="21"/>
      <w:lang w:eastAsia="zh-CN"/>
    </w:rPr>
  </w:style>
  <w:style w:type="paragraph" w:styleId="21">
    <w:name w:val="Balloon Text"/>
    <w:basedOn w:val="1"/>
    <w:link w:val="51"/>
    <w:qFormat/>
    <w:uiPriority w:val="0"/>
    <w:rPr>
      <w:sz w:val="18"/>
      <w:szCs w:val="18"/>
    </w:rPr>
  </w:style>
  <w:style w:type="paragraph" w:styleId="22">
    <w:name w:val="footer"/>
    <w:basedOn w:val="1"/>
    <w:link w:val="53"/>
    <w:qFormat/>
    <w:uiPriority w:val="99"/>
    <w:pPr>
      <w:tabs>
        <w:tab w:val="center" w:pos="4153"/>
        <w:tab w:val="right" w:pos="8306"/>
      </w:tabs>
      <w:snapToGrid w:val="0"/>
    </w:pPr>
    <w:rPr>
      <w:sz w:val="18"/>
      <w:szCs w:val="18"/>
    </w:rPr>
  </w:style>
  <w:style w:type="paragraph" w:styleId="23">
    <w:name w:val="header"/>
    <w:basedOn w:val="1"/>
    <w:link w:val="52"/>
    <w:qFormat/>
    <w:uiPriority w:val="99"/>
    <w:pPr>
      <w:pBdr>
        <w:bottom w:val="single" w:color="auto" w:sz="6" w:space="1"/>
      </w:pBdr>
      <w:tabs>
        <w:tab w:val="center" w:pos="4153"/>
        <w:tab w:val="right" w:pos="8306"/>
      </w:tabs>
      <w:snapToGrid w:val="0"/>
      <w:jc w:val="center"/>
    </w:pPr>
    <w:rPr>
      <w:sz w:val="18"/>
      <w:szCs w:val="18"/>
    </w:rPr>
  </w:style>
  <w:style w:type="paragraph" w:styleId="24">
    <w:name w:val="toc 1"/>
    <w:basedOn w:val="1"/>
    <w:next w:val="1"/>
    <w:qFormat/>
    <w:uiPriority w:val="39"/>
    <w:pPr>
      <w:ind w:left="100"/>
    </w:pPr>
    <w:rPr>
      <w:rFonts w:ascii="宋体" w:hAnsi="宋体"/>
      <w:sz w:val="21"/>
      <w:szCs w:val="21"/>
    </w:rPr>
  </w:style>
  <w:style w:type="paragraph" w:styleId="25">
    <w:name w:val="toc 4"/>
    <w:basedOn w:val="1"/>
    <w:next w:val="1"/>
    <w:qFormat/>
    <w:uiPriority w:val="39"/>
    <w:pPr>
      <w:ind w:left="1260" w:leftChars="600"/>
      <w:jc w:val="both"/>
    </w:pPr>
    <w:rPr>
      <w:kern w:val="2"/>
      <w:sz w:val="21"/>
      <w:lang w:eastAsia="zh-CN"/>
    </w:rPr>
  </w:style>
  <w:style w:type="paragraph" w:styleId="26">
    <w:name w:val="footnote text"/>
    <w:basedOn w:val="1"/>
    <w:link w:val="93"/>
    <w:qFormat/>
    <w:uiPriority w:val="99"/>
    <w:pPr>
      <w:snapToGrid w:val="0"/>
    </w:pPr>
    <w:rPr>
      <w:kern w:val="2"/>
      <w:sz w:val="18"/>
      <w:szCs w:val="18"/>
      <w:lang w:eastAsia="zh-CN"/>
    </w:rPr>
  </w:style>
  <w:style w:type="paragraph" w:styleId="27">
    <w:name w:val="toc 6"/>
    <w:basedOn w:val="1"/>
    <w:next w:val="1"/>
    <w:qFormat/>
    <w:uiPriority w:val="39"/>
    <w:pPr>
      <w:ind w:left="2100" w:leftChars="1000"/>
      <w:jc w:val="both"/>
    </w:pPr>
    <w:rPr>
      <w:kern w:val="2"/>
      <w:sz w:val="21"/>
      <w:lang w:eastAsia="zh-CN"/>
    </w:rPr>
  </w:style>
  <w:style w:type="paragraph" w:styleId="28">
    <w:name w:val="Body Text Indent 3"/>
    <w:basedOn w:val="1"/>
    <w:link w:val="125"/>
    <w:qFormat/>
    <w:locked/>
    <w:uiPriority w:val="0"/>
    <w:pPr>
      <w:spacing w:after="120"/>
      <w:ind w:left="420" w:leftChars="200"/>
      <w:jc w:val="both"/>
    </w:pPr>
    <w:rPr>
      <w:sz w:val="16"/>
      <w:szCs w:val="16"/>
      <w:lang w:eastAsia="zh-CN"/>
    </w:rPr>
  </w:style>
  <w:style w:type="paragraph" w:styleId="29">
    <w:name w:val="toc 2"/>
    <w:basedOn w:val="1"/>
    <w:next w:val="1"/>
    <w:qFormat/>
    <w:uiPriority w:val="39"/>
    <w:pPr>
      <w:ind w:left="520"/>
    </w:pPr>
    <w:rPr>
      <w:rFonts w:ascii="宋体" w:hAnsi="宋体"/>
      <w:sz w:val="21"/>
      <w:szCs w:val="21"/>
    </w:rPr>
  </w:style>
  <w:style w:type="paragraph" w:styleId="30">
    <w:name w:val="toc 9"/>
    <w:basedOn w:val="1"/>
    <w:next w:val="1"/>
    <w:qFormat/>
    <w:uiPriority w:val="39"/>
    <w:pPr>
      <w:ind w:left="3360" w:leftChars="1600"/>
      <w:jc w:val="both"/>
    </w:pPr>
    <w:rPr>
      <w:kern w:val="2"/>
      <w:sz w:val="21"/>
      <w:lang w:eastAsia="zh-CN"/>
    </w:rPr>
  </w:style>
  <w:style w:type="paragraph" w:styleId="31">
    <w:name w:val="Normal (Web)"/>
    <w:basedOn w:val="1"/>
    <w:qFormat/>
    <w:uiPriority w:val="99"/>
    <w:pPr>
      <w:widowControl/>
      <w:spacing w:before="100" w:beforeAutospacing="1" w:after="100" w:afterAutospacing="1"/>
    </w:pPr>
    <w:rPr>
      <w:rFonts w:ascii="宋体" w:hAnsi="宋体" w:cs="宋体"/>
      <w:sz w:val="24"/>
      <w:szCs w:val="24"/>
      <w:lang w:eastAsia="zh-CN"/>
    </w:rPr>
  </w:style>
  <w:style w:type="paragraph" w:styleId="32">
    <w:name w:val="Title"/>
    <w:basedOn w:val="1"/>
    <w:link w:val="121"/>
    <w:qFormat/>
    <w:locked/>
    <w:uiPriority w:val="0"/>
    <w:pPr>
      <w:adjustRightInd w:val="0"/>
      <w:spacing w:before="240" w:after="60" w:line="420" w:lineRule="atLeast"/>
      <w:jc w:val="center"/>
      <w:textAlignment w:val="baseline"/>
      <w:outlineLvl w:val="0"/>
    </w:pPr>
    <w:rPr>
      <w:rFonts w:ascii="Arial" w:hAnsi="Arial"/>
      <w:b/>
      <w:sz w:val="32"/>
      <w:szCs w:val="20"/>
      <w:lang w:eastAsia="zh-CN"/>
    </w:rPr>
  </w:style>
  <w:style w:type="character" w:styleId="34">
    <w:name w:val="FollowedHyperlink"/>
    <w:qFormat/>
    <w:uiPriority w:val="99"/>
    <w:rPr>
      <w:rFonts w:cs="Times New Roman"/>
      <w:color w:val="800080"/>
      <w:u w:val="single"/>
    </w:rPr>
  </w:style>
  <w:style w:type="character" w:styleId="35">
    <w:name w:val="Hyperlink"/>
    <w:basedOn w:val="33"/>
    <w:qFormat/>
    <w:uiPriority w:val="99"/>
    <w:rPr>
      <w:rFonts w:cs="Times New Roman"/>
      <w:color w:val="0000FF"/>
      <w:u w:val="single"/>
    </w:rPr>
  </w:style>
  <w:style w:type="character" w:styleId="36">
    <w:name w:val="footnote reference"/>
    <w:unhideWhenUsed/>
    <w:qFormat/>
    <w:locked/>
    <w:uiPriority w:val="99"/>
    <w:rPr>
      <w:vertAlign w:val="superscript"/>
    </w:rPr>
  </w:style>
  <w:style w:type="character" w:customStyle="1" w:styleId="38">
    <w:name w:val="标题 1 Char"/>
    <w:link w:val="2"/>
    <w:qFormat/>
    <w:locked/>
    <w:uiPriority w:val="0"/>
    <w:rPr>
      <w:rFonts w:ascii="Microsoft JhengHei" w:hAnsi="Microsoft JhengHei" w:eastAsia="Microsoft JhengHei" w:cs="Times New Roman"/>
      <w:b/>
      <w:bCs/>
      <w:sz w:val="44"/>
      <w:szCs w:val="44"/>
    </w:rPr>
  </w:style>
  <w:style w:type="character" w:customStyle="1" w:styleId="39">
    <w:name w:val="标题 2 Char"/>
    <w:link w:val="3"/>
    <w:qFormat/>
    <w:locked/>
    <w:uiPriority w:val="0"/>
    <w:rPr>
      <w:rFonts w:ascii="Microsoft JhengHei" w:hAnsi="Microsoft JhengHei" w:eastAsia="Microsoft JhengHei" w:cs="Times New Roman"/>
      <w:b/>
      <w:bCs/>
      <w:sz w:val="32"/>
      <w:szCs w:val="32"/>
    </w:rPr>
  </w:style>
  <w:style w:type="character" w:customStyle="1" w:styleId="40">
    <w:name w:val="标题 3 Char"/>
    <w:link w:val="4"/>
    <w:qFormat/>
    <w:locked/>
    <w:uiPriority w:val="0"/>
    <w:rPr>
      <w:rFonts w:ascii="宋体" w:hAnsi="宋体" w:eastAsia="宋体" w:cs="Times New Roman"/>
      <w:sz w:val="28"/>
      <w:szCs w:val="28"/>
    </w:rPr>
  </w:style>
  <w:style w:type="character" w:customStyle="1" w:styleId="41">
    <w:name w:val="标题 4 Char"/>
    <w:link w:val="5"/>
    <w:qFormat/>
    <w:locked/>
    <w:uiPriority w:val="0"/>
    <w:rPr>
      <w:rFonts w:ascii="Cambria" w:hAnsi="Cambria" w:eastAsia="宋体" w:cs="Times New Roman"/>
      <w:b/>
      <w:bCs/>
      <w:kern w:val="0"/>
      <w:sz w:val="28"/>
      <w:szCs w:val="28"/>
      <w:lang w:eastAsia="en-US"/>
    </w:rPr>
  </w:style>
  <w:style w:type="character" w:customStyle="1" w:styleId="42">
    <w:name w:val="标题 6 Char"/>
    <w:link w:val="6"/>
    <w:qFormat/>
    <w:uiPriority w:val="0"/>
    <w:rPr>
      <w:rFonts w:ascii="Arial" w:hAnsi="Arial" w:eastAsia="黑体"/>
      <w:b/>
      <w:bCs/>
      <w:sz w:val="24"/>
      <w:szCs w:val="24"/>
    </w:rPr>
  </w:style>
  <w:style w:type="character" w:customStyle="1" w:styleId="43">
    <w:name w:val="标题 7 Char"/>
    <w:link w:val="7"/>
    <w:qFormat/>
    <w:uiPriority w:val="0"/>
    <w:rPr>
      <w:rFonts w:ascii="Times New Roman" w:hAnsi="Times New Roman"/>
      <w:b/>
      <w:bCs/>
      <w:sz w:val="24"/>
      <w:szCs w:val="24"/>
    </w:rPr>
  </w:style>
  <w:style w:type="character" w:customStyle="1" w:styleId="44">
    <w:name w:val="标题 8 Char"/>
    <w:link w:val="8"/>
    <w:qFormat/>
    <w:uiPriority w:val="0"/>
    <w:rPr>
      <w:rFonts w:ascii="Arial" w:hAnsi="Arial" w:eastAsia="黑体"/>
      <w:sz w:val="24"/>
      <w:szCs w:val="24"/>
    </w:rPr>
  </w:style>
  <w:style w:type="character" w:customStyle="1" w:styleId="45">
    <w:name w:val="标题 9 Char"/>
    <w:link w:val="9"/>
    <w:qFormat/>
    <w:uiPriority w:val="0"/>
    <w:rPr>
      <w:rFonts w:ascii="Arial" w:hAnsi="Arial" w:eastAsia="黑体"/>
      <w:szCs w:val="21"/>
    </w:rPr>
  </w:style>
  <w:style w:type="table" w:customStyle="1" w:styleId="46">
    <w:name w:val="Table Normal1"/>
    <w:semiHidden/>
    <w:qFormat/>
    <w:uiPriority w:val="99"/>
    <w:pPr>
      <w:widowControl w:val="0"/>
    </w:pPr>
    <w:rPr>
      <w:sz w:val="22"/>
      <w:szCs w:val="22"/>
      <w:lang w:eastAsia="en-US"/>
    </w:rPr>
    <w:tblPr>
      <w:tblLayout w:type="fixed"/>
      <w:tblCellMar>
        <w:top w:w="0" w:type="dxa"/>
        <w:left w:w="0" w:type="dxa"/>
        <w:bottom w:w="0" w:type="dxa"/>
        <w:right w:w="0" w:type="dxa"/>
      </w:tblCellMar>
    </w:tblPr>
  </w:style>
  <w:style w:type="character" w:customStyle="1" w:styleId="47">
    <w:name w:val="正文文本 Char"/>
    <w:link w:val="15"/>
    <w:qFormat/>
    <w:locked/>
    <w:uiPriority w:val="0"/>
    <w:rPr>
      <w:rFonts w:cs="Times New Roman"/>
      <w:kern w:val="0"/>
      <w:sz w:val="22"/>
      <w:lang w:eastAsia="en-US"/>
    </w:rPr>
  </w:style>
  <w:style w:type="paragraph" w:customStyle="1" w:styleId="48">
    <w:name w:val="列出段落1"/>
    <w:basedOn w:val="1"/>
    <w:link w:val="49"/>
    <w:qFormat/>
    <w:uiPriority w:val="99"/>
  </w:style>
  <w:style w:type="character" w:customStyle="1" w:styleId="49">
    <w:name w:val="列出段落 Char"/>
    <w:link w:val="48"/>
    <w:qFormat/>
    <w:locked/>
    <w:uiPriority w:val="34"/>
  </w:style>
  <w:style w:type="paragraph" w:customStyle="1" w:styleId="50">
    <w:name w:val="Table Paragraph"/>
    <w:basedOn w:val="1"/>
    <w:qFormat/>
    <w:uiPriority w:val="99"/>
  </w:style>
  <w:style w:type="character" w:customStyle="1" w:styleId="51">
    <w:name w:val="批注框文本 Char"/>
    <w:link w:val="21"/>
    <w:qFormat/>
    <w:locked/>
    <w:uiPriority w:val="0"/>
    <w:rPr>
      <w:rFonts w:cs="Times New Roman"/>
      <w:sz w:val="18"/>
      <w:szCs w:val="18"/>
    </w:rPr>
  </w:style>
  <w:style w:type="character" w:customStyle="1" w:styleId="52">
    <w:name w:val="页眉 Char"/>
    <w:link w:val="23"/>
    <w:qFormat/>
    <w:locked/>
    <w:uiPriority w:val="99"/>
    <w:rPr>
      <w:rFonts w:cs="Times New Roman"/>
      <w:sz w:val="18"/>
      <w:szCs w:val="18"/>
    </w:rPr>
  </w:style>
  <w:style w:type="character" w:customStyle="1" w:styleId="53">
    <w:name w:val="页脚 Char"/>
    <w:link w:val="22"/>
    <w:qFormat/>
    <w:locked/>
    <w:uiPriority w:val="99"/>
    <w:rPr>
      <w:rFonts w:cs="Times New Roman"/>
      <w:sz w:val="18"/>
      <w:szCs w:val="18"/>
    </w:rPr>
  </w:style>
  <w:style w:type="paragraph" w:customStyle="1" w:styleId="54">
    <w:name w:val="p0"/>
    <w:basedOn w:val="1"/>
    <w:qFormat/>
    <w:uiPriority w:val="0"/>
    <w:pPr>
      <w:widowControl/>
      <w:jc w:val="both"/>
    </w:pPr>
    <w:rPr>
      <w:rFonts w:cs="宋体"/>
      <w:sz w:val="21"/>
      <w:szCs w:val="21"/>
      <w:lang w:eastAsia="zh-CN"/>
    </w:rPr>
  </w:style>
  <w:style w:type="paragraph" w:customStyle="1" w:styleId="55">
    <w:name w:val="列出段落111"/>
    <w:basedOn w:val="1"/>
    <w:qFormat/>
    <w:uiPriority w:val="34"/>
    <w:pPr>
      <w:ind w:firstLine="420" w:firstLineChars="200"/>
      <w:jc w:val="both"/>
    </w:pPr>
    <w:rPr>
      <w:rFonts w:ascii="Times New Roman" w:hAnsi="Times New Roman"/>
      <w:kern w:val="2"/>
      <w:sz w:val="21"/>
      <w:szCs w:val="24"/>
      <w:lang w:eastAsia="zh-CN"/>
    </w:rPr>
  </w:style>
  <w:style w:type="character" w:customStyle="1" w:styleId="56">
    <w:name w:val="批注文字 Char"/>
    <w:link w:val="11"/>
    <w:qFormat/>
    <w:locked/>
    <w:uiPriority w:val="99"/>
    <w:rPr>
      <w:rFonts w:ascii="Times New Roman" w:hAnsi="Times New Roman" w:cs="Times New Roman"/>
      <w:kern w:val="2"/>
      <w:sz w:val="21"/>
      <w:lang w:eastAsia="zh-CN"/>
    </w:rPr>
  </w:style>
  <w:style w:type="character" w:customStyle="1" w:styleId="57">
    <w:name w:val="日期 Char"/>
    <w:link w:val="20"/>
    <w:qFormat/>
    <w:locked/>
    <w:uiPriority w:val="0"/>
    <w:rPr>
      <w:rFonts w:cs="Times New Roman"/>
      <w:kern w:val="2"/>
      <w:sz w:val="21"/>
      <w:lang w:eastAsia="zh-CN"/>
    </w:rPr>
  </w:style>
  <w:style w:type="character" w:customStyle="1" w:styleId="58">
    <w:name w:val="页脚 Char1"/>
    <w:qFormat/>
    <w:uiPriority w:val="0"/>
    <w:rPr>
      <w:rFonts w:ascii="Calibri" w:hAnsi="Calibri" w:eastAsia="宋体"/>
      <w:kern w:val="2"/>
      <w:sz w:val="18"/>
    </w:rPr>
  </w:style>
  <w:style w:type="character" w:customStyle="1" w:styleId="59">
    <w:name w:val="页眉 Char1"/>
    <w:qFormat/>
    <w:uiPriority w:val="0"/>
    <w:rPr>
      <w:rFonts w:ascii="Calibri" w:hAnsi="Calibri" w:eastAsia="宋体"/>
      <w:kern w:val="2"/>
      <w:sz w:val="18"/>
    </w:rPr>
  </w:style>
  <w:style w:type="character" w:customStyle="1" w:styleId="60">
    <w:name w:val="样式9 Char"/>
    <w:link w:val="61"/>
    <w:qFormat/>
    <w:locked/>
    <w:uiPriority w:val="0"/>
    <w:rPr>
      <w:rFonts w:ascii="仿宋_GB2312" w:hAnsi="Times New Roman" w:eastAsia="仿宋_GB2312"/>
      <w:sz w:val="32"/>
    </w:rPr>
  </w:style>
  <w:style w:type="paragraph" w:customStyle="1" w:styleId="61">
    <w:name w:val="样式9"/>
    <w:basedOn w:val="1"/>
    <w:link w:val="60"/>
    <w:qFormat/>
    <w:uiPriority w:val="0"/>
    <w:pPr>
      <w:widowControl/>
      <w:spacing w:line="360" w:lineRule="auto"/>
      <w:ind w:left="1271" w:hanging="420"/>
      <w:jc w:val="both"/>
    </w:pPr>
    <w:rPr>
      <w:rFonts w:ascii="仿宋_GB2312" w:hAnsi="Times New Roman" w:eastAsia="仿宋_GB2312"/>
      <w:sz w:val="32"/>
      <w:szCs w:val="20"/>
    </w:rPr>
  </w:style>
  <w:style w:type="paragraph" w:customStyle="1" w:styleId="62">
    <w:name w:val="p15"/>
    <w:basedOn w:val="1"/>
    <w:qFormat/>
    <w:uiPriority w:val="0"/>
    <w:pPr>
      <w:widowControl/>
      <w:spacing w:line="240" w:lineRule="atLeast"/>
      <w:jc w:val="both"/>
    </w:pPr>
    <w:rPr>
      <w:rFonts w:ascii="Times New Roman" w:hAnsi="Times New Roman"/>
      <w:sz w:val="32"/>
      <w:lang w:eastAsia="zh-CN"/>
    </w:rPr>
  </w:style>
  <w:style w:type="paragraph" w:customStyle="1" w:styleId="63">
    <w:name w:val="List Paragraph1"/>
    <w:basedOn w:val="1"/>
    <w:qFormat/>
    <w:uiPriority w:val="0"/>
    <w:pPr>
      <w:ind w:firstLine="420" w:firstLineChars="200"/>
      <w:jc w:val="both"/>
    </w:pPr>
    <w:rPr>
      <w:kern w:val="2"/>
      <w:sz w:val="21"/>
      <w:lang w:eastAsia="zh-CN"/>
    </w:rPr>
  </w:style>
  <w:style w:type="paragraph" w:customStyle="1" w:styleId="64">
    <w:name w:val="列出段落2"/>
    <w:basedOn w:val="1"/>
    <w:qFormat/>
    <w:uiPriority w:val="0"/>
    <w:pPr>
      <w:ind w:firstLine="420" w:firstLineChars="200"/>
      <w:jc w:val="both"/>
    </w:pPr>
    <w:rPr>
      <w:rFonts w:ascii="Times New Roman" w:hAnsi="Times New Roman"/>
      <w:kern w:val="2"/>
      <w:sz w:val="21"/>
      <w:lang w:eastAsia="zh-CN"/>
    </w:rPr>
  </w:style>
  <w:style w:type="paragraph" w:customStyle="1" w:styleId="65">
    <w:name w:val="普通(网站)1"/>
    <w:basedOn w:val="1"/>
    <w:qFormat/>
    <w:uiPriority w:val="0"/>
    <w:pPr>
      <w:widowControl/>
      <w:spacing w:before="100" w:beforeAutospacing="1" w:after="100" w:afterAutospacing="1"/>
    </w:pPr>
    <w:rPr>
      <w:rFonts w:ascii="宋体" w:hAnsi="宋体" w:cs="宋体"/>
      <w:color w:val="000000"/>
      <w:sz w:val="24"/>
      <w:szCs w:val="24"/>
      <w:lang w:eastAsia="zh-CN"/>
    </w:rPr>
  </w:style>
  <w:style w:type="paragraph" w:customStyle="1" w:styleId="66">
    <w:name w:val="纯文本1"/>
    <w:qFormat/>
    <w:uiPriority w:val="0"/>
    <w:pPr>
      <w:suppressAutoHyphens/>
    </w:pPr>
    <w:rPr>
      <w:rFonts w:ascii="宋体" w:hAnsi="宋体" w:eastAsia="宋体" w:cs="宋体"/>
      <w:kern w:val="1"/>
      <w:lang w:val="en-US" w:eastAsia="ar-SA" w:bidi="ar-SA"/>
    </w:rPr>
  </w:style>
  <w:style w:type="paragraph" w:customStyle="1" w:styleId="67">
    <w:name w:val="p17"/>
    <w:basedOn w:val="1"/>
    <w:qFormat/>
    <w:uiPriority w:val="0"/>
    <w:pPr>
      <w:widowControl/>
      <w:spacing w:line="240" w:lineRule="atLeast"/>
      <w:jc w:val="both"/>
    </w:pPr>
    <w:rPr>
      <w:rFonts w:ascii="宋体" w:hAnsi="宋体" w:cs="宋体"/>
      <w:sz w:val="32"/>
      <w:szCs w:val="32"/>
      <w:lang w:eastAsia="zh-CN"/>
    </w:rPr>
  </w:style>
  <w:style w:type="paragraph" w:customStyle="1" w:styleId="68">
    <w:name w:val="font5"/>
    <w:basedOn w:val="1"/>
    <w:qFormat/>
    <w:uiPriority w:val="0"/>
    <w:pPr>
      <w:widowControl/>
      <w:spacing w:before="100" w:beforeAutospacing="1" w:after="100" w:afterAutospacing="1"/>
    </w:pPr>
    <w:rPr>
      <w:rFonts w:ascii="宋体" w:hAnsi="宋体" w:cs="宋体"/>
      <w:sz w:val="18"/>
      <w:szCs w:val="18"/>
      <w:lang w:eastAsia="zh-CN"/>
    </w:rPr>
  </w:style>
  <w:style w:type="paragraph" w:customStyle="1" w:styleId="69">
    <w:name w:val="font6"/>
    <w:basedOn w:val="1"/>
    <w:qFormat/>
    <w:uiPriority w:val="0"/>
    <w:pPr>
      <w:widowControl/>
      <w:spacing w:before="100" w:beforeAutospacing="1" w:after="100" w:afterAutospacing="1"/>
    </w:pPr>
    <w:rPr>
      <w:rFonts w:ascii="宋体" w:hAnsi="宋体" w:cs="宋体"/>
      <w:sz w:val="18"/>
      <w:szCs w:val="18"/>
      <w:lang w:eastAsia="zh-CN"/>
    </w:rPr>
  </w:style>
  <w:style w:type="paragraph" w:customStyle="1" w:styleId="70">
    <w:name w:val="font7"/>
    <w:basedOn w:val="1"/>
    <w:qFormat/>
    <w:uiPriority w:val="0"/>
    <w:pPr>
      <w:widowControl/>
      <w:spacing w:before="100" w:beforeAutospacing="1" w:after="100" w:afterAutospacing="1"/>
    </w:pPr>
    <w:rPr>
      <w:rFonts w:ascii="仿宋" w:hAnsi="仿宋" w:eastAsia="仿宋" w:cs="宋体"/>
      <w:color w:val="000000"/>
      <w:sz w:val="18"/>
      <w:szCs w:val="18"/>
      <w:lang w:eastAsia="zh-CN"/>
    </w:rPr>
  </w:style>
  <w:style w:type="paragraph" w:customStyle="1" w:styleId="71">
    <w:name w:val="font8"/>
    <w:basedOn w:val="1"/>
    <w:qFormat/>
    <w:uiPriority w:val="0"/>
    <w:pPr>
      <w:widowControl/>
      <w:spacing w:before="100" w:beforeAutospacing="1" w:after="100" w:afterAutospacing="1"/>
    </w:pPr>
    <w:rPr>
      <w:rFonts w:ascii="仿宋" w:hAnsi="仿宋" w:eastAsia="仿宋" w:cs="宋体"/>
      <w:b/>
      <w:bCs/>
      <w:i/>
      <w:iCs/>
      <w:color w:val="FF0000"/>
      <w:sz w:val="18"/>
      <w:szCs w:val="18"/>
      <w:u w:val="single"/>
      <w:lang w:eastAsia="zh-CN"/>
    </w:rPr>
  </w:style>
  <w:style w:type="paragraph" w:customStyle="1" w:styleId="72">
    <w:name w:val="xl66"/>
    <w:basedOn w:val="1"/>
    <w:qFormat/>
    <w:uiPriority w:val="0"/>
    <w:pPr>
      <w:widowControl/>
      <w:spacing w:before="100" w:beforeAutospacing="1" w:after="100" w:afterAutospacing="1"/>
      <w:jc w:val="center"/>
      <w:textAlignment w:val="center"/>
    </w:pPr>
    <w:rPr>
      <w:rFonts w:ascii="宋体" w:hAnsi="宋体" w:cs="宋体"/>
      <w:sz w:val="24"/>
      <w:szCs w:val="24"/>
      <w:lang w:eastAsia="zh-CN"/>
    </w:rPr>
  </w:style>
  <w:style w:type="paragraph" w:customStyle="1" w:styleId="73">
    <w:name w:val="xl67"/>
    <w:basedOn w:val="1"/>
    <w:qFormat/>
    <w:uiPriority w:val="0"/>
    <w:pPr>
      <w:widowControl/>
      <w:spacing w:before="100" w:beforeAutospacing="1" w:after="100" w:afterAutospacing="1"/>
      <w:jc w:val="center"/>
      <w:textAlignment w:val="center"/>
    </w:pPr>
    <w:rPr>
      <w:rFonts w:ascii="仿宋" w:hAnsi="仿宋" w:eastAsia="仿宋" w:cs="宋体"/>
      <w:sz w:val="20"/>
      <w:lang w:eastAsia="zh-CN"/>
    </w:rPr>
  </w:style>
  <w:style w:type="paragraph" w:customStyle="1" w:styleId="74">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sz w:val="20"/>
      <w:lang w:eastAsia="zh-CN"/>
    </w:rPr>
  </w:style>
  <w:style w:type="paragraph" w:customStyle="1" w:styleId="75">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仿宋" w:hAnsi="仿宋" w:eastAsia="仿宋" w:cs="宋体"/>
      <w:sz w:val="20"/>
      <w:lang w:eastAsia="zh-CN"/>
    </w:rPr>
  </w:style>
  <w:style w:type="paragraph" w:customStyle="1" w:styleId="76">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仿宋" w:hAnsi="仿宋" w:eastAsia="仿宋" w:cs="宋体"/>
      <w:sz w:val="20"/>
      <w:lang w:eastAsia="zh-CN"/>
    </w:rPr>
  </w:style>
  <w:style w:type="paragraph" w:customStyle="1" w:styleId="77">
    <w:name w:val="xl71"/>
    <w:basedOn w:val="1"/>
    <w:qFormat/>
    <w:uiPriority w:val="0"/>
    <w:pPr>
      <w:widowControl/>
      <w:shd w:val="clear" w:color="000000" w:fill="FFFF00"/>
      <w:spacing w:before="100" w:beforeAutospacing="1" w:after="100" w:afterAutospacing="1"/>
      <w:jc w:val="center"/>
      <w:textAlignment w:val="center"/>
    </w:pPr>
    <w:rPr>
      <w:rFonts w:ascii="宋体" w:hAnsi="宋体" w:cs="宋体"/>
      <w:sz w:val="24"/>
      <w:szCs w:val="24"/>
      <w:lang w:eastAsia="zh-CN"/>
    </w:rPr>
  </w:style>
  <w:style w:type="paragraph" w:customStyle="1" w:styleId="78">
    <w:name w:val="xl72"/>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sz w:val="24"/>
      <w:szCs w:val="24"/>
      <w:lang w:eastAsia="zh-CN"/>
    </w:rPr>
  </w:style>
  <w:style w:type="paragraph" w:customStyle="1" w:styleId="79">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24"/>
      <w:szCs w:val="24"/>
      <w:lang w:eastAsia="zh-CN"/>
    </w:rPr>
  </w:style>
  <w:style w:type="paragraph" w:customStyle="1" w:styleId="80">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sz w:val="24"/>
      <w:szCs w:val="24"/>
      <w:lang w:eastAsia="zh-CN"/>
    </w:rPr>
  </w:style>
  <w:style w:type="paragraph" w:customStyle="1" w:styleId="81">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sz w:val="18"/>
      <w:szCs w:val="18"/>
      <w:lang w:eastAsia="zh-CN"/>
    </w:rPr>
  </w:style>
  <w:style w:type="paragraph" w:customStyle="1" w:styleId="82">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b/>
      <w:bCs/>
      <w:i/>
      <w:iCs/>
      <w:color w:val="FF0000"/>
      <w:sz w:val="18"/>
      <w:szCs w:val="18"/>
      <w:lang w:eastAsia="zh-CN"/>
    </w:rPr>
  </w:style>
  <w:style w:type="paragraph" w:customStyle="1" w:styleId="83">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仿宋" w:hAnsi="仿宋" w:eastAsia="仿宋" w:cs="宋体"/>
      <w:sz w:val="24"/>
      <w:szCs w:val="24"/>
      <w:lang w:eastAsia="zh-CN"/>
    </w:rPr>
  </w:style>
  <w:style w:type="paragraph" w:customStyle="1" w:styleId="84">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仿宋" w:hAnsi="仿宋" w:eastAsia="仿宋" w:cs="宋体"/>
      <w:sz w:val="18"/>
      <w:szCs w:val="18"/>
      <w:lang w:eastAsia="zh-CN"/>
    </w:rPr>
  </w:style>
  <w:style w:type="paragraph" w:customStyle="1" w:styleId="85">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color w:val="000000"/>
      <w:sz w:val="18"/>
      <w:szCs w:val="18"/>
      <w:lang w:eastAsia="zh-CN"/>
    </w:rPr>
  </w:style>
  <w:style w:type="paragraph" w:customStyle="1" w:styleId="86">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b/>
      <w:bCs/>
      <w:sz w:val="24"/>
      <w:szCs w:val="24"/>
      <w:lang w:eastAsia="zh-CN"/>
    </w:rPr>
  </w:style>
  <w:style w:type="paragraph" w:customStyle="1" w:styleId="87">
    <w:name w:val="xl81"/>
    <w:basedOn w:val="1"/>
    <w:qFormat/>
    <w:uiPriority w:val="0"/>
    <w:pPr>
      <w:widowControl/>
      <w:spacing w:before="100" w:beforeAutospacing="1" w:after="100" w:afterAutospacing="1"/>
      <w:jc w:val="center"/>
      <w:textAlignment w:val="center"/>
    </w:pPr>
    <w:rPr>
      <w:rFonts w:ascii="宋体" w:hAnsi="宋体" w:cs="宋体"/>
      <w:b/>
      <w:bCs/>
      <w:sz w:val="24"/>
      <w:szCs w:val="24"/>
      <w:lang w:eastAsia="zh-CN"/>
    </w:rPr>
  </w:style>
  <w:style w:type="paragraph" w:customStyle="1" w:styleId="88">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sz w:val="24"/>
      <w:szCs w:val="24"/>
      <w:lang w:eastAsia="zh-CN"/>
    </w:rPr>
  </w:style>
  <w:style w:type="paragraph" w:customStyle="1" w:styleId="89">
    <w:name w:val="_Style 1"/>
    <w:basedOn w:val="1"/>
    <w:qFormat/>
    <w:uiPriority w:val="34"/>
    <w:pPr>
      <w:ind w:firstLine="420" w:firstLineChars="200"/>
      <w:jc w:val="both"/>
    </w:pPr>
    <w:rPr>
      <w:rFonts w:ascii="Times New Roman" w:hAnsi="Times New Roman"/>
      <w:kern w:val="2"/>
      <w:sz w:val="21"/>
      <w:szCs w:val="20"/>
      <w:lang w:eastAsia="zh-CN"/>
    </w:rPr>
  </w:style>
  <w:style w:type="character" w:customStyle="1" w:styleId="90">
    <w:name w:val="标题1 Char"/>
    <w:link w:val="91"/>
    <w:semiHidden/>
    <w:qFormat/>
    <w:locked/>
    <w:uiPriority w:val="0"/>
    <w:rPr>
      <w:rFonts w:ascii="Times New Roman" w:hAnsi="Times New Roman" w:eastAsia="黑体"/>
      <w:b/>
      <w:kern w:val="44"/>
      <w:sz w:val="24"/>
    </w:rPr>
  </w:style>
  <w:style w:type="paragraph" w:customStyle="1" w:styleId="91">
    <w:name w:val="标题1"/>
    <w:basedOn w:val="2"/>
    <w:link w:val="90"/>
    <w:semiHidden/>
    <w:qFormat/>
    <w:uiPriority w:val="0"/>
    <w:pPr>
      <w:keepNext/>
      <w:keepLines/>
      <w:pageBreakBefore/>
      <w:widowControl/>
      <w:tabs>
        <w:tab w:val="left" w:pos="1000"/>
      </w:tabs>
      <w:adjustRightInd w:val="0"/>
      <w:spacing w:before="120" w:after="120" w:line="360" w:lineRule="auto"/>
      <w:ind w:left="0"/>
    </w:pPr>
    <w:rPr>
      <w:rFonts w:ascii="Times New Roman" w:hAnsi="Times New Roman" w:eastAsia="黑体"/>
      <w:bCs w:val="0"/>
      <w:kern w:val="44"/>
      <w:sz w:val="24"/>
      <w:szCs w:val="20"/>
    </w:rPr>
  </w:style>
  <w:style w:type="character" w:customStyle="1" w:styleId="92">
    <w:name w:val="Footnote Text Char"/>
    <w:semiHidden/>
    <w:qFormat/>
    <w:locked/>
    <w:uiPriority w:val="99"/>
    <w:rPr>
      <w:rFonts w:cs="Times New Roman"/>
      <w:kern w:val="2"/>
      <w:sz w:val="18"/>
      <w:szCs w:val="18"/>
      <w:lang w:eastAsia="zh-CN"/>
    </w:rPr>
  </w:style>
  <w:style w:type="character" w:customStyle="1" w:styleId="93">
    <w:name w:val="脚注文本 Char"/>
    <w:link w:val="26"/>
    <w:semiHidden/>
    <w:qFormat/>
    <w:locked/>
    <w:uiPriority w:val="99"/>
    <w:rPr>
      <w:rFonts w:cs="Times New Roman"/>
      <w:kern w:val="0"/>
      <w:sz w:val="18"/>
      <w:szCs w:val="18"/>
      <w:lang w:eastAsia="en-US"/>
    </w:rPr>
  </w:style>
  <w:style w:type="paragraph" w:customStyle="1" w:styleId="94">
    <w:name w:val="列出段落11"/>
    <w:basedOn w:val="1"/>
    <w:qFormat/>
    <w:uiPriority w:val="34"/>
    <w:pPr>
      <w:ind w:firstLine="420" w:firstLineChars="200"/>
      <w:jc w:val="both"/>
    </w:pPr>
    <w:rPr>
      <w:rFonts w:ascii="Times New Roman" w:hAnsi="Times New Roman"/>
      <w:kern w:val="2"/>
      <w:sz w:val="21"/>
      <w:szCs w:val="24"/>
      <w:lang w:eastAsia="zh-CN"/>
    </w:rPr>
  </w:style>
  <w:style w:type="paragraph" w:customStyle="1" w:styleId="95">
    <w:name w:val="列出段落3"/>
    <w:basedOn w:val="1"/>
    <w:qFormat/>
    <w:uiPriority w:val="34"/>
    <w:pPr>
      <w:ind w:firstLine="420" w:firstLineChars="200"/>
      <w:jc w:val="both"/>
    </w:pPr>
    <w:rPr>
      <w:kern w:val="2"/>
      <w:sz w:val="21"/>
      <w:szCs w:val="20"/>
      <w:lang w:eastAsia="zh-CN"/>
    </w:rPr>
  </w:style>
  <w:style w:type="paragraph" w:customStyle="1" w:styleId="96">
    <w:name w:val="msonormalcxspmiddle"/>
    <w:basedOn w:val="1"/>
    <w:qFormat/>
    <w:uiPriority w:val="0"/>
    <w:pPr>
      <w:widowControl/>
      <w:spacing w:before="100" w:beforeAutospacing="1" w:after="100" w:afterAutospacing="1"/>
    </w:pPr>
    <w:rPr>
      <w:rFonts w:ascii="宋体" w:hAnsi="宋体" w:cs="宋体"/>
      <w:sz w:val="24"/>
      <w:lang w:eastAsia="zh-CN"/>
    </w:rPr>
  </w:style>
  <w:style w:type="character" w:customStyle="1" w:styleId="97">
    <w:name w:val="文档结构图 Char"/>
    <w:link w:val="13"/>
    <w:qFormat/>
    <w:uiPriority w:val="0"/>
    <w:rPr>
      <w:rFonts w:ascii="宋体"/>
      <w:kern w:val="2"/>
      <w:sz w:val="18"/>
      <w:szCs w:val="18"/>
    </w:rPr>
  </w:style>
  <w:style w:type="paragraph" w:customStyle="1" w:styleId="98">
    <w:name w:val="xl83"/>
    <w:basedOn w:val="1"/>
    <w:qFormat/>
    <w:uiPriority w:val="0"/>
    <w:pPr>
      <w:widowControl/>
      <w:pBdr>
        <w:top w:val="single" w:color="auto" w:sz="4" w:space="0"/>
        <w:left w:val="single" w:color="auto" w:sz="4" w:space="0"/>
        <w:right w:val="single" w:color="auto" w:sz="4" w:space="0"/>
      </w:pBdr>
      <w:spacing w:before="100" w:beforeAutospacing="1" w:after="100" w:afterAutospacing="1"/>
    </w:pPr>
    <w:rPr>
      <w:rFonts w:ascii="宋体" w:hAnsi="宋体" w:cs="宋体"/>
      <w:sz w:val="24"/>
      <w:szCs w:val="24"/>
      <w:lang w:eastAsia="zh-CN"/>
    </w:rPr>
  </w:style>
  <w:style w:type="paragraph" w:customStyle="1" w:styleId="99">
    <w:name w:val="xl84"/>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b/>
      <w:bCs/>
      <w:sz w:val="24"/>
      <w:szCs w:val="24"/>
      <w:lang w:eastAsia="zh-CN"/>
    </w:rPr>
  </w:style>
  <w:style w:type="paragraph" w:customStyle="1" w:styleId="100">
    <w:name w:val="xl85"/>
    <w:basedOn w:val="1"/>
    <w:qFormat/>
    <w:uiPriority w:val="0"/>
    <w:pPr>
      <w:widowControl/>
      <w:pBdr>
        <w:top w:val="single" w:color="auto" w:sz="4" w:space="0"/>
        <w:bottom w:val="single" w:color="auto" w:sz="4" w:space="0"/>
        <w:right w:val="single" w:color="auto" w:sz="4" w:space="0"/>
      </w:pBdr>
      <w:spacing w:before="100" w:beforeAutospacing="1" w:after="100" w:afterAutospacing="1"/>
    </w:pPr>
    <w:rPr>
      <w:rFonts w:ascii="宋体" w:hAnsi="宋体" w:cs="宋体"/>
      <w:b/>
      <w:bCs/>
      <w:sz w:val="24"/>
      <w:szCs w:val="24"/>
      <w:lang w:eastAsia="zh-CN"/>
    </w:rPr>
  </w:style>
  <w:style w:type="paragraph" w:customStyle="1" w:styleId="101">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lang w:eastAsia="zh-CN"/>
    </w:rPr>
  </w:style>
  <w:style w:type="paragraph" w:customStyle="1" w:styleId="102">
    <w:name w:val="xl87"/>
    <w:basedOn w:val="1"/>
    <w:qFormat/>
    <w:uiPriority w:val="0"/>
    <w:pPr>
      <w:widowControl/>
      <w:pBdr>
        <w:top w:val="single" w:color="auto" w:sz="4" w:space="0"/>
        <w:left w:val="single" w:color="auto" w:sz="4" w:space="0"/>
      </w:pBdr>
      <w:spacing w:before="100" w:beforeAutospacing="1" w:after="100" w:afterAutospacing="1"/>
    </w:pPr>
    <w:rPr>
      <w:rFonts w:ascii="宋体" w:hAnsi="宋体" w:cs="宋体"/>
      <w:sz w:val="24"/>
      <w:szCs w:val="24"/>
      <w:lang w:eastAsia="zh-CN"/>
    </w:rPr>
  </w:style>
  <w:style w:type="paragraph" w:customStyle="1" w:styleId="103">
    <w:name w:val="xl88"/>
    <w:basedOn w:val="1"/>
    <w:qFormat/>
    <w:uiPriority w:val="0"/>
    <w:pPr>
      <w:widowControl/>
      <w:pBdr>
        <w:left w:val="single" w:color="auto" w:sz="4" w:space="0"/>
      </w:pBdr>
      <w:spacing w:before="100" w:beforeAutospacing="1" w:after="100" w:afterAutospacing="1"/>
    </w:pPr>
    <w:rPr>
      <w:rFonts w:ascii="宋体" w:hAnsi="宋体" w:cs="宋体"/>
      <w:sz w:val="24"/>
      <w:szCs w:val="24"/>
      <w:lang w:eastAsia="zh-CN"/>
    </w:rPr>
  </w:style>
  <w:style w:type="paragraph" w:customStyle="1" w:styleId="104">
    <w:name w:val="xl89"/>
    <w:basedOn w:val="1"/>
    <w:qFormat/>
    <w:uiPriority w:val="0"/>
    <w:pPr>
      <w:widowControl/>
      <w:pBdr>
        <w:left w:val="single" w:color="auto" w:sz="4" w:space="0"/>
        <w:right w:val="single" w:color="auto" w:sz="4" w:space="0"/>
      </w:pBdr>
      <w:spacing w:before="100" w:beforeAutospacing="1" w:after="100" w:afterAutospacing="1"/>
    </w:pPr>
    <w:rPr>
      <w:rFonts w:ascii="宋体" w:hAnsi="宋体" w:cs="宋体"/>
      <w:sz w:val="24"/>
      <w:szCs w:val="24"/>
      <w:lang w:eastAsia="zh-CN"/>
    </w:rPr>
  </w:style>
  <w:style w:type="paragraph" w:customStyle="1" w:styleId="105">
    <w:name w:val="xl90"/>
    <w:basedOn w:val="1"/>
    <w:qFormat/>
    <w:uiPriority w:val="0"/>
    <w:pPr>
      <w:widowControl/>
      <w:pBdr>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lang w:eastAsia="zh-CN"/>
    </w:rPr>
  </w:style>
  <w:style w:type="paragraph" w:customStyle="1" w:styleId="106">
    <w:name w:val="xl91"/>
    <w:basedOn w:val="1"/>
    <w:qFormat/>
    <w:uiPriority w:val="0"/>
    <w:pPr>
      <w:widowControl/>
      <w:spacing w:before="100" w:beforeAutospacing="1" w:after="100" w:afterAutospacing="1"/>
      <w:jc w:val="center"/>
    </w:pPr>
    <w:rPr>
      <w:rFonts w:ascii="宋体" w:hAnsi="宋体" w:cs="宋体"/>
      <w:b/>
      <w:bCs/>
      <w:color w:val="000000"/>
      <w:sz w:val="32"/>
      <w:szCs w:val="32"/>
      <w:lang w:eastAsia="zh-CN"/>
    </w:rPr>
  </w:style>
  <w:style w:type="paragraph" w:customStyle="1" w:styleId="107">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lang w:eastAsia="zh-CN"/>
    </w:rPr>
  </w:style>
  <w:style w:type="paragraph" w:customStyle="1" w:styleId="108">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both"/>
    </w:pPr>
    <w:rPr>
      <w:rFonts w:ascii="宋体" w:hAnsi="宋体" w:cs="宋体"/>
      <w:sz w:val="24"/>
      <w:szCs w:val="24"/>
      <w:lang w:eastAsia="zh-CN"/>
    </w:rPr>
  </w:style>
  <w:style w:type="paragraph" w:customStyle="1" w:styleId="109">
    <w:name w:val="xl94"/>
    <w:basedOn w:val="1"/>
    <w:qFormat/>
    <w:uiPriority w:val="0"/>
    <w:pPr>
      <w:widowControl/>
      <w:pBdr>
        <w:top w:val="single" w:color="000000" w:sz="4" w:space="0"/>
        <w:left w:val="single" w:color="000000" w:sz="4" w:space="0"/>
        <w:right w:val="single" w:color="000000" w:sz="4" w:space="0"/>
      </w:pBdr>
      <w:spacing w:before="100" w:beforeAutospacing="1" w:after="100" w:afterAutospacing="1"/>
    </w:pPr>
    <w:rPr>
      <w:rFonts w:ascii="宋体" w:hAnsi="宋体" w:cs="宋体"/>
      <w:color w:val="000000"/>
      <w:sz w:val="24"/>
      <w:szCs w:val="24"/>
      <w:lang w:eastAsia="zh-CN"/>
    </w:rPr>
  </w:style>
  <w:style w:type="paragraph" w:customStyle="1" w:styleId="110">
    <w:name w:val="xl9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4"/>
      <w:szCs w:val="24"/>
      <w:lang w:eastAsia="zh-CN"/>
    </w:rPr>
  </w:style>
  <w:style w:type="paragraph" w:customStyle="1" w:styleId="111">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000000"/>
      <w:sz w:val="24"/>
      <w:szCs w:val="24"/>
      <w:lang w:eastAsia="zh-CN"/>
    </w:rPr>
  </w:style>
  <w:style w:type="paragraph" w:customStyle="1" w:styleId="112">
    <w:name w:val="xl97"/>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4"/>
      <w:szCs w:val="24"/>
      <w:lang w:eastAsia="zh-CN"/>
    </w:rPr>
  </w:style>
  <w:style w:type="paragraph" w:customStyle="1" w:styleId="113">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lang w:eastAsia="zh-CN"/>
    </w:rPr>
  </w:style>
  <w:style w:type="paragraph" w:customStyle="1" w:styleId="114">
    <w:name w:val="xl99"/>
    <w:basedOn w:val="1"/>
    <w:qFormat/>
    <w:uiPriority w:val="0"/>
    <w:pPr>
      <w:widowControl/>
      <w:pBdr>
        <w:top w:val="single" w:color="auto" w:sz="4" w:space="0"/>
        <w:left w:val="single" w:color="auto" w:sz="4" w:space="0"/>
        <w:right w:val="single" w:color="auto" w:sz="4" w:space="0"/>
      </w:pBdr>
      <w:spacing w:before="100" w:beforeAutospacing="1" w:after="100" w:afterAutospacing="1"/>
    </w:pPr>
    <w:rPr>
      <w:rFonts w:ascii="宋体" w:hAnsi="宋体" w:cs="宋体"/>
      <w:sz w:val="24"/>
      <w:szCs w:val="24"/>
      <w:lang w:eastAsia="zh-CN"/>
    </w:rPr>
  </w:style>
  <w:style w:type="paragraph" w:customStyle="1" w:styleId="115">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lang w:eastAsia="zh-CN"/>
    </w:rPr>
  </w:style>
  <w:style w:type="paragraph" w:customStyle="1" w:styleId="116">
    <w:name w:val="xl101"/>
    <w:basedOn w:val="1"/>
    <w:qFormat/>
    <w:uiPriority w:val="0"/>
    <w:pPr>
      <w:widowControl/>
      <w:spacing w:before="100" w:beforeAutospacing="1" w:after="100" w:afterAutospacing="1"/>
      <w:jc w:val="center"/>
    </w:pPr>
    <w:rPr>
      <w:rFonts w:ascii="宋体" w:hAnsi="宋体" w:cs="宋体"/>
      <w:b/>
      <w:bCs/>
      <w:sz w:val="32"/>
      <w:szCs w:val="32"/>
      <w:lang w:eastAsia="zh-CN"/>
    </w:rPr>
  </w:style>
  <w:style w:type="paragraph" w:customStyle="1" w:styleId="117">
    <w:name w:val="xl102"/>
    <w:basedOn w:val="1"/>
    <w:qFormat/>
    <w:uiPriority w:val="0"/>
    <w:pPr>
      <w:widowControl/>
      <w:spacing w:before="100" w:beforeAutospacing="1" w:after="100" w:afterAutospacing="1"/>
      <w:jc w:val="center"/>
    </w:pPr>
    <w:rPr>
      <w:rFonts w:ascii="宋体" w:hAnsi="宋体" w:cs="宋体"/>
      <w:b/>
      <w:bCs/>
      <w:sz w:val="24"/>
      <w:szCs w:val="24"/>
      <w:lang w:eastAsia="zh-CN"/>
    </w:rPr>
  </w:style>
  <w:style w:type="paragraph" w:customStyle="1" w:styleId="118">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sz w:val="24"/>
      <w:szCs w:val="24"/>
      <w:lang w:eastAsia="zh-CN"/>
    </w:rPr>
  </w:style>
  <w:style w:type="character" w:customStyle="1" w:styleId="119">
    <w:name w:val="font01"/>
    <w:qFormat/>
    <w:uiPriority w:val="0"/>
    <w:rPr>
      <w:rFonts w:hint="default" w:ascii="Times New Roman" w:hAnsi="Times New Roman" w:cs="Times New Roman"/>
      <w:color w:val="000000"/>
      <w:sz w:val="20"/>
      <w:szCs w:val="20"/>
      <w:u w:val="none"/>
    </w:rPr>
  </w:style>
  <w:style w:type="character" w:customStyle="1" w:styleId="120">
    <w:name w:val="font21"/>
    <w:qFormat/>
    <w:uiPriority w:val="0"/>
    <w:rPr>
      <w:rFonts w:hint="eastAsia" w:ascii="宋体" w:hAnsi="宋体" w:eastAsia="宋体"/>
      <w:color w:val="000000"/>
      <w:sz w:val="20"/>
      <w:szCs w:val="20"/>
      <w:u w:val="none"/>
    </w:rPr>
  </w:style>
  <w:style w:type="character" w:customStyle="1" w:styleId="121">
    <w:name w:val="标题 Char"/>
    <w:link w:val="32"/>
    <w:qFormat/>
    <w:uiPriority w:val="0"/>
    <w:rPr>
      <w:rFonts w:ascii="Arial" w:hAnsi="Arial"/>
      <w:b/>
      <w:sz w:val="32"/>
    </w:rPr>
  </w:style>
  <w:style w:type="character" w:customStyle="1" w:styleId="122">
    <w:name w:val="标题 Char1"/>
    <w:qFormat/>
    <w:uiPriority w:val="10"/>
    <w:rPr>
      <w:rFonts w:ascii="Cambria" w:hAnsi="Cambria" w:cs="Times New Roman"/>
      <w:b/>
      <w:bCs/>
      <w:sz w:val="32"/>
      <w:szCs w:val="32"/>
      <w:lang w:eastAsia="en-US"/>
    </w:rPr>
  </w:style>
  <w:style w:type="character" w:customStyle="1" w:styleId="123">
    <w:name w:val="正文文本 3 Char"/>
    <w:link w:val="14"/>
    <w:qFormat/>
    <w:uiPriority w:val="0"/>
    <w:rPr>
      <w:rFonts w:ascii="宋体"/>
      <w:sz w:val="24"/>
    </w:rPr>
  </w:style>
  <w:style w:type="character" w:customStyle="1" w:styleId="124">
    <w:name w:val="正文文本 3 Char1"/>
    <w:semiHidden/>
    <w:qFormat/>
    <w:uiPriority w:val="99"/>
    <w:rPr>
      <w:sz w:val="16"/>
      <w:szCs w:val="16"/>
      <w:lang w:eastAsia="en-US"/>
    </w:rPr>
  </w:style>
  <w:style w:type="character" w:customStyle="1" w:styleId="125">
    <w:name w:val="正文文本缩进 3 Char"/>
    <w:link w:val="28"/>
    <w:qFormat/>
    <w:uiPriority w:val="0"/>
    <w:rPr>
      <w:sz w:val="16"/>
      <w:szCs w:val="16"/>
    </w:rPr>
  </w:style>
  <w:style w:type="character" w:customStyle="1" w:styleId="126">
    <w:name w:val="正文文本缩进 3 Char1"/>
    <w:semiHidden/>
    <w:qFormat/>
    <w:uiPriority w:val="99"/>
    <w:rPr>
      <w:sz w:val="16"/>
      <w:szCs w:val="16"/>
      <w:lang w:eastAsia="en-US"/>
    </w:rPr>
  </w:style>
  <w:style w:type="character" w:customStyle="1" w:styleId="127">
    <w:name w:val="批注主题 Char"/>
    <w:link w:val="10"/>
    <w:qFormat/>
    <w:uiPriority w:val="0"/>
    <w:rPr>
      <w:b/>
      <w:bCs/>
      <w:szCs w:val="24"/>
    </w:rPr>
  </w:style>
  <w:style w:type="character" w:customStyle="1" w:styleId="128">
    <w:name w:val="批注主题 Char1"/>
    <w:semiHidden/>
    <w:qFormat/>
    <w:uiPriority w:val="99"/>
    <w:rPr>
      <w:rFonts w:ascii="Times New Roman" w:hAnsi="Times New Roman" w:cs="Times New Roman"/>
      <w:b/>
      <w:bCs/>
      <w:kern w:val="2"/>
      <w:sz w:val="22"/>
      <w:szCs w:val="22"/>
      <w:lang w:eastAsia="en-US"/>
    </w:rPr>
  </w:style>
  <w:style w:type="character" w:customStyle="1" w:styleId="129">
    <w:name w:val="正文文本缩进 Char"/>
    <w:link w:val="16"/>
    <w:qFormat/>
    <w:uiPriority w:val="0"/>
    <w:rPr>
      <w:szCs w:val="24"/>
    </w:rPr>
  </w:style>
  <w:style w:type="character" w:customStyle="1" w:styleId="130">
    <w:name w:val="正文文本缩进 Char1"/>
    <w:semiHidden/>
    <w:qFormat/>
    <w:uiPriority w:val="99"/>
    <w:rPr>
      <w:sz w:val="22"/>
      <w:szCs w:val="22"/>
      <w:lang w:eastAsia="en-US"/>
    </w:rPr>
  </w:style>
  <w:style w:type="paragraph" w:customStyle="1" w:styleId="131">
    <w:name w:val="正文 New New New New New New New New New New New New New New New New New New New New New New New New New New New New New New New New New New New New New New New New New New New New New New New New"/>
    <w:qFormat/>
    <w:uiPriority w:val="0"/>
    <w:pPr>
      <w:widowControl w:val="0"/>
      <w:suppressAutoHyphens/>
      <w:jc w:val="both"/>
    </w:pPr>
    <w:rPr>
      <w:rFonts w:ascii="Calibri" w:hAnsi="Calibri" w:eastAsia="宋体" w:cs="Times New Roman"/>
      <w:kern w:val="1"/>
      <w:sz w:val="21"/>
      <w:lang w:val="en-US" w:eastAsia="ar-SA" w:bidi="ar-SA"/>
    </w:rPr>
  </w:style>
  <w:style w:type="paragraph" w:customStyle="1" w:styleId="132">
    <w:name w:val="正文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3">
    <w:name w:val="p0 New"/>
    <w:basedOn w:val="132"/>
    <w:qFormat/>
    <w:uiPriority w:val="0"/>
    <w:pPr>
      <w:widowControl/>
    </w:pPr>
    <w:rPr>
      <w:kern w:val="0"/>
      <w:szCs w:val="20"/>
    </w:rPr>
  </w:style>
  <w:style w:type="paragraph" w:customStyle="1" w:styleId="134">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sz w:val="24"/>
      <w:szCs w:val="24"/>
      <w:lang w:eastAsia="zh-CN"/>
    </w:rPr>
  </w:style>
  <w:style w:type="paragraph" w:customStyle="1" w:styleId="135">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sz w:val="24"/>
      <w:szCs w:val="24"/>
      <w:lang w:eastAsia="zh-CN"/>
    </w:rPr>
  </w:style>
  <w:style w:type="paragraph" w:customStyle="1" w:styleId="136">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sz w:val="24"/>
      <w:szCs w:val="24"/>
      <w:lang w:eastAsia="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3893453-FF47-47EE-8B30-EAD3BEE49B65}">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45</Pages>
  <Words>9630</Words>
  <Characters>54893</Characters>
  <Lines>457</Lines>
  <Paragraphs>128</Paragraphs>
  <TotalTime>253</TotalTime>
  <ScaleCrop>false</ScaleCrop>
  <LinksUpToDate>false</LinksUpToDate>
  <CharactersWithSpaces>64395</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2018-10-26T07:49:00Z</dcterms:created>
  <dc:creator>袁静</dc:creator>
  <cp:lastModifiedBy>wf</cp:lastModifiedBy>
  <cp:lastPrinted>2019-11-04T02:59:00Z</cp:lastPrinted>
  <dcterms:modified xsi:type="dcterms:W3CDTF">2019-11-04T08:59:37Z</dcterms:modified>
  <dc:title>中华人民共和国</dc:title>
  <cp:revision>178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2013</vt:lpwstr>
  </property>
  <property fmtid="{D5CDD505-2E9C-101B-9397-08002B2CF9AE}" pid="3" name="KSOProductBuildVer">
    <vt:lpwstr>2052-10.8.0.6423</vt:lpwstr>
  </property>
</Properties>
</file>