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rPr>
      </w:pPr>
      <w:bookmarkStart w:id="0" w:name="_GoBack"/>
      <w:bookmarkEnd w:id="0"/>
    </w:p>
    <w:p>
      <w:pPr>
        <w:rPr>
          <w:b/>
        </w:rPr>
      </w:pPr>
      <w:r>
        <w:rPr>
          <w:rFonts w:hint="eastAsia"/>
          <w:b/>
        </w:rPr>
        <w:t>附件2：专用资质业绩要求</w:t>
      </w:r>
    </w:p>
    <w:tbl>
      <w:tblPr>
        <w:tblStyle w:val="95"/>
        <w:tblW w:w="14194" w:type="dxa"/>
        <w:tblInd w:w="0" w:type="dxa"/>
        <w:tblLayout w:type="fixed"/>
        <w:tblCellMar>
          <w:top w:w="15" w:type="dxa"/>
          <w:left w:w="15" w:type="dxa"/>
          <w:bottom w:w="15" w:type="dxa"/>
          <w:right w:w="15" w:type="dxa"/>
        </w:tblCellMar>
      </w:tblPr>
      <w:tblGrid>
        <w:gridCol w:w="675"/>
        <w:gridCol w:w="705"/>
        <w:gridCol w:w="810"/>
        <w:gridCol w:w="675"/>
        <w:gridCol w:w="900"/>
        <w:gridCol w:w="1275"/>
        <w:gridCol w:w="1275"/>
        <w:gridCol w:w="1275"/>
        <w:gridCol w:w="1084"/>
        <w:gridCol w:w="1466"/>
        <w:gridCol w:w="1275"/>
        <w:gridCol w:w="1275"/>
        <w:gridCol w:w="1504"/>
      </w:tblGrid>
      <w:tr>
        <w:tblPrEx>
          <w:tblLayout w:type="fixed"/>
          <w:tblCellMar>
            <w:top w:w="15" w:type="dxa"/>
            <w:left w:w="15" w:type="dxa"/>
            <w:bottom w:w="15" w:type="dxa"/>
            <w:right w:w="15" w:type="dxa"/>
          </w:tblCellMar>
        </w:tblPrEx>
        <w:trPr>
          <w:trHeight w:val="375" w:hRule="atLeast"/>
          <w:tblHeader/>
        </w:trPr>
        <w:tc>
          <w:tcPr>
            <w:tcW w:w="67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序号</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物资大类</w:t>
            </w:r>
          </w:p>
        </w:tc>
        <w:tc>
          <w:tcPr>
            <w:tcW w:w="81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物资中类</w:t>
            </w:r>
          </w:p>
        </w:tc>
        <w:tc>
          <w:tcPr>
            <w:tcW w:w="67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物资小类</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物资种类</w:t>
            </w:r>
          </w:p>
        </w:tc>
        <w:tc>
          <w:tcPr>
            <w:tcW w:w="10429"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资质要求</w:t>
            </w:r>
          </w:p>
        </w:tc>
      </w:tr>
      <w:tr>
        <w:tblPrEx>
          <w:tblLayout w:type="fixed"/>
          <w:tblCellMar>
            <w:top w:w="15" w:type="dxa"/>
            <w:left w:w="15" w:type="dxa"/>
            <w:bottom w:w="15" w:type="dxa"/>
            <w:right w:w="15" w:type="dxa"/>
          </w:tblCellMar>
        </w:tblPrEx>
        <w:trPr>
          <w:trHeight w:val="795" w:hRule="atLeast"/>
          <w:tblHeader/>
        </w:trPr>
        <w:tc>
          <w:tcPr>
            <w:tcW w:w="6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p>
        </w:tc>
        <w:tc>
          <w:tcPr>
            <w:tcW w:w="6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供货业绩</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注册资本金</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生产设备</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生产能力</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认证证书</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生产许可证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入网许可证/其他资质要求</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sz w:val="20"/>
                <w:szCs w:val="20"/>
              </w:rPr>
            </w:pPr>
            <w:r>
              <w:rPr>
                <w:rFonts w:hint="eastAsia" w:ascii="宋体" w:hAnsi="宋体" w:cs="宋体"/>
                <w:b/>
                <w:kern w:val="0"/>
                <w:sz w:val="20"/>
                <w:szCs w:val="20"/>
              </w:rPr>
              <w:t>产品型式试验报告或检测报告或鉴定报告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1</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一次设备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开关柜（箱）</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高压开关柜</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10kV高压开关柜</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kern w:val="0"/>
                <w:sz w:val="18"/>
                <w:szCs w:val="18"/>
              </w:rPr>
            </w:pPr>
            <w:r>
              <w:rPr>
                <w:rFonts w:hint="eastAsia" w:ascii="宋体" w:hAnsi="宋体" w:cs="宋体"/>
                <w:kern w:val="0"/>
                <w:sz w:val="18"/>
                <w:szCs w:val="18"/>
              </w:rPr>
              <w:t>近三年内（以投标截止日计算）累计的销售业绩不少于</w:t>
            </w:r>
            <w:r>
              <w:rPr>
                <w:rFonts w:hint="eastAsia" w:ascii="宋体" w:hAnsi="宋体" w:cs="宋体"/>
                <w:kern w:val="0"/>
                <w:sz w:val="18"/>
                <w:szCs w:val="18"/>
                <w:lang w:val="en-US" w:eastAsia="zh-CN"/>
              </w:rPr>
              <w:t>1</w:t>
            </w:r>
            <w:r>
              <w:rPr>
                <w:rFonts w:hint="eastAsia" w:ascii="宋体" w:hAnsi="宋体" w:cs="宋体"/>
                <w:kern w:val="0"/>
                <w:sz w:val="18"/>
                <w:szCs w:val="18"/>
              </w:rPr>
              <w:t>00面</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kern w:val="0"/>
                <w:sz w:val="18"/>
                <w:szCs w:val="18"/>
              </w:rPr>
            </w:pPr>
            <w:r>
              <w:rPr>
                <w:rFonts w:hint="eastAsia" w:ascii="宋体" w:hAnsi="宋体" w:cs="宋体"/>
                <w:kern w:val="0"/>
                <w:sz w:val="18"/>
                <w:szCs w:val="18"/>
              </w:rPr>
              <w:t>1000万元及以上人民币（注册资本金如为外币，以投标文件递交截止日中国银行公布的外汇牌价买入价折算）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kern w:val="0"/>
                <w:sz w:val="18"/>
                <w:szCs w:val="18"/>
              </w:rPr>
            </w:pPr>
            <w:r>
              <w:rPr>
                <w:rFonts w:hint="eastAsia" w:ascii="宋体" w:hAnsi="宋体" w:cs="宋体"/>
                <w:kern w:val="0"/>
                <w:sz w:val="18"/>
                <w:szCs w:val="18"/>
              </w:rPr>
              <w:t>具有完整的制造、工艺装备和试验设备；具有同等电压等级及以上高压开关柜研发、设计、制造和出厂试验的能力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kern w:val="0"/>
                <w:sz w:val="18"/>
                <w:szCs w:val="18"/>
              </w:rPr>
            </w:pP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kern w:val="0"/>
                <w:sz w:val="18"/>
                <w:szCs w:val="18"/>
              </w:rPr>
            </w:pPr>
            <w:r>
              <w:rPr>
                <w:rFonts w:hint="eastAsia" w:ascii="宋体" w:hAnsi="宋体" w:cs="宋体"/>
                <w:kern w:val="0"/>
                <w:sz w:val="18"/>
                <w:szCs w:val="18"/>
              </w:rPr>
              <w:t>具有ISO9000系列质量保证体系认证书及年检记录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rPr>
                <w:rFonts w:ascii="宋体" w:hAnsi="宋体" w:cs="宋体"/>
                <w:kern w:val="0"/>
                <w:sz w:val="18"/>
                <w:szCs w:val="18"/>
              </w:rPr>
            </w:pPr>
            <w:r>
              <w:rPr>
                <w:rFonts w:hint="eastAsia" w:ascii="宋体" w:hAnsi="宋体" w:cs="宋体"/>
                <w:kern w:val="0"/>
                <w:sz w:val="18"/>
                <w:szCs w:val="18"/>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2</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辅助设备设施</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辅助设备</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起重设备</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注册资金不小于500万元人民币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具有ISO9000系列质量管理体系认证证书及年检记录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应具有《特种设备制造许可证》，同时具有特种设备安装改造维修许可证（起重机械）A级</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3</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装置性材料</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电缆</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hint="eastAsia" w:ascii="宋体" w:hAnsi="宋体" w:cs="宋体"/>
                <w:kern w:val="0"/>
                <w:sz w:val="18"/>
                <w:szCs w:val="18"/>
              </w:rPr>
            </w:pPr>
            <w:r>
              <w:rPr>
                <w:rFonts w:hint="eastAsia" w:ascii="宋体" w:hAnsi="宋体" w:cs="宋体"/>
                <w:kern w:val="0"/>
                <w:sz w:val="18"/>
                <w:szCs w:val="18"/>
              </w:rPr>
              <w:t>控制电缆</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hint="eastAsia"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xml:space="preserve">近三年内（以投标截止日计算）累计销售业绩不少于 </w:t>
            </w:r>
            <w:r>
              <w:rPr>
                <w:rFonts w:hint="eastAsia" w:ascii="宋体" w:hAnsi="宋体" w:cs="宋体"/>
                <w:kern w:val="0"/>
                <w:sz w:val="18"/>
                <w:szCs w:val="18"/>
                <w:lang w:val="en-US" w:eastAsia="zh-CN"/>
              </w:rPr>
              <w:t>1</w:t>
            </w:r>
            <w:r>
              <w:rPr>
                <w:rFonts w:hint="eastAsia" w:ascii="宋体" w:hAnsi="宋体" w:cs="宋体"/>
                <w:kern w:val="0"/>
                <w:sz w:val="18"/>
                <w:szCs w:val="18"/>
              </w:rPr>
              <w:t>00km</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2000万元及以上人民币（注册资本金如为外币，以投标文件递交截止日中国银行公布的外汇牌价买入价折算）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具有完整的制造、工艺装备和试验设备；具有同等电压等级及以上电缆研发、设计、制造和出厂试验的能力；具备例行试验所需的试验设备。</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产品制造商须具备至少3条硅烷或辐照交联电缆能力</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供应商应提供国家认可第三方权威检测机构的有效的型式试验报告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4</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sz w:val="20"/>
                <w:szCs w:val="20"/>
              </w:rPr>
            </w:pPr>
            <w:r>
              <w:rPr>
                <w:rFonts w:hint="eastAsia" w:ascii="宋体" w:hAnsi="宋体" w:cs="宋体"/>
                <w:kern w:val="0"/>
                <w:sz w:val="18"/>
                <w:szCs w:val="18"/>
              </w:rPr>
              <w:t>二次设备</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sz w:val="20"/>
                <w:szCs w:val="20"/>
              </w:rPr>
            </w:pPr>
            <w:r>
              <w:rPr>
                <w:rFonts w:hint="eastAsia" w:ascii="宋体" w:hAnsi="宋体" w:cs="宋体"/>
                <w:kern w:val="0"/>
                <w:sz w:val="18"/>
                <w:szCs w:val="18"/>
              </w:rPr>
              <w:t>测控及在线监测系统</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sz w:val="20"/>
                <w:szCs w:val="20"/>
              </w:rPr>
            </w:pPr>
            <w:r>
              <w:rPr>
                <w:rFonts w:hint="eastAsia" w:ascii="宋体" w:hAnsi="宋体" w:cs="宋体"/>
                <w:kern w:val="0"/>
                <w:sz w:val="18"/>
                <w:szCs w:val="18"/>
              </w:rPr>
              <w:t>变电在线监测装置</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sz w:val="20"/>
                <w:szCs w:val="20"/>
              </w:rPr>
            </w:pPr>
            <w:r>
              <w:rPr>
                <w:rFonts w:hint="eastAsia" w:ascii="宋体" w:hAnsi="宋体" w:cs="宋体"/>
                <w:kern w:val="0"/>
                <w:sz w:val="18"/>
                <w:szCs w:val="18"/>
              </w:rPr>
              <w:t>套管监测系统</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0"/>
                <w:szCs w:val="20"/>
              </w:rPr>
            </w:pPr>
            <w:r>
              <w:rPr>
                <w:rFonts w:hint="eastAsia" w:ascii="宋体" w:hAnsi="宋体" w:cs="宋体"/>
                <w:kern w:val="0"/>
                <w:sz w:val="18"/>
                <w:szCs w:val="18"/>
              </w:rPr>
              <w:t>近三年内（以投标截止日计算）同电压等级及以上累计销售业绩</w:t>
            </w:r>
            <w:r>
              <w:rPr>
                <w:rFonts w:hint="eastAsia" w:ascii="宋体" w:hAnsi="宋体" w:cs="宋体"/>
                <w:kern w:val="0"/>
                <w:sz w:val="18"/>
                <w:szCs w:val="18"/>
                <w:lang w:val="en-US" w:eastAsia="zh-CN"/>
              </w:rPr>
              <w:t>5</w:t>
            </w:r>
            <w:r>
              <w:rPr>
                <w:rFonts w:hint="eastAsia" w:ascii="宋体" w:hAnsi="宋体" w:cs="宋体"/>
                <w:kern w:val="0"/>
                <w:sz w:val="18"/>
                <w:szCs w:val="18"/>
              </w:rPr>
              <w:t>套及以上</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0"/>
                <w:szCs w:val="20"/>
              </w:rPr>
            </w:pPr>
            <w:r>
              <w:rPr>
                <w:rFonts w:hint="eastAsia" w:ascii="宋体" w:hAnsi="宋体" w:cs="宋体"/>
                <w:kern w:val="0"/>
                <w:sz w:val="18"/>
                <w:szCs w:val="18"/>
              </w:rPr>
              <w:t>注册资金不少于1000万元人民币（外币按投标截止当日汇率折合）</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0"/>
                <w:szCs w:val="20"/>
              </w:rPr>
            </w:pPr>
            <w:r>
              <w:rPr>
                <w:rFonts w:hint="eastAsia" w:ascii="宋体" w:hAnsi="宋体" w:cs="宋体"/>
                <w:kern w:val="0"/>
                <w:sz w:val="18"/>
                <w:szCs w:val="18"/>
              </w:rPr>
              <w:t>具有完整的制造、工艺装备和试验设备；具有同等电压等级及以上研发、设计、制造和出厂试验的能力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0"/>
                <w:szCs w:val="20"/>
              </w:rPr>
            </w:pPr>
            <w:r>
              <w:rPr>
                <w:rFonts w:hint="eastAsia" w:ascii="宋体" w:hAnsi="宋体" w:cs="宋体"/>
                <w:kern w:val="0"/>
                <w:sz w:val="18"/>
                <w:szCs w:val="18"/>
              </w:rPr>
              <w:t>　</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0"/>
                <w:szCs w:val="20"/>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0"/>
                <w:szCs w:val="20"/>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0"/>
                <w:szCs w:val="20"/>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0"/>
                <w:szCs w:val="20"/>
              </w:rPr>
            </w:pPr>
            <w:r>
              <w:rPr>
                <w:rFonts w:hint="eastAsia" w:ascii="宋体" w:hAnsi="宋体" w:cs="宋体"/>
                <w:kern w:val="0"/>
                <w:sz w:val="18"/>
                <w:szCs w:val="18"/>
              </w:rPr>
              <w:t>投标人应提供省级及以上第三方权威检测机构的合格全性能试验报告，或提供相关证明文件。</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5</w:t>
            </w:r>
          </w:p>
          <w:p>
            <w:pPr>
              <w:jc w:val="center"/>
              <w:rPr>
                <w:rFonts w:ascii="宋体" w:hAnsi="宋体" w:cs="宋体"/>
                <w:b/>
                <w:sz w:val="20"/>
                <w:szCs w:val="20"/>
              </w:rPr>
            </w:pP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高压试验仪器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介损测试仪</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近三年供货业绩</w:t>
            </w:r>
            <w:r>
              <w:rPr>
                <w:rFonts w:hint="eastAsia" w:ascii="宋体" w:hAnsi="宋体" w:cs="宋体"/>
                <w:kern w:val="0"/>
                <w:sz w:val="18"/>
                <w:szCs w:val="18"/>
                <w:lang w:val="en-US" w:eastAsia="zh-CN"/>
              </w:rPr>
              <w:t>1</w:t>
            </w:r>
            <w:r>
              <w:rPr>
                <w:rFonts w:hint="eastAsia" w:ascii="宋体" w:hAnsi="宋体" w:cs="宋体"/>
                <w:kern w:val="0"/>
                <w:sz w:val="18"/>
                <w:szCs w:val="18"/>
              </w:rPr>
              <w:t>0（台）</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100万元及以上人民币（注册资本金如为外币，以投标文件递交截止日中国银行公布的外汇牌价买入价折算）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具有完整的制造、工艺装备和试验设备；具有同类型产品研发、设计、制造和出厂检测的能力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国家权威部门颁发的和招标产品对应的有效生产制造许可证（如需要）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6</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电气标准器及检测装置</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绝缘油介电强度测试仪检测装置</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近三年供货业绩</w:t>
            </w:r>
            <w:r>
              <w:rPr>
                <w:rFonts w:hint="eastAsia" w:ascii="宋体" w:hAnsi="宋体" w:cs="宋体"/>
                <w:kern w:val="0"/>
                <w:sz w:val="18"/>
                <w:szCs w:val="18"/>
                <w:lang w:val="en-US" w:eastAsia="zh-CN"/>
              </w:rPr>
              <w:t>5</w:t>
            </w:r>
            <w:r>
              <w:rPr>
                <w:rFonts w:hint="eastAsia" w:ascii="宋体" w:hAnsi="宋体" w:cs="宋体"/>
                <w:kern w:val="0"/>
                <w:sz w:val="18"/>
                <w:szCs w:val="18"/>
              </w:rPr>
              <w:t>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100万元及以上人民币（注册资本金如为外币，以投标文件递交截止日中国银行公布的外汇牌价买入价折算）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具有完整的制造、工艺装备和试验设备；具有同类型产品研发、设计、制造和出厂检测的能力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7</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金属检测仪器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探伤仪</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lang w:val="en-US" w:eastAsia="zh-CN"/>
              </w:rPr>
              <w:t>30</w:t>
            </w:r>
            <w:r>
              <w:rPr>
                <w:rFonts w:hint="eastAsia" w:ascii="宋体" w:hAnsi="宋体" w:cs="宋体"/>
                <w:kern w:val="0"/>
                <w:sz w:val="18"/>
                <w:szCs w:val="18"/>
              </w:rPr>
              <w:t>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具有完整的制造、工艺装备和试验设备；具有同类型产品研发、设计、制造和出厂检测的能力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8</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高压试验仪器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高压断路器断口耐压试验装置</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近三年供货业绩</w:t>
            </w:r>
            <w:r>
              <w:rPr>
                <w:rFonts w:hint="eastAsia" w:ascii="宋体" w:hAnsi="宋体" w:cs="宋体"/>
                <w:kern w:val="0"/>
                <w:sz w:val="18"/>
                <w:szCs w:val="18"/>
                <w:lang w:val="en-US" w:eastAsia="zh-CN"/>
              </w:rPr>
              <w:t>1</w:t>
            </w:r>
            <w:r>
              <w:rPr>
                <w:rFonts w:hint="eastAsia" w:ascii="宋体" w:hAnsi="宋体" w:cs="宋体"/>
                <w:kern w:val="0"/>
                <w:sz w:val="18"/>
                <w:szCs w:val="18"/>
              </w:rPr>
              <w:t>0（台）</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50万元及以上人民币（注册资本金如为外币，以投标文件递交截止日中国银行公布的外汇牌价买入价折算）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具有完整的制造、工艺装备和试验设备；具有同类型产品研发、设计、制造和出厂检测的能力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b/>
                <w:sz w:val="20"/>
                <w:szCs w:val="20"/>
                <w:lang w:eastAsia="zh-CN"/>
              </w:rPr>
            </w:pPr>
            <w:r>
              <w:rPr>
                <w:rFonts w:hint="eastAsia" w:ascii="宋体" w:hAnsi="宋体" w:cs="宋体"/>
                <w:b/>
                <w:sz w:val="20"/>
                <w:szCs w:val="20"/>
                <w:lang w:val="en-US" w:eastAsia="zh-CN"/>
              </w:rPr>
              <w:t>9</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工器具</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rPr>
                <w:rFonts w:ascii="宋体" w:hAnsi="宋体" w:cs="宋体"/>
                <w:kern w:val="0"/>
                <w:sz w:val="18"/>
                <w:szCs w:val="18"/>
              </w:rPr>
            </w:pPr>
            <w:r>
              <w:rPr>
                <w:rFonts w:hint="eastAsia" w:ascii="宋体" w:hAnsi="宋体" w:cs="宋体"/>
                <w:kern w:val="0"/>
                <w:sz w:val="18"/>
                <w:szCs w:val="18"/>
              </w:rPr>
              <w:t>辅助工器具</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RFID电子标签</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RFID电子标签</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近三年内（以投标截止日计算）辅助工器具类产品供货业绩不少于 30万元。</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注册资金不少于100万元人民币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制造厂家具有完整的制造、工艺装备和试验设备；具有同类设备研发、设计、制造和出厂试验的能力。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供应商应根据产品性能提供有效的鉴定报告或检测报告。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1</w:t>
            </w:r>
            <w:r>
              <w:rPr>
                <w:rFonts w:hint="eastAsia" w:ascii="宋体" w:hAnsi="宋体" w:cs="宋体"/>
                <w:b/>
                <w:sz w:val="20"/>
                <w:szCs w:val="20"/>
                <w:lang w:val="en-US" w:eastAsia="zh-CN"/>
              </w:rPr>
              <w:t>0</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电气仪器仪表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电网仿真分析数据平台</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ascii="宋体" w:hAnsi="宋体" w:cs="宋体"/>
                <w:kern w:val="0"/>
                <w:sz w:val="18"/>
                <w:szCs w:val="18"/>
              </w:rPr>
              <w:t>提供银行资信证明及</w:t>
            </w:r>
            <w:r>
              <w:rPr>
                <w:rFonts w:hint="eastAsia" w:ascii="宋体" w:hAnsi="宋体" w:cs="宋体"/>
                <w:kern w:val="0"/>
                <w:sz w:val="18"/>
                <w:szCs w:val="18"/>
              </w:rPr>
              <w:t>3A证书</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1</w:t>
            </w:r>
            <w:r>
              <w:rPr>
                <w:rFonts w:hint="eastAsia" w:ascii="宋体" w:hAnsi="宋体" w:cs="宋体"/>
                <w:b/>
                <w:sz w:val="20"/>
                <w:szCs w:val="20"/>
                <w:lang w:val="en-US" w:eastAsia="zh-CN"/>
              </w:rPr>
              <w:t>1</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高压试验仪器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高压设备参数测量系统</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近三年供货业绩</w:t>
            </w:r>
            <w:r>
              <w:rPr>
                <w:rFonts w:hint="eastAsia" w:ascii="宋体" w:hAnsi="宋体" w:cs="宋体"/>
                <w:kern w:val="0"/>
                <w:sz w:val="18"/>
                <w:szCs w:val="18"/>
                <w:lang w:val="en-US" w:eastAsia="zh-CN"/>
              </w:rPr>
              <w:t>5</w:t>
            </w:r>
            <w:r>
              <w:rPr>
                <w:rFonts w:hint="eastAsia" w:ascii="宋体" w:hAnsi="宋体" w:cs="宋体"/>
                <w:kern w:val="0"/>
                <w:sz w:val="18"/>
                <w:szCs w:val="18"/>
              </w:rPr>
              <w:t>（套）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100万元及以上人民币（注册资本金如为外币，以投标文件递交截止日中国银行公布的外汇牌价买入价折算）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具有完整的制造、工艺装备和试验设备；具有同类型产品研发、设计、制造和出厂检测的能力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国家权威部门颁发的和招标产品对应的有效生产制造许可证（如需要）</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省级及以上权威检测机构的有效型式试验（鉴定）报告</w:t>
            </w:r>
          </w:p>
        </w:tc>
      </w:tr>
      <w:tr>
        <w:tblPrEx>
          <w:tblLayout w:type="fixed"/>
          <w:tblCellMar>
            <w:top w:w="15" w:type="dxa"/>
            <w:left w:w="15" w:type="dxa"/>
            <w:bottom w:w="15" w:type="dxa"/>
            <w:right w:w="15" w:type="dxa"/>
          </w:tblCellMar>
        </w:tblPrEx>
        <w:trPr>
          <w:trHeight w:val="795" w:hRule="atLeast"/>
          <w:tblHeader/>
        </w:trPr>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sz w:val="20"/>
                <w:szCs w:val="20"/>
              </w:rPr>
            </w:pPr>
            <w:r>
              <w:rPr>
                <w:rFonts w:hint="eastAsia" w:ascii="宋体" w:hAnsi="宋体" w:cs="宋体"/>
                <w:b/>
                <w:sz w:val="20"/>
                <w:szCs w:val="20"/>
              </w:rPr>
              <w:t>1</w:t>
            </w:r>
            <w:r>
              <w:rPr>
                <w:rFonts w:hint="eastAsia" w:ascii="宋体" w:hAnsi="宋体" w:cs="宋体"/>
                <w:b/>
                <w:sz w:val="20"/>
                <w:szCs w:val="20"/>
                <w:lang w:val="en-US" w:eastAsia="zh-CN"/>
              </w:rPr>
              <w:t>2</w:t>
            </w:r>
          </w:p>
        </w:tc>
        <w:tc>
          <w:tcPr>
            <w:tcW w:w="70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仪器仪表</w:t>
            </w:r>
          </w:p>
        </w:tc>
        <w:tc>
          <w:tcPr>
            <w:tcW w:w="81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电气仪器仪表</w:t>
            </w:r>
          </w:p>
        </w:tc>
        <w:tc>
          <w:tcPr>
            <w:tcW w:w="6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蓄电池内阻测试仪</w:t>
            </w:r>
          </w:p>
        </w:tc>
        <w:tc>
          <w:tcPr>
            <w:tcW w:w="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50万元及以上人民币（注册资本金如为外币，以投标文件递交截止日中国银行公布的外汇牌价买入价折算）</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具有完整的制造、工艺装备和试验设备；具有同类型产品研发、设计、制造和出厂检测的能力</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466"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具有ISO9000系列质量保证体系认证证书及年检记录</w:t>
            </w: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　</w:t>
            </w:r>
          </w:p>
        </w:tc>
        <w:tc>
          <w:tcPr>
            <w:tcW w:w="15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18"/>
                <w:szCs w:val="18"/>
              </w:rPr>
            </w:pPr>
            <w:r>
              <w:rPr>
                <w:rFonts w:hint="eastAsia" w:ascii="宋体" w:hAnsi="宋体" w:cs="宋体"/>
                <w:kern w:val="0"/>
                <w:sz w:val="18"/>
                <w:szCs w:val="18"/>
              </w:rPr>
              <w:t>省级及以上权威检测机构的有效型式试验（鉴定）报告</w:t>
            </w:r>
          </w:p>
        </w:tc>
      </w:tr>
    </w:tbl>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p>
    <w:p>
      <w:pPr>
        <w:rPr>
          <w:b/>
        </w:rPr>
      </w:pPr>
      <w:r>
        <w:rPr>
          <w:rFonts w:hint="eastAsia"/>
          <w:b/>
        </w:rPr>
        <w:t>附件3：</w:t>
      </w:r>
      <w:r>
        <w:rPr>
          <w:rFonts w:hint="eastAsia"/>
          <w:b/>
          <w:lang w:eastAsia="zh-CN"/>
        </w:rPr>
        <w:t>国网青海省电力公司2019年第</w:t>
      </w:r>
      <w:r>
        <w:rPr>
          <w:rFonts w:hint="eastAsia"/>
          <w:b/>
          <w:lang w:val="en-US" w:eastAsia="zh-CN"/>
        </w:rPr>
        <w:t>三</w:t>
      </w:r>
      <w:r>
        <w:rPr>
          <w:rFonts w:hint="eastAsia"/>
          <w:b/>
          <w:lang w:eastAsia="zh-CN"/>
        </w:rPr>
        <w:t>次预备项目物资招标采购(批次编号：28195</w:t>
      </w:r>
      <w:r>
        <w:rPr>
          <w:rFonts w:hint="eastAsia"/>
          <w:b/>
          <w:lang w:val="en-US" w:eastAsia="zh-CN"/>
        </w:rPr>
        <w:t>3</w:t>
      </w:r>
      <w:r>
        <w:rPr>
          <w:rFonts w:hint="eastAsia"/>
          <w:b/>
          <w:lang w:eastAsia="zh-CN"/>
        </w:rPr>
        <w:t>)项目</w:t>
      </w:r>
      <w:r>
        <w:rPr>
          <w:rFonts w:hint="eastAsia"/>
          <w:b/>
        </w:rPr>
        <w:t>最高投标限价清单</w:t>
      </w:r>
    </w:p>
    <w:p/>
    <w:tbl>
      <w:tblPr>
        <w:tblStyle w:val="95"/>
        <w:tblW w:w="128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82"/>
        <w:gridCol w:w="1700"/>
        <w:gridCol w:w="918"/>
        <w:gridCol w:w="509"/>
        <w:gridCol w:w="1048"/>
        <w:gridCol w:w="1336"/>
        <w:gridCol w:w="1657"/>
        <w:gridCol w:w="529"/>
        <w:gridCol w:w="904"/>
        <w:gridCol w:w="1090"/>
        <w:gridCol w:w="545"/>
        <w:gridCol w:w="21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80"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网省采购申请号</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分标名称</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包号</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项目单位</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 xml:space="preserve">工程项目名称 </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物资描述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单位</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数量</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总价限价（万元）</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备注</w:t>
            </w: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b/>
                <w:i w:val="0"/>
                <w:color w:val="000000"/>
                <w:sz w:val="20"/>
                <w:szCs w:val="20"/>
                <w:u w:val="none"/>
              </w:rPr>
            </w:pPr>
            <w:r>
              <w:rPr>
                <w:rFonts w:hint="default" w:ascii="Arial" w:hAnsi="Arial" w:eastAsia="宋体" w:cs="Arial"/>
                <w:b/>
                <w:i w:val="0"/>
                <w:color w:val="000000"/>
                <w:kern w:val="0"/>
                <w:sz w:val="20"/>
                <w:szCs w:val="20"/>
                <w:u w:val="none"/>
                <w:lang w:val="en-US" w:eastAsia="zh-CN" w:bidi="ar"/>
              </w:rPr>
              <w:t>技术规范ID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720"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001通信配件</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整包限价</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批</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912.58</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75"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83</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030005941600020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003无线通信专网设备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青海省电力公司物资供应公司（招标代理公司）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2019年青海公司评标基地评标现场智能化管理设备零购项目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无线通信专网设备-类型:通信终端</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99</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28.71</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2817-500138910-00001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75"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84</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030005941600010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003无线通信专网设备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青海省电力公司物资供应公司（招标代理公司）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2019年青海公司评标基地评标现场智能化管理设备零购项目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无线通信专网设备-类型:核心网</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110.1976</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2817-500138917-00001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75"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85</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030005941600050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003无线通信专网设备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青海省电力公司物资供应公司（招标代理公司）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2019年青海公司评标基地评标现场智能化管理设备零购项目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无线通信专网设备-类型:基站</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30</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8.55</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2817-500138916-00002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75"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86</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030005941600030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003无线通信专网设备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青海省电力公司物资供应公司（招标代理公司）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2019年青海公司评标基地评标现场智能化管理设备零购项目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无线通信专网设备-类型:基站</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90</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25.65</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2817-500138916-00002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75"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87</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030005941600040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003无线通信专网设备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青海省电力公司物资供应公司（招标代理公司）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2019年青海公司评标基地评标现场智能化管理设备零购项目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无线通信专网设备-类型:通信终端</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6.09</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2817-500138910-00001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60"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88</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030005985500010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004卫星通信终端设备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青海省电力公司物资供应公司（招标代理公司）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重点物资可视化运输（普通版）设备购置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卫星通信终端设备-带宽:384K</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37</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2.035</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2817-500009577-00001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60"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89</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030005985400010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004卫星通信终端设备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青海省电力公司物资供应公司（招标代理公司）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重点物资可视化运输（专业版）设备购置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卫星通信终端设备-带宽:2M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5</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2817-500009575-00001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0"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90</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050025983000010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005RFID电子标签</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青海省电力公司海北供电公司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国网青海省电力公司海北供电公司计量箱电子标签在全寿命周期管理应用项目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RFID电子标签-内部电源:无源</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个</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42000</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84</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2805-500073372-00003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91</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050025958100010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005RFID电子标签</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青海省电力公司黄化供电公司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国网青海黄化供电公司计量箱电子标签在全寿命周期管理应用</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RFID电子标签-内部电源:无源</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个</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52500</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105</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2809-500073372-00005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92</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050025949500010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005RFID电子标签</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青海省电力公司海东供电公司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国网青海海东供电公司计量箱电子标签在全寿命周期管理应用</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RFID电子标签-内部电源:无源</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个</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65700</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131.33</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2806-500073372-00003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93</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050025959900010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005RFID电子标签</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青海省电力公司海西供电公司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国网青海省电力公司计量箱电子标签在全寿命周期管理应用</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RFID电子标签-内部电源:无源</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个</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31445</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62.86</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2819-500073372-00005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75"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94</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050025955600010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005RFID电子标签</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包2</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青海省电力公司果洛供电公司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国网青海果洛供电公司2019年计量箱电子标签在全寿命周期管理应用</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RFID电子标签-内部电源:无源</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个</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21000</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42</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2804-500073372-00003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60"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95</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050025974000010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005RFID电子标签</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包2</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青海省电力公司海南供电公司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国网青海海南供电公司计量箱电子标签在全寿命周期管理应用</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RFID电子标签-内部电源:无源</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个</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52500</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105</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2807-500073372-00008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75"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96</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050025955900010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005RFID电子标签</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包2</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青海省电力公司西宁供电公司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国网西宁供电公司2019年计量箱电子标签在全寿命周期管理应用</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RFID电子标签-内部电源:无源</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个</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126000</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252</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2813-500073372-00003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97</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030006072300010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006起重设备</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青海省电力公司西宁供电公司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国网青海西宁供电公司2019年配网带电作业机器人购置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起重设备-类型:机器臂</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2813-500073602-00001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531"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98</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050025244600010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008开关柜</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青海省电力公司果洛供电公司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国网青海果洛玛沁县供电公司生产综合楼</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高压开关柜-电压等级:AC10kV,类型:进线开关柜,柜型:小车式,额定电流:630A,额定开断电流:20kA,断路器灭弧介质:真空</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6.94</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2804-500002505-00001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275"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99</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050025244800010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008开关柜</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青海省电力公司果洛供电公司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国网青海果洛玛沁县供电公司生产综合楼</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低压开关柜-电压等级:AC380V,型式:固定式,接线类型:进线,额定电流:1250A,额定开断电流:65kA</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4</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11.8</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2804-500006388-00002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531"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100</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050025244500010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008开关柜</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青海省电力公司果洛供电公司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国网青海果洛玛沁县供电公司生产综合楼</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高压开关柜-电压等级:AC10kV,类型:馈线开关柜,柜型:小车式,额定电流:630A,额定开断电流:20kA,断路器灭弧介质:真空</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4</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20.68</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2804-500002507-00001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275"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101</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050025244700010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008开关柜</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青海省电力公司果洛供电公司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国网青海果洛玛沁县供电公司生产综合楼</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低压开关柜-电压等级:AC380V,型式:固定式,接线类型:馈线,额定电流:1250A,额定开断电流:50kA</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8</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16.8</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2804-500006463-00001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765"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102</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050025256500010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008开关柜</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青海省电力公司果洛供电公司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国网青海果洛玛沁县供电公司生产综合楼</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高压计量柜-电压等级:AC10kV</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4.76</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2804-500008675-00001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60"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103</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050025299200010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009VPN网关</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青海省电力公司物资供应公司（招标代理公司）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国网青海信通公司传输网网管系统安全加固及网络架构改造</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VPN网关</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29</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2812-500024290-00011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60"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104</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030005819300010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011排队机</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青海省电力公司物资供应公司（招标代理公司）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国网青海物资公司2019年机器人购置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排队机</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75.71</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2817-500024605-00002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441"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105</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050025457000010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012电网仿真分析数据平台</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青海省电力公司电力科学试验研究院（青海电力节能服务有限责任公司）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信息安全-2019年网络安全仿真验证环境-软硬件购置项目-资本性</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电网仿真分析数据平台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133</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2803-500067174-00006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765"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106</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030005657800010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013蓄电池内阻测试仪</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青海省电力公司玉树电网灾后重建筹建处</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2019年国网青海玉树供电公司蓄电池内阻测试仪购置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蓄电池内阻测试仪</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只</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8.3</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2814-500009864-00005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765"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107</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030005745300010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013蓄电池内阻测试仪</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青海省电力公司海北供电公司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2019年国网青海海北供电公司蓄电池内阻测试仪购置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蓄电池内阻测试仪</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只</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8.2999</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2805-500009864-00002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41"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108</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030006024600010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016仪器仪表</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包1</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青海省电力公司电力科学试验研究院（青海电力节能服务有限责任公司）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国网青海电科院2019年电力设施振动噪声可视化成像定位装置购置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机械性能试验设备-类型:振动试验</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79.5</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2803-500010125-00003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441"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109</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030006061200010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016仪器仪表</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包2</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青海省电力公司电力科学试验研究院（青海电力节能服务有限责任公司）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国网青海电科院2019年介质损耗测试仪检验装置购置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介损测试仪</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47.9</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2803-500009913-00007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41"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110</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030006061800010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016仪器仪表</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包3</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青海省电力公司电力科学试验研究院（青海电力节能服务有限责任公司）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国网青海电科院2019年杆塔接地网综合分析仪购置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接地电阻表</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只</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34</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2803-500009912-00003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41"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111</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030006061300010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016仪器仪表</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包3</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青海省电力公司电力科学试验研究院（青海电力节能服务有限责任公司）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国网青海电科院2019年低电压短路阻抗测试仪购置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阻抗测量仪</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25</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2803-500009924-00002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41"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112</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030006061500010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016仪器仪表</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包3</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青海省电力公司电力科学试验研究院（青海电力节能服务有限责任公司）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国网青海电科院2019年变电高精度诊断型成像仪购置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故障检测仪</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30</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2803-500009920-00009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41"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113</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030006061400010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016仪器仪表</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包4</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青海省电力公司电力科学试验研究院（青海电力节能服务有限责任公司）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国网青海电科院2019年油在线入网检测装置购置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绝缘油介电强度测试仪检测装置</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套</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172</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2803-500073545-00001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441"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114</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030006068600010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016仪器仪表</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包5</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青海省电力公司电力科学试验研究院（青海电力节能服务有限责任公司）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国网青海电科院2019年超声波相控阵检测仪购置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探伤仪</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177</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2803-500010370-00004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441"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115</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030006061600010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016仪器仪表</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包6</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青海省电力公司电力科学试验研究院（青海电力节能服务有限责任公司）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国网青海电科院2019年三维手持式激光测量装置购置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光学测量仪-类型:影像</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台</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60</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2803-500133201-00001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441" w:hRule="atLeast"/>
        </w:trPr>
        <w:tc>
          <w:tcPr>
            <w:tcW w:w="4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116</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030006061700010</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016仪器仪表</w:t>
            </w:r>
          </w:p>
        </w:tc>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包7</w:t>
            </w: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青海省电力公司电力科学试验研究院（青海电力节能服务有限责任公司）</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国网青海电科院2019年液压升降式交流耐压试验装置购置</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高压断路器断口耐压试验装置</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套</w:t>
            </w:r>
          </w:p>
        </w:tc>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1</w:t>
            </w: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260</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Arial" w:hAnsi="Arial" w:cs="Arial"/>
                <w:i w:val="0"/>
                <w:color w:val="000000"/>
                <w:sz w:val="20"/>
                <w:szCs w:val="20"/>
                <w:u w:val="none"/>
              </w:rPr>
            </w:pPr>
          </w:p>
        </w:tc>
        <w:tc>
          <w:tcPr>
            <w:tcW w:w="21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cs="Arial"/>
                <w:i w:val="0"/>
                <w:color w:val="000000"/>
                <w:sz w:val="20"/>
                <w:szCs w:val="20"/>
                <w:u w:val="none"/>
              </w:rPr>
            </w:pPr>
            <w:r>
              <w:rPr>
                <w:rFonts w:hint="default" w:ascii="Arial" w:hAnsi="Arial" w:eastAsia="宋体" w:cs="Arial"/>
                <w:i w:val="0"/>
                <w:color w:val="000000"/>
                <w:kern w:val="0"/>
                <w:sz w:val="20"/>
                <w:szCs w:val="20"/>
                <w:u w:val="none"/>
                <w:lang w:val="en-US" w:eastAsia="zh-CN" w:bidi="ar"/>
              </w:rPr>
              <w:t>2803-500009941-00001</w:t>
            </w:r>
          </w:p>
        </w:tc>
      </w:tr>
    </w:tbl>
    <w:p>
      <w:pPr>
        <w:sectPr>
          <w:pgSz w:w="15840" w:h="12240" w:orient="landscape"/>
          <w:pgMar w:top="1418" w:right="1134" w:bottom="1134" w:left="1134" w:header="0" w:footer="0" w:gutter="0"/>
          <w:cols w:space="720" w:num="1"/>
          <w:docGrid w:linePitch="312" w:charSpace="0"/>
        </w:sectPr>
      </w:pPr>
    </w:p>
    <w:p>
      <w:r>
        <w:t>附件</w:t>
      </w:r>
      <w:r>
        <w:rPr>
          <w:rFonts w:hint="eastAsia"/>
        </w:rPr>
        <w:t>4：</w:t>
      </w:r>
      <w:r>
        <w:rPr>
          <w:rFonts w:eastAsia="黑体"/>
          <w:b/>
          <w:sz w:val="24"/>
        </w:rP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ascii="黑体" w:eastAsia="黑体"/>
          <w:b/>
          <w:sz w:val="24"/>
        </w:rPr>
      </w:pPr>
      <w:r>
        <w:rPr>
          <w:rFonts w:hint="eastAsia" w:ascii="黑体" w:eastAsia="黑体"/>
          <w:b/>
          <w:sz w:val="24"/>
        </w:rPr>
        <w:t>招标人、招标代理机构与投标人三方约定</w:t>
      </w:r>
    </w:p>
    <w:p>
      <w:pPr>
        <w:pStyle w:val="188"/>
        <w:spacing w:line="400" w:lineRule="exact"/>
        <w:ind w:firstLine="480" w:firstLineChars="200"/>
        <w:rPr>
          <w:rFonts w:ascii="宋体" w:hAnsi="宋体"/>
          <w:b/>
          <w:bCs/>
          <w:sz w:val="24"/>
          <w:szCs w:val="24"/>
          <w:lang w:eastAsia="zh-CN"/>
        </w:rPr>
      </w:pPr>
      <w:r>
        <w:rPr>
          <w:rFonts w:hint="eastAsia" w:ascii="宋体" w:hAnsi="宋体"/>
          <w:sz w:val="24"/>
          <w:szCs w:val="24"/>
        </w:rPr>
        <w:t>▲要求为原件由</w:t>
      </w:r>
      <w:r>
        <w:rPr>
          <w:rFonts w:hint="eastAsia" w:ascii="宋体" w:hAnsi="宋体"/>
          <w:sz w:val="24"/>
          <w:szCs w:val="24"/>
          <w:lang w:eastAsia="zh-CN"/>
        </w:rPr>
        <w:t>法定代表人或其委托代理人</w:t>
      </w:r>
      <w:r>
        <w:rPr>
          <w:rFonts w:hint="eastAsia" w:ascii="宋体" w:hAnsi="宋体"/>
          <w:sz w:val="24"/>
          <w:szCs w:val="24"/>
        </w:rPr>
        <w:t>签字</w:t>
      </w:r>
      <w:r>
        <w:rPr>
          <w:rFonts w:hint="eastAsia" w:ascii="宋体" w:hAnsi="宋体"/>
          <w:sz w:val="24"/>
          <w:szCs w:val="24"/>
          <w:lang w:eastAsia="zh-CN"/>
        </w:rPr>
        <w:t>、</w:t>
      </w:r>
      <w:r>
        <w:rPr>
          <w:rFonts w:hint="eastAsia" w:ascii="宋体" w:hAnsi="宋体"/>
          <w:sz w:val="24"/>
          <w:szCs w:val="24"/>
        </w:rPr>
        <w:t>加盖单位公章后，附在商务投标文件中。</w:t>
      </w:r>
    </w:p>
    <w:tbl>
      <w:tblPr>
        <w:tblStyle w:val="95"/>
        <w:tblW w:w="82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213"/>
              <w:spacing w:line="360" w:lineRule="auto"/>
              <w:rPr>
                <w:rFonts w:ascii="宋体" w:hAnsi="宋体"/>
                <w:b/>
                <w:bCs/>
                <w:sz w:val="28"/>
                <w:szCs w:val="36"/>
              </w:rPr>
            </w:pPr>
          </w:p>
          <w:p>
            <w:pPr>
              <w:pStyle w:val="213"/>
              <w:spacing w:line="360" w:lineRule="auto"/>
              <w:jc w:val="center"/>
              <w:rPr>
                <w:rFonts w:ascii="宋体" w:hAnsi="宋体"/>
                <w:b/>
                <w:sz w:val="36"/>
                <w:szCs w:val="36"/>
              </w:rPr>
            </w:pPr>
            <w:r>
              <w:rPr>
                <w:rFonts w:hint="eastAsia" w:ascii="宋体" w:hAnsi="宋体"/>
                <w:b/>
                <w:bCs/>
                <w:sz w:val="24"/>
                <w:szCs w:val="36"/>
              </w:rPr>
              <w:t>招标人、招标代理机构与投标人三方约定</w:t>
            </w:r>
          </w:p>
          <w:p>
            <w:pPr>
              <w:pStyle w:val="213"/>
              <w:rPr>
                <w:rFonts w:ascii="宋体" w:hAnsi="宋体"/>
                <w:szCs w:val="28"/>
              </w:rPr>
            </w:pPr>
          </w:p>
          <w:p>
            <w:pPr>
              <w:pStyle w:val="213"/>
              <w:rPr>
                <w:rFonts w:ascii="宋体" w:hAnsi="宋体"/>
                <w:szCs w:val="28"/>
              </w:rPr>
            </w:pPr>
          </w:p>
          <w:p>
            <w:pPr>
              <w:pStyle w:val="213"/>
              <w:rPr>
                <w:rFonts w:ascii="宋体" w:hAnsi="宋体"/>
                <w:szCs w:val="28"/>
              </w:rPr>
            </w:pPr>
          </w:p>
          <w:p>
            <w:pPr>
              <w:pStyle w:val="212"/>
              <w:spacing w:line="360" w:lineRule="auto"/>
              <w:ind w:firstLine="480" w:firstLineChars="200"/>
              <w:rPr>
                <w:rFonts w:ascii="宋体" w:hAnsi="宋体"/>
                <w:sz w:val="24"/>
                <w:szCs w:val="24"/>
              </w:rPr>
            </w:pPr>
            <w:r>
              <w:rPr>
                <w:rFonts w:hint="eastAsia" w:ascii="宋体" w:hAnsi="宋体"/>
                <w:sz w:val="24"/>
                <w:szCs w:val="24"/>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212"/>
              <w:spacing w:line="360" w:lineRule="auto"/>
              <w:rPr>
                <w:rFonts w:ascii="宋体" w:hAnsi="宋体"/>
                <w:kern w:val="2"/>
                <w:sz w:val="24"/>
                <w:szCs w:val="24"/>
              </w:rPr>
            </w:pPr>
            <w:r>
              <w:rPr>
                <w:rFonts w:hint="eastAsia" w:ascii="宋体" w:hAnsi="宋体"/>
                <w:sz w:val="24"/>
                <w:szCs w:val="24"/>
              </w:rPr>
              <w:t>法定代表人或其委托代理人签字</w:t>
            </w:r>
            <w:r>
              <w:rPr>
                <w:rFonts w:hint="eastAsia" w:ascii="宋体" w:hAnsi="宋体"/>
                <w:kern w:val="2"/>
                <w:sz w:val="24"/>
                <w:szCs w:val="24"/>
              </w:rPr>
              <w:t>：</w:t>
            </w:r>
          </w:p>
          <w:p>
            <w:pPr>
              <w:pStyle w:val="212"/>
              <w:spacing w:line="360" w:lineRule="auto"/>
              <w:rPr>
                <w:rFonts w:ascii="宋体" w:hAnsi="宋体"/>
                <w:kern w:val="2"/>
                <w:sz w:val="24"/>
                <w:szCs w:val="24"/>
              </w:rPr>
            </w:pPr>
          </w:p>
          <w:p>
            <w:pPr>
              <w:pStyle w:val="212"/>
              <w:spacing w:line="360" w:lineRule="auto"/>
              <w:rPr>
                <w:rFonts w:ascii="宋体" w:hAnsi="宋体"/>
                <w:kern w:val="2"/>
                <w:sz w:val="24"/>
                <w:szCs w:val="24"/>
              </w:rPr>
            </w:pPr>
          </w:p>
          <w:p>
            <w:pPr>
              <w:pStyle w:val="212"/>
              <w:spacing w:line="360" w:lineRule="auto"/>
              <w:rPr>
                <w:rFonts w:ascii="宋体" w:hAnsi="宋体"/>
                <w:kern w:val="2"/>
                <w:sz w:val="24"/>
                <w:szCs w:val="24"/>
              </w:rPr>
            </w:pPr>
            <w:r>
              <w:rPr>
                <w:rFonts w:hint="eastAsia" w:ascii="宋体" w:hAnsi="宋体"/>
                <w:kern w:val="2"/>
                <w:sz w:val="24"/>
                <w:szCs w:val="24"/>
              </w:rPr>
              <w:t xml:space="preserve">                            投标人（公章）：</w:t>
            </w:r>
          </w:p>
          <w:p>
            <w:pPr>
              <w:pStyle w:val="213"/>
              <w:ind w:firstLine="5520" w:firstLineChars="2300"/>
              <w:rPr>
                <w:rFonts w:ascii="宋体" w:hAnsi="宋体"/>
                <w:b/>
                <w:szCs w:val="28"/>
              </w:rPr>
            </w:pPr>
            <w:r>
              <w:rPr>
                <w:rFonts w:hint="eastAsia" w:ascii="宋体" w:hAnsi="宋体"/>
                <w:sz w:val="24"/>
              </w:rPr>
              <w:t>年   月   日</w:t>
            </w:r>
          </w:p>
        </w:tc>
      </w:tr>
    </w:tbl>
    <w:p/>
    <w:p>
      <w:pPr>
        <w:tabs>
          <w:tab w:val="left" w:pos="1901"/>
        </w:tabs>
      </w:pPr>
      <w:r>
        <w:rPr>
          <w:rFonts w:hint="eastAsia"/>
        </w:rPr>
        <w:tab/>
      </w:r>
    </w:p>
    <w:p/>
    <w:p/>
    <w:p/>
    <w:p/>
    <w:p/>
    <w:sectPr>
      <w:pgSz w:w="12240" w:h="15840"/>
      <w:pgMar w:top="1418" w:right="1134" w:bottom="1134" w:left="1134" w:header="0" w:footer="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901B7C"/>
    <w:rsid w:val="00006455"/>
    <w:rsid w:val="0001118D"/>
    <w:rsid w:val="00016EDC"/>
    <w:rsid w:val="00020521"/>
    <w:rsid w:val="00021D2E"/>
    <w:rsid w:val="00024CF8"/>
    <w:rsid w:val="00037876"/>
    <w:rsid w:val="00043501"/>
    <w:rsid w:val="0004355F"/>
    <w:rsid w:val="00067C1E"/>
    <w:rsid w:val="00076F4F"/>
    <w:rsid w:val="0007741A"/>
    <w:rsid w:val="00080944"/>
    <w:rsid w:val="00081B96"/>
    <w:rsid w:val="00095641"/>
    <w:rsid w:val="00097AB5"/>
    <w:rsid w:val="000A0DD4"/>
    <w:rsid w:val="000A1593"/>
    <w:rsid w:val="000B239D"/>
    <w:rsid w:val="000B281A"/>
    <w:rsid w:val="000C009F"/>
    <w:rsid w:val="000C0EF5"/>
    <w:rsid w:val="000D2115"/>
    <w:rsid w:val="000D4C8D"/>
    <w:rsid w:val="000E13CC"/>
    <w:rsid w:val="000E3AB7"/>
    <w:rsid w:val="000E42DA"/>
    <w:rsid w:val="000F6E94"/>
    <w:rsid w:val="00100BB0"/>
    <w:rsid w:val="001025DB"/>
    <w:rsid w:val="00106A4E"/>
    <w:rsid w:val="001129CE"/>
    <w:rsid w:val="00113D22"/>
    <w:rsid w:val="00134983"/>
    <w:rsid w:val="0013669A"/>
    <w:rsid w:val="00136AC0"/>
    <w:rsid w:val="00146E03"/>
    <w:rsid w:val="00153CD3"/>
    <w:rsid w:val="00160ACF"/>
    <w:rsid w:val="001631C9"/>
    <w:rsid w:val="00163FE4"/>
    <w:rsid w:val="00164C86"/>
    <w:rsid w:val="00171A71"/>
    <w:rsid w:val="00172B77"/>
    <w:rsid w:val="00190A1A"/>
    <w:rsid w:val="0019447D"/>
    <w:rsid w:val="0019773F"/>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516C8"/>
    <w:rsid w:val="00255D81"/>
    <w:rsid w:val="00263821"/>
    <w:rsid w:val="0027134F"/>
    <w:rsid w:val="0028252D"/>
    <w:rsid w:val="002926CE"/>
    <w:rsid w:val="00295E61"/>
    <w:rsid w:val="002A4E05"/>
    <w:rsid w:val="002A5340"/>
    <w:rsid w:val="002A5F5A"/>
    <w:rsid w:val="002B219F"/>
    <w:rsid w:val="002B6263"/>
    <w:rsid w:val="002B7D41"/>
    <w:rsid w:val="002D253D"/>
    <w:rsid w:val="002D4762"/>
    <w:rsid w:val="002F16EA"/>
    <w:rsid w:val="002F5607"/>
    <w:rsid w:val="002F7D02"/>
    <w:rsid w:val="00312BDF"/>
    <w:rsid w:val="0031595C"/>
    <w:rsid w:val="00317F1F"/>
    <w:rsid w:val="00336D72"/>
    <w:rsid w:val="003403CE"/>
    <w:rsid w:val="00344F85"/>
    <w:rsid w:val="003464CB"/>
    <w:rsid w:val="003566A5"/>
    <w:rsid w:val="0036349C"/>
    <w:rsid w:val="00363508"/>
    <w:rsid w:val="0036747C"/>
    <w:rsid w:val="00371B43"/>
    <w:rsid w:val="003773F7"/>
    <w:rsid w:val="003820F8"/>
    <w:rsid w:val="00397224"/>
    <w:rsid w:val="003A3290"/>
    <w:rsid w:val="003C2126"/>
    <w:rsid w:val="003C4EAA"/>
    <w:rsid w:val="003C523C"/>
    <w:rsid w:val="003D7AC5"/>
    <w:rsid w:val="003E4F61"/>
    <w:rsid w:val="003E5CED"/>
    <w:rsid w:val="00401B80"/>
    <w:rsid w:val="00401C4A"/>
    <w:rsid w:val="0040427B"/>
    <w:rsid w:val="00405D74"/>
    <w:rsid w:val="00406543"/>
    <w:rsid w:val="004167D1"/>
    <w:rsid w:val="00431406"/>
    <w:rsid w:val="0044202B"/>
    <w:rsid w:val="00444D86"/>
    <w:rsid w:val="00445D17"/>
    <w:rsid w:val="00446AD3"/>
    <w:rsid w:val="00450339"/>
    <w:rsid w:val="00456FC5"/>
    <w:rsid w:val="00463D50"/>
    <w:rsid w:val="0046670F"/>
    <w:rsid w:val="00483282"/>
    <w:rsid w:val="00485A6D"/>
    <w:rsid w:val="0049310F"/>
    <w:rsid w:val="0049495F"/>
    <w:rsid w:val="004A130C"/>
    <w:rsid w:val="004A13CE"/>
    <w:rsid w:val="004A2219"/>
    <w:rsid w:val="004A468D"/>
    <w:rsid w:val="004A678E"/>
    <w:rsid w:val="004B4E7B"/>
    <w:rsid w:val="004C70AA"/>
    <w:rsid w:val="004E39F9"/>
    <w:rsid w:val="004E49E8"/>
    <w:rsid w:val="004F25BE"/>
    <w:rsid w:val="005026EC"/>
    <w:rsid w:val="00513666"/>
    <w:rsid w:val="00526877"/>
    <w:rsid w:val="00527192"/>
    <w:rsid w:val="005335B5"/>
    <w:rsid w:val="00552B0B"/>
    <w:rsid w:val="005558F8"/>
    <w:rsid w:val="00564810"/>
    <w:rsid w:val="00564AEE"/>
    <w:rsid w:val="005706A6"/>
    <w:rsid w:val="005716A0"/>
    <w:rsid w:val="00571EBC"/>
    <w:rsid w:val="00572983"/>
    <w:rsid w:val="005932B4"/>
    <w:rsid w:val="005B5686"/>
    <w:rsid w:val="005B7A28"/>
    <w:rsid w:val="005D1CBF"/>
    <w:rsid w:val="005D3486"/>
    <w:rsid w:val="005D7C09"/>
    <w:rsid w:val="005E5CC3"/>
    <w:rsid w:val="005E7417"/>
    <w:rsid w:val="005F589D"/>
    <w:rsid w:val="00610943"/>
    <w:rsid w:val="006138F2"/>
    <w:rsid w:val="00622B55"/>
    <w:rsid w:val="006256AB"/>
    <w:rsid w:val="00626222"/>
    <w:rsid w:val="00641F8A"/>
    <w:rsid w:val="0065188C"/>
    <w:rsid w:val="00665FC1"/>
    <w:rsid w:val="00676E6F"/>
    <w:rsid w:val="00681F7A"/>
    <w:rsid w:val="00687426"/>
    <w:rsid w:val="006927A5"/>
    <w:rsid w:val="00693836"/>
    <w:rsid w:val="006A5895"/>
    <w:rsid w:val="006B14B7"/>
    <w:rsid w:val="006C030B"/>
    <w:rsid w:val="006C0C54"/>
    <w:rsid w:val="006D1AEC"/>
    <w:rsid w:val="006D3224"/>
    <w:rsid w:val="006D5332"/>
    <w:rsid w:val="006E3686"/>
    <w:rsid w:val="006E3B32"/>
    <w:rsid w:val="00701024"/>
    <w:rsid w:val="00716B75"/>
    <w:rsid w:val="00720ADE"/>
    <w:rsid w:val="00736973"/>
    <w:rsid w:val="00743C6F"/>
    <w:rsid w:val="0075180E"/>
    <w:rsid w:val="007567E7"/>
    <w:rsid w:val="00777DAD"/>
    <w:rsid w:val="007917EB"/>
    <w:rsid w:val="00796906"/>
    <w:rsid w:val="007A076D"/>
    <w:rsid w:val="007B205E"/>
    <w:rsid w:val="007C3954"/>
    <w:rsid w:val="007D283F"/>
    <w:rsid w:val="007D2B6A"/>
    <w:rsid w:val="007E1AEB"/>
    <w:rsid w:val="007E6D81"/>
    <w:rsid w:val="007F1188"/>
    <w:rsid w:val="007F1C0B"/>
    <w:rsid w:val="00802C26"/>
    <w:rsid w:val="00805A47"/>
    <w:rsid w:val="00806116"/>
    <w:rsid w:val="00832D00"/>
    <w:rsid w:val="0083579D"/>
    <w:rsid w:val="00840329"/>
    <w:rsid w:val="00846D03"/>
    <w:rsid w:val="0084737E"/>
    <w:rsid w:val="00876733"/>
    <w:rsid w:val="008810D9"/>
    <w:rsid w:val="0088235A"/>
    <w:rsid w:val="00883571"/>
    <w:rsid w:val="00887136"/>
    <w:rsid w:val="008A36D6"/>
    <w:rsid w:val="008B2FD7"/>
    <w:rsid w:val="008B3F8F"/>
    <w:rsid w:val="008C0128"/>
    <w:rsid w:val="008C3E19"/>
    <w:rsid w:val="008D0ACE"/>
    <w:rsid w:val="008D1549"/>
    <w:rsid w:val="008F3CD1"/>
    <w:rsid w:val="00901B7C"/>
    <w:rsid w:val="009025C9"/>
    <w:rsid w:val="00902752"/>
    <w:rsid w:val="00904DAC"/>
    <w:rsid w:val="00920925"/>
    <w:rsid w:val="00924080"/>
    <w:rsid w:val="00931707"/>
    <w:rsid w:val="0094551B"/>
    <w:rsid w:val="00960137"/>
    <w:rsid w:val="009655A4"/>
    <w:rsid w:val="00966247"/>
    <w:rsid w:val="00967792"/>
    <w:rsid w:val="00970984"/>
    <w:rsid w:val="00971BEE"/>
    <w:rsid w:val="00982AF1"/>
    <w:rsid w:val="0098453F"/>
    <w:rsid w:val="00990678"/>
    <w:rsid w:val="00995D25"/>
    <w:rsid w:val="00997BD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900B2"/>
    <w:rsid w:val="00A929B3"/>
    <w:rsid w:val="00A9661A"/>
    <w:rsid w:val="00AC1C45"/>
    <w:rsid w:val="00AC547C"/>
    <w:rsid w:val="00AD1EC6"/>
    <w:rsid w:val="00AE3285"/>
    <w:rsid w:val="00AF1D60"/>
    <w:rsid w:val="00AF49E4"/>
    <w:rsid w:val="00B1589E"/>
    <w:rsid w:val="00B25585"/>
    <w:rsid w:val="00B2583B"/>
    <w:rsid w:val="00B30511"/>
    <w:rsid w:val="00B323BC"/>
    <w:rsid w:val="00B37E4C"/>
    <w:rsid w:val="00B40D57"/>
    <w:rsid w:val="00B40FF2"/>
    <w:rsid w:val="00B41907"/>
    <w:rsid w:val="00B46772"/>
    <w:rsid w:val="00B5600C"/>
    <w:rsid w:val="00B65EF8"/>
    <w:rsid w:val="00B72B05"/>
    <w:rsid w:val="00B84195"/>
    <w:rsid w:val="00B9519F"/>
    <w:rsid w:val="00BA372E"/>
    <w:rsid w:val="00BA789F"/>
    <w:rsid w:val="00BB576F"/>
    <w:rsid w:val="00BB737A"/>
    <w:rsid w:val="00BC1752"/>
    <w:rsid w:val="00BC71FF"/>
    <w:rsid w:val="00BD347C"/>
    <w:rsid w:val="00BD7246"/>
    <w:rsid w:val="00BE1B1F"/>
    <w:rsid w:val="00BE1FF6"/>
    <w:rsid w:val="00BE4225"/>
    <w:rsid w:val="00BE5BB1"/>
    <w:rsid w:val="00BE69A3"/>
    <w:rsid w:val="00BF3E1B"/>
    <w:rsid w:val="00BF4C48"/>
    <w:rsid w:val="00BF7454"/>
    <w:rsid w:val="00C018FC"/>
    <w:rsid w:val="00C0453D"/>
    <w:rsid w:val="00C04A67"/>
    <w:rsid w:val="00C0542C"/>
    <w:rsid w:val="00C05434"/>
    <w:rsid w:val="00C11828"/>
    <w:rsid w:val="00C15E9F"/>
    <w:rsid w:val="00C1630B"/>
    <w:rsid w:val="00C31F0A"/>
    <w:rsid w:val="00C42E47"/>
    <w:rsid w:val="00C546AD"/>
    <w:rsid w:val="00C6794B"/>
    <w:rsid w:val="00C71794"/>
    <w:rsid w:val="00C72C95"/>
    <w:rsid w:val="00C7406F"/>
    <w:rsid w:val="00C7593C"/>
    <w:rsid w:val="00C85D76"/>
    <w:rsid w:val="00C860D2"/>
    <w:rsid w:val="00C923D1"/>
    <w:rsid w:val="00C95F94"/>
    <w:rsid w:val="00CA61C1"/>
    <w:rsid w:val="00CC3D9F"/>
    <w:rsid w:val="00CC4B1A"/>
    <w:rsid w:val="00CD2885"/>
    <w:rsid w:val="00CD57F0"/>
    <w:rsid w:val="00CE0CFA"/>
    <w:rsid w:val="00CE7F10"/>
    <w:rsid w:val="00CF3401"/>
    <w:rsid w:val="00CF728B"/>
    <w:rsid w:val="00D03895"/>
    <w:rsid w:val="00D10863"/>
    <w:rsid w:val="00D12107"/>
    <w:rsid w:val="00D15C08"/>
    <w:rsid w:val="00D16356"/>
    <w:rsid w:val="00D22734"/>
    <w:rsid w:val="00D26344"/>
    <w:rsid w:val="00D32B8E"/>
    <w:rsid w:val="00D40D9E"/>
    <w:rsid w:val="00D51E16"/>
    <w:rsid w:val="00D533EB"/>
    <w:rsid w:val="00D6033C"/>
    <w:rsid w:val="00D60722"/>
    <w:rsid w:val="00D705C6"/>
    <w:rsid w:val="00D70710"/>
    <w:rsid w:val="00D73E4A"/>
    <w:rsid w:val="00D77852"/>
    <w:rsid w:val="00D81EA9"/>
    <w:rsid w:val="00D83D5E"/>
    <w:rsid w:val="00D86168"/>
    <w:rsid w:val="00D87639"/>
    <w:rsid w:val="00D959C1"/>
    <w:rsid w:val="00D95C22"/>
    <w:rsid w:val="00D97F4F"/>
    <w:rsid w:val="00DB6FEF"/>
    <w:rsid w:val="00DB761A"/>
    <w:rsid w:val="00DC6564"/>
    <w:rsid w:val="00DD46FC"/>
    <w:rsid w:val="00DE43FA"/>
    <w:rsid w:val="00E00751"/>
    <w:rsid w:val="00E07930"/>
    <w:rsid w:val="00E13C9F"/>
    <w:rsid w:val="00E16EB9"/>
    <w:rsid w:val="00E248D0"/>
    <w:rsid w:val="00E321BF"/>
    <w:rsid w:val="00E330AB"/>
    <w:rsid w:val="00E375A5"/>
    <w:rsid w:val="00E4383D"/>
    <w:rsid w:val="00E547A1"/>
    <w:rsid w:val="00E60A9A"/>
    <w:rsid w:val="00E60F28"/>
    <w:rsid w:val="00E67D3F"/>
    <w:rsid w:val="00E7129C"/>
    <w:rsid w:val="00E775B5"/>
    <w:rsid w:val="00E87253"/>
    <w:rsid w:val="00E94330"/>
    <w:rsid w:val="00E95EC3"/>
    <w:rsid w:val="00EA66BD"/>
    <w:rsid w:val="00EB3DE1"/>
    <w:rsid w:val="00EC2C93"/>
    <w:rsid w:val="00EC4D1A"/>
    <w:rsid w:val="00EC64CB"/>
    <w:rsid w:val="00EC70BD"/>
    <w:rsid w:val="00ED2298"/>
    <w:rsid w:val="00ED411B"/>
    <w:rsid w:val="00EF0BC5"/>
    <w:rsid w:val="00EF7EA0"/>
    <w:rsid w:val="00F03435"/>
    <w:rsid w:val="00F10A57"/>
    <w:rsid w:val="00F13DD2"/>
    <w:rsid w:val="00F253FA"/>
    <w:rsid w:val="00F3324D"/>
    <w:rsid w:val="00F41439"/>
    <w:rsid w:val="00F41BBD"/>
    <w:rsid w:val="00F42979"/>
    <w:rsid w:val="00F43051"/>
    <w:rsid w:val="00F43E70"/>
    <w:rsid w:val="00F4424A"/>
    <w:rsid w:val="00F5298E"/>
    <w:rsid w:val="00F52F7D"/>
    <w:rsid w:val="00F56BA7"/>
    <w:rsid w:val="00F73CB6"/>
    <w:rsid w:val="00F7790E"/>
    <w:rsid w:val="00F867FF"/>
    <w:rsid w:val="00F9152F"/>
    <w:rsid w:val="00F94147"/>
    <w:rsid w:val="00F941BC"/>
    <w:rsid w:val="00F957BF"/>
    <w:rsid w:val="00FA03B9"/>
    <w:rsid w:val="00FC0753"/>
    <w:rsid w:val="00FD49BB"/>
    <w:rsid w:val="00FE1A09"/>
    <w:rsid w:val="00FE78D1"/>
    <w:rsid w:val="00FF049D"/>
    <w:rsid w:val="00FF20FA"/>
    <w:rsid w:val="04332303"/>
    <w:rsid w:val="07D1692F"/>
    <w:rsid w:val="07F71AF9"/>
    <w:rsid w:val="093E70CC"/>
    <w:rsid w:val="0A6546F3"/>
    <w:rsid w:val="0BA1308D"/>
    <w:rsid w:val="0BCD0961"/>
    <w:rsid w:val="0BF31F78"/>
    <w:rsid w:val="0D3C4E9D"/>
    <w:rsid w:val="0EBD51D0"/>
    <w:rsid w:val="11D855A4"/>
    <w:rsid w:val="121F323F"/>
    <w:rsid w:val="16543A78"/>
    <w:rsid w:val="18187FEE"/>
    <w:rsid w:val="18923D74"/>
    <w:rsid w:val="19ED54DA"/>
    <w:rsid w:val="1BD70EBB"/>
    <w:rsid w:val="1DA03A52"/>
    <w:rsid w:val="1DCB6EB2"/>
    <w:rsid w:val="209D7395"/>
    <w:rsid w:val="20F7279B"/>
    <w:rsid w:val="2129027E"/>
    <w:rsid w:val="221C4B58"/>
    <w:rsid w:val="221D766F"/>
    <w:rsid w:val="28857FE9"/>
    <w:rsid w:val="2A6141A4"/>
    <w:rsid w:val="2CC664AC"/>
    <w:rsid w:val="2D972076"/>
    <w:rsid w:val="2F41615A"/>
    <w:rsid w:val="32B45836"/>
    <w:rsid w:val="337C7664"/>
    <w:rsid w:val="33BB2132"/>
    <w:rsid w:val="34D06ADA"/>
    <w:rsid w:val="358A718B"/>
    <w:rsid w:val="367C5CF7"/>
    <w:rsid w:val="36AE2800"/>
    <w:rsid w:val="36F22F2A"/>
    <w:rsid w:val="375F7874"/>
    <w:rsid w:val="386F7DEE"/>
    <w:rsid w:val="3A7D02DA"/>
    <w:rsid w:val="3B361C03"/>
    <w:rsid w:val="3DC20E35"/>
    <w:rsid w:val="406E73CF"/>
    <w:rsid w:val="40745B79"/>
    <w:rsid w:val="41803469"/>
    <w:rsid w:val="42087170"/>
    <w:rsid w:val="428E3FFC"/>
    <w:rsid w:val="48B33D93"/>
    <w:rsid w:val="48E13E7A"/>
    <w:rsid w:val="4966677E"/>
    <w:rsid w:val="49CD15B2"/>
    <w:rsid w:val="4A9928BF"/>
    <w:rsid w:val="4BC60CF9"/>
    <w:rsid w:val="4CAF1FFA"/>
    <w:rsid w:val="4CBE2614"/>
    <w:rsid w:val="4D1039DF"/>
    <w:rsid w:val="4F9229D0"/>
    <w:rsid w:val="50F50301"/>
    <w:rsid w:val="514F47F6"/>
    <w:rsid w:val="56363B1A"/>
    <w:rsid w:val="5690758D"/>
    <w:rsid w:val="56D31D03"/>
    <w:rsid w:val="573E6AFB"/>
    <w:rsid w:val="57F213DD"/>
    <w:rsid w:val="598F051C"/>
    <w:rsid w:val="59CE248E"/>
    <w:rsid w:val="5D441980"/>
    <w:rsid w:val="5D6327BB"/>
    <w:rsid w:val="5D7E3214"/>
    <w:rsid w:val="5DC920F5"/>
    <w:rsid w:val="5F3B6ACD"/>
    <w:rsid w:val="5FD53DDB"/>
    <w:rsid w:val="5FED168D"/>
    <w:rsid w:val="61A63CCC"/>
    <w:rsid w:val="621963A8"/>
    <w:rsid w:val="632A4E85"/>
    <w:rsid w:val="636E3BF8"/>
    <w:rsid w:val="642A48B2"/>
    <w:rsid w:val="64AE41DA"/>
    <w:rsid w:val="6545379D"/>
    <w:rsid w:val="670A098D"/>
    <w:rsid w:val="676728EB"/>
    <w:rsid w:val="67EB1093"/>
    <w:rsid w:val="6A26114C"/>
    <w:rsid w:val="6B9B574C"/>
    <w:rsid w:val="6DAB3818"/>
    <w:rsid w:val="6EDF3002"/>
    <w:rsid w:val="6FE74354"/>
    <w:rsid w:val="720A137F"/>
    <w:rsid w:val="738B2ACF"/>
    <w:rsid w:val="790659C1"/>
    <w:rsid w:val="79B6035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qFormat="1" w:unhideWhenUsed="0" w:uiPriority="0" w:semiHidden="0" w:name="footnote reference"/>
    <w:lsdException w:qFormat="1" w:unhideWhenUsed="0" w:uiPriority="0" w:semiHidden="0" w:name="annotation reference"/>
    <w:lsdException w:qFormat="1" w:unhideWhenUsed="0"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nhideWhenUsed="0" w:uiPriority="0" w:name="Body Text"/>
    <w:lsdException w:qFormat="1" w:unhideWhenUsed="0" w:uiPriority="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nhideWhenUsed="0"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nhideWhenUsed="0" w:uiPriority="0" w:name="HTML Acronym"/>
    <w:lsdException w:qFormat="1" w:unhideWhenUsed="0" w:uiPriority="0" w:name="HTML Address"/>
    <w:lsdException w:qFormat="1" w:unhideWhenUsed="0" w:uiPriority="0" w:name="HTML Cite"/>
    <w:lsdException w:qFormat="1" w:unhideWhenUsed="0" w:uiPriority="0" w:name="HTML Code"/>
    <w:lsdException w:qFormat="1" w:unhideWhenUsed="0" w:uiPriority="0" w:name="HTML Definition"/>
    <w:lsdException w:qFormat="1" w:unhideWhenUsed="0" w:uiPriority="0" w:name="HTML Keyboard"/>
    <w:lsdException w:qFormat="1" w:unhideWhenUsed="0" w:uiPriority="0" w:name="HTML Preformatted"/>
    <w:lsdException w:qFormat="1" w:unhideWhenUsed="0" w:uiPriority="0" w:name="HTML Sample"/>
    <w:lsdException w:qFormat="1" w:unhideWhenUsed="0" w:uiPriority="0" w:name="HTML Typewriter"/>
    <w:lsdException w:qFormat="1" w:unhideWhenUsed="0" w:uiPriority="0" w:name="HTML Variable"/>
    <w:lsdException w:qFormat="1" w:uiPriority="99" w:semiHidden="0" w:name="Normal Table"/>
    <w:lsdException w:qFormat="1" w:unhideWhenUsed="0" w:uiPriority="0" w:semiHidden="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qFormat="1" w:unhideWhenUsed="0" w:uiPriority="0" w:name="Table Grid 6"/>
    <w:lsdException w:qFormat="1" w:unhideWhenUsed="0" w:uiPriority="0" w:name="Table Grid 7"/>
    <w:lsdException w:qFormat="1"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nhideWhenUsed="0" w:uiPriority="0" w:name="Table 3D effects 1"/>
    <w:lsdException w:qFormat="1" w:unhideWhenUsed="0" w:uiPriority="0" w:name="Table 3D effects 2"/>
    <w:lsdException w:qFormat="1" w:unhideWhenUsed="0" w:uiPriority="0" w:name="Table 3D effects 3"/>
    <w:lsdException w:qFormat="1" w:unhideWhenUsed="0" w:uiPriority="0" w:name="Table Contemporary"/>
    <w:lsdException w:qFormat="1" w:unhideWhenUsed="0" w:uiPriority="0" w:name="Table Elegant"/>
    <w:lsdException w:qFormat="1"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qFormat="1" w:unhideWhenUsed="0" w:uiPriority="0" w:name="Table Web 3"/>
    <w:lsdException w:qFormat="1" w:unhideWhenUsed="0" w:uiPriority="0" w:semiHidden="0" w:name="Balloon Text"/>
    <w:lsdException w:qFormat="1" w:unhideWhenUsed="0" w:uiPriority="0"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0"/>
    <w:qFormat/>
    <w:uiPriority w:val="0"/>
    <w:pPr>
      <w:keepNext/>
      <w:keepLines/>
      <w:spacing w:line="360" w:lineRule="auto"/>
      <w:outlineLvl w:val="0"/>
    </w:pPr>
    <w:rPr>
      <w:rFonts w:ascii="Calibri" w:hAnsi="Calibri"/>
      <w:b/>
      <w:bCs/>
      <w:kern w:val="44"/>
      <w:sz w:val="32"/>
      <w:szCs w:val="44"/>
    </w:rPr>
  </w:style>
  <w:style w:type="paragraph" w:styleId="3">
    <w:name w:val="heading 2"/>
    <w:basedOn w:val="1"/>
    <w:next w:val="1"/>
    <w:link w:val="146"/>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141"/>
    <w:qFormat/>
    <w:uiPriority w:val="0"/>
    <w:pPr>
      <w:keepNext/>
      <w:keepLines/>
      <w:spacing w:line="360" w:lineRule="auto"/>
      <w:outlineLvl w:val="2"/>
    </w:pPr>
    <w:rPr>
      <w:rFonts w:ascii="Calibri" w:hAnsi="Calibri"/>
      <w:b/>
      <w:bCs/>
      <w:sz w:val="24"/>
      <w:szCs w:val="32"/>
    </w:rPr>
  </w:style>
  <w:style w:type="paragraph" w:styleId="5">
    <w:name w:val="heading 4"/>
    <w:basedOn w:val="1"/>
    <w:next w:val="1"/>
    <w:qFormat/>
    <w:uiPriority w:val="0"/>
    <w:pPr>
      <w:keepNext/>
      <w:keepLines/>
      <w:spacing w:line="360" w:lineRule="auto"/>
      <w:outlineLvl w:val="3"/>
    </w:pPr>
    <w:rPr>
      <w:rFonts w:ascii="Arial" w:hAnsi="Arial"/>
      <w:b/>
      <w:bCs/>
      <w:szCs w:val="28"/>
    </w:rPr>
  </w:style>
  <w:style w:type="paragraph" w:styleId="6">
    <w:name w:val="heading 5"/>
    <w:basedOn w:val="1"/>
    <w:next w:val="1"/>
    <w:qFormat/>
    <w:uiPriority w:val="0"/>
    <w:pPr>
      <w:keepNext/>
      <w:keepLines/>
      <w:spacing w:line="360" w:lineRule="auto"/>
      <w:outlineLvl w:val="4"/>
    </w:pPr>
    <w:rPr>
      <w:rFonts w:eastAsia="黑体"/>
      <w:bCs/>
      <w:szCs w:val="28"/>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77">
    <w:name w:val="Default Paragraph Font"/>
    <w:unhideWhenUsed/>
    <w:qFormat/>
    <w:uiPriority w:val="1"/>
  </w:style>
  <w:style w:type="table" w:default="1" w:styleId="95">
    <w:name w:val="Normal Table"/>
    <w:unhideWhenUsed/>
    <w:qFormat/>
    <w:uiPriority w:val="99"/>
    <w:tblPr>
      <w:tblLayout w:type="fixed"/>
      <w:tblCellMar>
        <w:top w:w="0" w:type="dxa"/>
        <w:left w:w="108" w:type="dxa"/>
        <w:bottom w:w="0" w:type="dxa"/>
        <w:right w:w="108" w:type="dxa"/>
      </w:tblCellMar>
    </w:tblPr>
  </w:style>
  <w:style w:type="paragraph" w:styleId="11">
    <w:name w:val="List 3"/>
    <w:basedOn w:val="1"/>
    <w:semiHidden/>
    <w:qFormat/>
    <w:uiPriority w:val="0"/>
    <w:pPr>
      <w:ind w:left="1260" w:hanging="420"/>
    </w:pPr>
  </w:style>
  <w:style w:type="paragraph" w:styleId="12">
    <w:name w:val="annotation subject"/>
    <w:basedOn w:val="13"/>
    <w:next w:val="13"/>
    <w:qFormat/>
    <w:uiPriority w:val="0"/>
    <w:rPr>
      <w:b/>
      <w:bCs/>
    </w:rPr>
  </w:style>
  <w:style w:type="paragraph" w:styleId="13">
    <w:name w:val="annotation text"/>
    <w:basedOn w:val="1"/>
    <w:link w:val="156"/>
    <w:qFormat/>
    <w:uiPriority w:val="99"/>
    <w:pPr>
      <w:jc w:val="left"/>
    </w:pPr>
    <w:rPr>
      <w:rFonts w:ascii="Calibri" w:hAnsi="Calibri"/>
    </w:rPr>
  </w:style>
  <w:style w:type="paragraph" w:styleId="14">
    <w:name w:val="toc 7"/>
    <w:basedOn w:val="1"/>
    <w:next w:val="1"/>
    <w:qFormat/>
    <w:uiPriority w:val="0"/>
    <w:pPr>
      <w:ind w:left="1260"/>
      <w:jc w:val="left"/>
    </w:pPr>
    <w:rPr>
      <w:sz w:val="18"/>
      <w:szCs w:val="18"/>
    </w:rPr>
  </w:style>
  <w:style w:type="paragraph" w:styleId="15">
    <w:name w:val="Body Text First Indent"/>
    <w:basedOn w:val="16"/>
    <w:semiHidden/>
    <w:qFormat/>
    <w:uiPriority w:val="0"/>
    <w:pPr>
      <w:ind w:firstLine="420"/>
    </w:pPr>
  </w:style>
  <w:style w:type="paragraph" w:styleId="16">
    <w:name w:val="Body Text"/>
    <w:basedOn w:val="1"/>
    <w:semiHidden/>
    <w:qFormat/>
    <w:uiPriority w:val="0"/>
    <w:pPr>
      <w:spacing w:after="120"/>
    </w:pPr>
  </w:style>
  <w:style w:type="paragraph" w:styleId="17">
    <w:name w:val="List Number 2"/>
    <w:basedOn w:val="1"/>
    <w:semiHidden/>
    <w:qFormat/>
    <w:uiPriority w:val="0"/>
    <w:pPr>
      <w:tabs>
        <w:tab w:val="left" w:pos="780"/>
      </w:tabs>
      <w:ind w:left="780" w:hanging="360"/>
    </w:pPr>
  </w:style>
  <w:style w:type="paragraph" w:styleId="18">
    <w:name w:val="Note Heading"/>
    <w:basedOn w:val="1"/>
    <w:next w:val="1"/>
    <w:semiHidden/>
    <w:qFormat/>
    <w:uiPriority w:val="0"/>
    <w:pPr>
      <w:jc w:val="center"/>
    </w:pPr>
  </w:style>
  <w:style w:type="paragraph" w:styleId="19">
    <w:name w:val="List Bullet 4"/>
    <w:basedOn w:val="1"/>
    <w:semiHidden/>
    <w:qFormat/>
    <w:uiPriority w:val="0"/>
    <w:pPr>
      <w:tabs>
        <w:tab w:val="left" w:pos="1620"/>
      </w:tabs>
      <w:ind w:left="1620" w:hanging="360"/>
    </w:pPr>
  </w:style>
  <w:style w:type="paragraph" w:styleId="20">
    <w:name w:val="E-mail Signature"/>
    <w:basedOn w:val="1"/>
    <w:semiHidden/>
    <w:qFormat/>
    <w:uiPriority w:val="0"/>
  </w:style>
  <w:style w:type="paragraph" w:styleId="21">
    <w:name w:val="List Number"/>
    <w:basedOn w:val="1"/>
    <w:semiHidden/>
    <w:qFormat/>
    <w:uiPriority w:val="0"/>
    <w:pPr>
      <w:tabs>
        <w:tab w:val="left" w:pos="360"/>
      </w:tabs>
      <w:ind w:left="360" w:hanging="360"/>
    </w:pPr>
  </w:style>
  <w:style w:type="paragraph" w:styleId="22">
    <w:name w:val="Normal Indent"/>
    <w:basedOn w:val="1"/>
    <w:qFormat/>
    <w:uiPriority w:val="0"/>
    <w:pPr>
      <w:ind w:firstLine="420"/>
    </w:pPr>
  </w:style>
  <w:style w:type="paragraph" w:styleId="23">
    <w:name w:val="caption"/>
    <w:basedOn w:val="1"/>
    <w:next w:val="1"/>
    <w:qFormat/>
    <w:uiPriority w:val="0"/>
    <w:pPr>
      <w:spacing w:before="152" w:after="160"/>
    </w:pPr>
    <w:rPr>
      <w:rFonts w:ascii="Arial" w:hAnsi="Arial" w:eastAsia="黑体"/>
      <w:sz w:val="20"/>
      <w:szCs w:val="20"/>
    </w:rPr>
  </w:style>
  <w:style w:type="paragraph" w:styleId="24">
    <w:name w:val="List Bullet"/>
    <w:basedOn w:val="1"/>
    <w:semiHidden/>
    <w:qFormat/>
    <w:uiPriority w:val="0"/>
    <w:pPr>
      <w:tabs>
        <w:tab w:val="left" w:pos="360"/>
      </w:tabs>
      <w:ind w:left="360" w:hanging="360"/>
    </w:pPr>
  </w:style>
  <w:style w:type="paragraph" w:styleId="25">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6">
    <w:name w:val="Document Map"/>
    <w:basedOn w:val="1"/>
    <w:link w:val="149"/>
    <w:qFormat/>
    <w:uiPriority w:val="0"/>
    <w:rPr>
      <w:rFonts w:ascii="Tahoma" w:hAnsi="Tahoma"/>
      <w:sz w:val="16"/>
      <w:szCs w:val="16"/>
    </w:rPr>
  </w:style>
  <w:style w:type="paragraph" w:styleId="27">
    <w:name w:val="Salutation"/>
    <w:basedOn w:val="1"/>
    <w:next w:val="1"/>
    <w:semiHidden/>
    <w:qFormat/>
    <w:uiPriority w:val="0"/>
  </w:style>
  <w:style w:type="paragraph" w:styleId="28">
    <w:name w:val="Body Text 3"/>
    <w:basedOn w:val="1"/>
    <w:semiHidden/>
    <w:qFormat/>
    <w:uiPriority w:val="0"/>
    <w:pPr>
      <w:spacing w:after="120"/>
    </w:pPr>
    <w:rPr>
      <w:sz w:val="16"/>
      <w:szCs w:val="16"/>
    </w:rPr>
  </w:style>
  <w:style w:type="paragraph" w:styleId="29">
    <w:name w:val="Closing"/>
    <w:basedOn w:val="1"/>
    <w:semiHidden/>
    <w:qFormat/>
    <w:uiPriority w:val="0"/>
    <w:pPr>
      <w:ind w:left="4320"/>
    </w:pPr>
  </w:style>
  <w:style w:type="paragraph" w:styleId="30">
    <w:name w:val="List Bullet 3"/>
    <w:basedOn w:val="1"/>
    <w:semiHidden/>
    <w:qFormat/>
    <w:uiPriority w:val="0"/>
    <w:pPr>
      <w:tabs>
        <w:tab w:val="left" w:pos="1200"/>
      </w:tabs>
      <w:ind w:left="1200" w:hanging="360"/>
    </w:pPr>
  </w:style>
  <w:style w:type="paragraph" w:styleId="31">
    <w:name w:val="Body Text Indent"/>
    <w:basedOn w:val="1"/>
    <w:semiHidden/>
    <w:qFormat/>
    <w:uiPriority w:val="0"/>
    <w:pPr>
      <w:spacing w:after="120"/>
      <w:ind w:left="420"/>
    </w:pPr>
  </w:style>
  <w:style w:type="paragraph" w:styleId="32">
    <w:name w:val="List Number 3"/>
    <w:basedOn w:val="1"/>
    <w:semiHidden/>
    <w:qFormat/>
    <w:uiPriority w:val="0"/>
    <w:pPr>
      <w:tabs>
        <w:tab w:val="left" w:pos="1200"/>
      </w:tabs>
      <w:ind w:left="1200" w:hanging="360"/>
    </w:pPr>
  </w:style>
  <w:style w:type="paragraph" w:styleId="33">
    <w:name w:val="List 2"/>
    <w:basedOn w:val="1"/>
    <w:semiHidden/>
    <w:qFormat/>
    <w:uiPriority w:val="0"/>
    <w:pPr>
      <w:ind w:left="840" w:hanging="420"/>
    </w:pPr>
  </w:style>
  <w:style w:type="paragraph" w:styleId="34">
    <w:name w:val="List Continue"/>
    <w:basedOn w:val="1"/>
    <w:semiHidden/>
    <w:qFormat/>
    <w:uiPriority w:val="0"/>
    <w:pPr>
      <w:spacing w:after="120"/>
      <w:ind w:left="420"/>
    </w:pPr>
  </w:style>
  <w:style w:type="paragraph" w:styleId="35">
    <w:name w:val="Block Text"/>
    <w:basedOn w:val="1"/>
    <w:semiHidden/>
    <w:qFormat/>
    <w:uiPriority w:val="0"/>
    <w:pPr>
      <w:spacing w:after="120"/>
      <w:ind w:left="1440" w:right="1440"/>
    </w:pPr>
  </w:style>
  <w:style w:type="paragraph" w:styleId="36">
    <w:name w:val="List Bullet 2"/>
    <w:basedOn w:val="1"/>
    <w:semiHidden/>
    <w:qFormat/>
    <w:uiPriority w:val="0"/>
    <w:pPr>
      <w:tabs>
        <w:tab w:val="left" w:pos="780"/>
      </w:tabs>
      <w:ind w:left="780" w:hanging="360"/>
    </w:pPr>
  </w:style>
  <w:style w:type="paragraph" w:styleId="37">
    <w:name w:val="HTML Address"/>
    <w:basedOn w:val="1"/>
    <w:semiHidden/>
    <w:qFormat/>
    <w:uiPriority w:val="0"/>
    <w:rPr>
      <w:i/>
      <w:iCs/>
    </w:rPr>
  </w:style>
  <w:style w:type="paragraph" w:styleId="38">
    <w:name w:val="toc 5"/>
    <w:basedOn w:val="1"/>
    <w:next w:val="1"/>
    <w:qFormat/>
    <w:uiPriority w:val="0"/>
    <w:pPr>
      <w:ind w:left="840"/>
      <w:jc w:val="left"/>
    </w:pPr>
    <w:rPr>
      <w:sz w:val="18"/>
      <w:szCs w:val="18"/>
    </w:rPr>
  </w:style>
  <w:style w:type="paragraph" w:styleId="39">
    <w:name w:val="toc 3"/>
    <w:basedOn w:val="1"/>
    <w:next w:val="1"/>
    <w:qFormat/>
    <w:uiPriority w:val="0"/>
    <w:pPr>
      <w:ind w:left="840" w:leftChars="400"/>
    </w:pPr>
  </w:style>
  <w:style w:type="paragraph" w:styleId="40">
    <w:name w:val="Plain Text"/>
    <w:basedOn w:val="1"/>
    <w:link w:val="159"/>
    <w:qFormat/>
    <w:uiPriority w:val="0"/>
    <w:rPr>
      <w:rFonts w:ascii="宋体" w:hAnsi="Courier New" w:cs="Courier New"/>
      <w:szCs w:val="21"/>
    </w:rPr>
  </w:style>
  <w:style w:type="paragraph" w:styleId="41">
    <w:name w:val="List Bullet 5"/>
    <w:basedOn w:val="1"/>
    <w:semiHidden/>
    <w:qFormat/>
    <w:uiPriority w:val="0"/>
    <w:pPr>
      <w:tabs>
        <w:tab w:val="left" w:pos="2040"/>
      </w:tabs>
      <w:ind w:left="2040" w:hanging="360"/>
    </w:pPr>
  </w:style>
  <w:style w:type="paragraph" w:styleId="42">
    <w:name w:val="List Number 4"/>
    <w:basedOn w:val="1"/>
    <w:semiHidden/>
    <w:qFormat/>
    <w:uiPriority w:val="0"/>
    <w:pPr>
      <w:tabs>
        <w:tab w:val="left" w:pos="1620"/>
      </w:tabs>
      <w:ind w:left="1620" w:hanging="360"/>
    </w:pPr>
  </w:style>
  <w:style w:type="paragraph" w:styleId="43">
    <w:name w:val="toc 8"/>
    <w:basedOn w:val="1"/>
    <w:next w:val="1"/>
    <w:qFormat/>
    <w:uiPriority w:val="0"/>
    <w:pPr>
      <w:ind w:left="1470"/>
      <w:jc w:val="left"/>
    </w:pPr>
    <w:rPr>
      <w:sz w:val="18"/>
      <w:szCs w:val="18"/>
    </w:rPr>
  </w:style>
  <w:style w:type="paragraph" w:styleId="44">
    <w:name w:val="Date"/>
    <w:basedOn w:val="1"/>
    <w:next w:val="1"/>
    <w:qFormat/>
    <w:uiPriority w:val="0"/>
    <w:pPr>
      <w:ind w:left="100" w:leftChars="2500"/>
    </w:pPr>
  </w:style>
  <w:style w:type="paragraph" w:styleId="45">
    <w:name w:val="Body Text Indent 2"/>
    <w:basedOn w:val="1"/>
    <w:link w:val="171"/>
    <w:qFormat/>
    <w:uiPriority w:val="0"/>
    <w:pPr>
      <w:autoSpaceDE w:val="0"/>
      <w:autoSpaceDN w:val="0"/>
      <w:adjustRightInd w:val="0"/>
      <w:spacing w:line="360" w:lineRule="auto"/>
      <w:ind w:firstLine="480" w:firstLineChars="200"/>
    </w:pPr>
    <w:rPr>
      <w:rFonts w:ascii="宋体" w:hAnsi="Calibri"/>
      <w:color w:val="000000"/>
      <w:sz w:val="24"/>
    </w:rPr>
  </w:style>
  <w:style w:type="paragraph" w:styleId="46">
    <w:name w:val="endnote text"/>
    <w:basedOn w:val="1"/>
    <w:qFormat/>
    <w:uiPriority w:val="0"/>
    <w:pPr>
      <w:snapToGrid w:val="0"/>
      <w:jc w:val="left"/>
    </w:pPr>
  </w:style>
  <w:style w:type="paragraph" w:styleId="47">
    <w:name w:val="List Continue 5"/>
    <w:basedOn w:val="1"/>
    <w:semiHidden/>
    <w:qFormat/>
    <w:uiPriority w:val="0"/>
    <w:pPr>
      <w:spacing w:after="120"/>
      <w:ind w:left="2100"/>
    </w:pPr>
  </w:style>
  <w:style w:type="paragraph" w:styleId="48">
    <w:name w:val="Balloon Text"/>
    <w:basedOn w:val="1"/>
    <w:link w:val="145"/>
    <w:qFormat/>
    <w:uiPriority w:val="0"/>
    <w:rPr>
      <w:rFonts w:ascii="Calibri" w:hAnsi="Calibri"/>
      <w:sz w:val="18"/>
      <w:szCs w:val="18"/>
    </w:rPr>
  </w:style>
  <w:style w:type="paragraph" w:styleId="49">
    <w:name w:val="footer"/>
    <w:basedOn w:val="1"/>
    <w:link w:val="142"/>
    <w:qFormat/>
    <w:uiPriority w:val="0"/>
    <w:pPr>
      <w:tabs>
        <w:tab w:val="center" w:pos="4153"/>
        <w:tab w:val="right" w:pos="8306"/>
      </w:tabs>
      <w:snapToGrid w:val="0"/>
      <w:jc w:val="left"/>
    </w:pPr>
    <w:rPr>
      <w:rFonts w:ascii="Calibri" w:hAnsi="Calibri"/>
      <w:sz w:val="18"/>
      <w:szCs w:val="18"/>
    </w:rPr>
  </w:style>
  <w:style w:type="paragraph" w:styleId="50">
    <w:name w:val="envelope return"/>
    <w:basedOn w:val="1"/>
    <w:semiHidden/>
    <w:qFormat/>
    <w:uiPriority w:val="0"/>
    <w:pPr>
      <w:snapToGrid w:val="0"/>
    </w:pPr>
    <w:rPr>
      <w:rFonts w:ascii="Arial" w:hAnsi="Arial" w:cs="Arial"/>
    </w:rPr>
  </w:style>
  <w:style w:type="paragraph" w:styleId="51">
    <w:name w:val="Body Text First Indent 2"/>
    <w:basedOn w:val="31"/>
    <w:semiHidden/>
    <w:qFormat/>
    <w:uiPriority w:val="0"/>
    <w:pPr>
      <w:ind w:firstLine="420"/>
    </w:pPr>
  </w:style>
  <w:style w:type="paragraph" w:styleId="52">
    <w:name w:val="header"/>
    <w:basedOn w:val="1"/>
    <w:link w:val="140"/>
    <w:qFormat/>
    <w:uiPriority w:val="0"/>
    <w:pPr>
      <w:tabs>
        <w:tab w:val="center" w:pos="4320"/>
        <w:tab w:val="right" w:pos="8640"/>
      </w:tabs>
    </w:pPr>
    <w:rPr>
      <w:rFonts w:ascii="Calibri" w:hAnsi="Calibri"/>
    </w:rPr>
  </w:style>
  <w:style w:type="paragraph" w:styleId="53">
    <w:name w:val="Signature"/>
    <w:basedOn w:val="1"/>
    <w:semiHidden/>
    <w:qFormat/>
    <w:uiPriority w:val="0"/>
    <w:pPr>
      <w:ind w:left="4320"/>
    </w:pPr>
  </w:style>
  <w:style w:type="paragraph" w:styleId="54">
    <w:name w:val="toc 1"/>
    <w:basedOn w:val="1"/>
    <w:next w:val="1"/>
    <w:qFormat/>
    <w:uiPriority w:val="0"/>
    <w:rPr>
      <w:szCs w:val="20"/>
    </w:rPr>
  </w:style>
  <w:style w:type="paragraph" w:styleId="55">
    <w:name w:val="List Continue 4"/>
    <w:basedOn w:val="1"/>
    <w:semiHidden/>
    <w:qFormat/>
    <w:uiPriority w:val="0"/>
    <w:pPr>
      <w:spacing w:after="120"/>
      <w:ind w:left="1680"/>
    </w:pPr>
  </w:style>
  <w:style w:type="paragraph" w:styleId="56">
    <w:name w:val="toc 4"/>
    <w:basedOn w:val="1"/>
    <w:next w:val="1"/>
    <w:qFormat/>
    <w:uiPriority w:val="0"/>
    <w:pPr>
      <w:ind w:left="630"/>
      <w:jc w:val="left"/>
    </w:pPr>
    <w:rPr>
      <w:sz w:val="18"/>
      <w:szCs w:val="18"/>
    </w:rPr>
  </w:style>
  <w:style w:type="paragraph" w:styleId="57">
    <w:name w:val="index heading"/>
    <w:basedOn w:val="1"/>
    <w:next w:val="58"/>
    <w:semiHidden/>
    <w:qFormat/>
    <w:uiPriority w:val="0"/>
    <w:pPr>
      <w:adjustRightInd w:val="0"/>
      <w:spacing w:line="490" w:lineRule="exact"/>
      <w:ind w:firstLine="556"/>
      <w:textAlignment w:val="baseline"/>
    </w:pPr>
    <w:rPr>
      <w:rFonts w:eastAsia="仿宋_GB2312"/>
      <w:kern w:val="0"/>
      <w:sz w:val="28"/>
      <w:szCs w:val="20"/>
    </w:rPr>
  </w:style>
  <w:style w:type="paragraph" w:styleId="58">
    <w:name w:val="index 1"/>
    <w:basedOn w:val="1"/>
    <w:next w:val="1"/>
    <w:semiHidden/>
    <w:qFormat/>
    <w:uiPriority w:val="0"/>
  </w:style>
  <w:style w:type="paragraph" w:styleId="59">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60">
    <w:name w:val="List Number 5"/>
    <w:basedOn w:val="1"/>
    <w:semiHidden/>
    <w:qFormat/>
    <w:uiPriority w:val="0"/>
    <w:pPr>
      <w:tabs>
        <w:tab w:val="left" w:pos="2040"/>
      </w:tabs>
      <w:ind w:left="2040" w:hanging="360"/>
    </w:pPr>
  </w:style>
  <w:style w:type="paragraph" w:styleId="61">
    <w:name w:val="List"/>
    <w:basedOn w:val="1"/>
    <w:semiHidden/>
    <w:qFormat/>
    <w:uiPriority w:val="0"/>
    <w:pPr>
      <w:ind w:left="420" w:hanging="420"/>
    </w:pPr>
  </w:style>
  <w:style w:type="paragraph" w:styleId="62">
    <w:name w:val="footnote text"/>
    <w:basedOn w:val="1"/>
    <w:link w:val="174"/>
    <w:qFormat/>
    <w:uiPriority w:val="0"/>
    <w:pPr>
      <w:snapToGrid w:val="0"/>
      <w:jc w:val="left"/>
    </w:pPr>
    <w:rPr>
      <w:rFonts w:ascii="Calibri" w:hAnsi="Calibri"/>
      <w:kern w:val="0"/>
      <w:sz w:val="18"/>
      <w:szCs w:val="20"/>
    </w:rPr>
  </w:style>
  <w:style w:type="paragraph" w:styleId="63">
    <w:name w:val="toc 6"/>
    <w:basedOn w:val="1"/>
    <w:next w:val="1"/>
    <w:qFormat/>
    <w:uiPriority w:val="0"/>
    <w:pPr>
      <w:ind w:left="1050"/>
      <w:jc w:val="left"/>
    </w:pPr>
    <w:rPr>
      <w:sz w:val="18"/>
      <w:szCs w:val="18"/>
    </w:rPr>
  </w:style>
  <w:style w:type="paragraph" w:styleId="64">
    <w:name w:val="List 5"/>
    <w:basedOn w:val="1"/>
    <w:semiHidden/>
    <w:qFormat/>
    <w:uiPriority w:val="0"/>
    <w:pPr>
      <w:ind w:left="2100" w:hanging="420"/>
    </w:pPr>
  </w:style>
  <w:style w:type="paragraph" w:styleId="65">
    <w:name w:val="Body Text Indent 3"/>
    <w:basedOn w:val="1"/>
    <w:semiHidden/>
    <w:qFormat/>
    <w:uiPriority w:val="0"/>
    <w:pPr>
      <w:spacing w:after="120"/>
      <w:ind w:left="420"/>
    </w:pPr>
    <w:rPr>
      <w:sz w:val="16"/>
      <w:szCs w:val="16"/>
    </w:rPr>
  </w:style>
  <w:style w:type="paragraph" w:styleId="66">
    <w:name w:val="table of figures"/>
    <w:basedOn w:val="1"/>
    <w:next w:val="1"/>
    <w:semiHidden/>
    <w:qFormat/>
    <w:uiPriority w:val="0"/>
    <w:pPr>
      <w:ind w:left="200" w:leftChars="200" w:hanging="200" w:hangingChars="200"/>
    </w:pPr>
  </w:style>
  <w:style w:type="paragraph" w:styleId="67">
    <w:name w:val="toc 2"/>
    <w:basedOn w:val="1"/>
    <w:next w:val="1"/>
    <w:qFormat/>
    <w:uiPriority w:val="0"/>
    <w:pPr>
      <w:ind w:left="420" w:leftChars="200"/>
    </w:pPr>
    <w:rPr>
      <w:szCs w:val="20"/>
    </w:rPr>
  </w:style>
  <w:style w:type="paragraph" w:styleId="68">
    <w:name w:val="toc 9"/>
    <w:basedOn w:val="1"/>
    <w:next w:val="1"/>
    <w:qFormat/>
    <w:uiPriority w:val="0"/>
    <w:pPr>
      <w:ind w:left="1680"/>
      <w:jc w:val="left"/>
    </w:pPr>
    <w:rPr>
      <w:sz w:val="18"/>
      <w:szCs w:val="18"/>
    </w:rPr>
  </w:style>
  <w:style w:type="paragraph" w:styleId="69">
    <w:name w:val="Body Text 2"/>
    <w:basedOn w:val="1"/>
    <w:semiHidden/>
    <w:qFormat/>
    <w:uiPriority w:val="0"/>
    <w:pPr>
      <w:spacing w:after="120" w:line="480" w:lineRule="auto"/>
    </w:pPr>
  </w:style>
  <w:style w:type="paragraph" w:styleId="70">
    <w:name w:val="List 4"/>
    <w:basedOn w:val="1"/>
    <w:semiHidden/>
    <w:qFormat/>
    <w:uiPriority w:val="0"/>
    <w:pPr>
      <w:ind w:left="1680" w:hanging="420"/>
    </w:pPr>
  </w:style>
  <w:style w:type="paragraph" w:styleId="71">
    <w:name w:val="List Continue 2"/>
    <w:basedOn w:val="1"/>
    <w:semiHidden/>
    <w:qFormat/>
    <w:uiPriority w:val="0"/>
    <w:pPr>
      <w:spacing w:after="120"/>
      <w:ind w:left="840"/>
    </w:pPr>
  </w:style>
  <w:style w:type="paragraph" w:styleId="72">
    <w:name w:val="Message Header"/>
    <w:basedOn w:val="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3">
    <w:name w:val="HTML Preformatted"/>
    <w:basedOn w:val="1"/>
    <w:semiHidden/>
    <w:qFormat/>
    <w:uiPriority w:val="0"/>
    <w:rPr>
      <w:rFonts w:ascii="Courier New" w:hAnsi="Courier New" w:cs="Courier New"/>
      <w:sz w:val="20"/>
      <w:szCs w:val="20"/>
    </w:rPr>
  </w:style>
  <w:style w:type="paragraph" w:styleId="7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5">
    <w:name w:val="List Continue 3"/>
    <w:basedOn w:val="1"/>
    <w:semiHidden/>
    <w:qFormat/>
    <w:uiPriority w:val="0"/>
    <w:pPr>
      <w:spacing w:after="120"/>
      <w:ind w:left="1260"/>
    </w:pPr>
  </w:style>
  <w:style w:type="paragraph" w:styleId="76">
    <w:name w:val="Title"/>
    <w:basedOn w:val="1"/>
    <w:next w:val="1"/>
    <w:qFormat/>
    <w:uiPriority w:val="0"/>
    <w:pPr>
      <w:spacing w:before="240" w:after="60"/>
      <w:jc w:val="center"/>
      <w:outlineLvl w:val="0"/>
    </w:pPr>
    <w:rPr>
      <w:rFonts w:ascii="Arial" w:hAnsi="Arial" w:cs="Arial"/>
      <w:b/>
      <w:bCs/>
      <w:sz w:val="32"/>
      <w:szCs w:val="32"/>
    </w:rPr>
  </w:style>
  <w:style w:type="character" w:styleId="78">
    <w:name w:val="Strong"/>
    <w:qFormat/>
    <w:uiPriority w:val="0"/>
    <w:rPr>
      <w:b/>
      <w:bCs/>
    </w:rPr>
  </w:style>
  <w:style w:type="character" w:styleId="79">
    <w:name w:val="endnote reference"/>
    <w:qFormat/>
    <w:uiPriority w:val="0"/>
    <w:rPr>
      <w:vertAlign w:val="superscript"/>
    </w:rPr>
  </w:style>
  <w:style w:type="character" w:styleId="80">
    <w:name w:val="page number"/>
    <w:basedOn w:val="77"/>
    <w:qFormat/>
    <w:uiPriority w:val="0"/>
  </w:style>
  <w:style w:type="character" w:styleId="81">
    <w:name w:val="FollowedHyperlink"/>
    <w:semiHidden/>
    <w:qFormat/>
    <w:uiPriority w:val="99"/>
    <w:rPr>
      <w:color w:val="800080"/>
      <w:u w:val="single"/>
    </w:rPr>
  </w:style>
  <w:style w:type="character" w:styleId="82">
    <w:name w:val="Emphasis"/>
    <w:qFormat/>
    <w:uiPriority w:val="0"/>
    <w:rPr>
      <w:i/>
      <w:iCs/>
    </w:rPr>
  </w:style>
  <w:style w:type="character" w:styleId="83">
    <w:name w:val="line number"/>
    <w:basedOn w:val="77"/>
    <w:semiHidden/>
    <w:qFormat/>
    <w:uiPriority w:val="0"/>
  </w:style>
  <w:style w:type="character" w:styleId="84">
    <w:name w:val="HTML Definition"/>
    <w:semiHidden/>
    <w:qFormat/>
    <w:uiPriority w:val="0"/>
    <w:rPr>
      <w:i/>
      <w:iCs/>
    </w:rPr>
  </w:style>
  <w:style w:type="character" w:styleId="85">
    <w:name w:val="HTML Typewriter"/>
    <w:semiHidden/>
    <w:qFormat/>
    <w:uiPriority w:val="0"/>
    <w:rPr>
      <w:rFonts w:ascii="Courier New" w:hAnsi="Courier New" w:cs="Courier New"/>
      <w:sz w:val="20"/>
      <w:szCs w:val="20"/>
    </w:rPr>
  </w:style>
  <w:style w:type="character" w:styleId="86">
    <w:name w:val="HTML Acronym"/>
    <w:basedOn w:val="77"/>
    <w:semiHidden/>
    <w:qFormat/>
    <w:uiPriority w:val="0"/>
  </w:style>
  <w:style w:type="character" w:styleId="87">
    <w:name w:val="HTML Variable"/>
    <w:semiHidden/>
    <w:qFormat/>
    <w:uiPriority w:val="0"/>
    <w:rPr>
      <w:i/>
      <w:iCs/>
    </w:rPr>
  </w:style>
  <w:style w:type="character" w:styleId="88">
    <w:name w:val="Hyperlink"/>
    <w:qFormat/>
    <w:uiPriority w:val="99"/>
    <w:rPr>
      <w:color w:val="0000FF"/>
      <w:u w:val="single"/>
    </w:rPr>
  </w:style>
  <w:style w:type="character" w:styleId="89">
    <w:name w:val="HTML Code"/>
    <w:semiHidden/>
    <w:qFormat/>
    <w:uiPriority w:val="0"/>
    <w:rPr>
      <w:rFonts w:ascii="Courier New" w:hAnsi="Courier New" w:cs="Courier New"/>
      <w:sz w:val="20"/>
      <w:szCs w:val="20"/>
    </w:rPr>
  </w:style>
  <w:style w:type="character" w:styleId="90">
    <w:name w:val="annotation reference"/>
    <w:qFormat/>
    <w:uiPriority w:val="0"/>
    <w:rPr>
      <w:sz w:val="21"/>
      <w:szCs w:val="21"/>
    </w:rPr>
  </w:style>
  <w:style w:type="character" w:styleId="91">
    <w:name w:val="HTML Cite"/>
    <w:semiHidden/>
    <w:qFormat/>
    <w:uiPriority w:val="0"/>
    <w:rPr>
      <w:i/>
      <w:iCs/>
    </w:rPr>
  </w:style>
  <w:style w:type="character" w:styleId="92">
    <w:name w:val="footnote reference"/>
    <w:qFormat/>
    <w:uiPriority w:val="0"/>
    <w:rPr>
      <w:vertAlign w:val="superscript"/>
    </w:rPr>
  </w:style>
  <w:style w:type="character" w:styleId="93">
    <w:name w:val="HTML Keyboard"/>
    <w:semiHidden/>
    <w:qFormat/>
    <w:uiPriority w:val="0"/>
    <w:rPr>
      <w:rFonts w:ascii="Courier New" w:hAnsi="Courier New" w:cs="Courier New"/>
      <w:sz w:val="20"/>
      <w:szCs w:val="20"/>
    </w:rPr>
  </w:style>
  <w:style w:type="character" w:styleId="94">
    <w:name w:val="HTML Sample"/>
    <w:semiHidden/>
    <w:qFormat/>
    <w:uiPriority w:val="0"/>
    <w:rPr>
      <w:rFonts w:ascii="Courier New" w:hAnsi="Courier New" w:cs="Courier New"/>
    </w:rPr>
  </w:style>
  <w:style w:type="table" w:styleId="96">
    <w:name w:val="Table Grid"/>
    <w:basedOn w:val="9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97">
    <w:name w:val="Table Theme"/>
    <w:basedOn w:val="95"/>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98">
    <w:name w:val="Table Colorful 1"/>
    <w:basedOn w:val="95"/>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Layout w:type="fixed"/>
      <w:tblCellMar>
        <w:top w:w="0" w:type="dxa"/>
        <w:left w:w="108" w:type="dxa"/>
        <w:bottom w:w="0" w:type="dxa"/>
        <w:right w:w="108" w:type="dxa"/>
      </w:tblCellMar>
    </w:tblPr>
    <w:tcPr>
      <w:shd w:val="solid" w:color="008080" w:fill="FFFFFF"/>
    </w:tcPr>
    <w:tblStylePr w:type="firstRow">
      <w:rPr>
        <w:b/>
        <w:bCs/>
        <w:i/>
        <w:iCs/>
      </w:rPr>
      <w:tblPr>
        <w:tblLayout w:type="fixed"/>
      </w:tblPr>
      <w:tcPr>
        <w:tcBorders>
          <w:top w:val="nil"/>
          <w:left w:val="nil"/>
          <w:bottom w:val="nil"/>
          <w:right w:val="nil"/>
          <w:insideH w:val="nil"/>
          <w:insideV w:val="nil"/>
          <w:tl2br w:val="nil"/>
          <w:tr2bl w:val="nil"/>
        </w:tcBorders>
        <w:shd w:val="solid" w:color="000000" w:fill="FFFFFF"/>
      </w:tcPr>
    </w:tblStylePr>
    <w:tblStylePr w:type="firstCol">
      <w:rPr>
        <w:b/>
        <w:bCs/>
        <w:i/>
        <w:iCs/>
      </w:rPr>
      <w:tblPr>
        <w:tblLayout w:type="fixed"/>
      </w:tblPr>
      <w:tcPr>
        <w:tcBorders>
          <w:top w:val="nil"/>
          <w:left w:val="nil"/>
          <w:bottom w:val="nil"/>
          <w:right w:val="nil"/>
          <w:insideH w:val="nil"/>
          <w:insideV w:val="nil"/>
          <w:tl2br w:val="nil"/>
          <w:tr2bl w:val="nil"/>
        </w:tcBorders>
        <w:shd w:val="solid" w:color="000080" w:fill="FFFFFF"/>
      </w:tcPr>
    </w:tblStylePr>
    <w:tblStylePr w:type="nwCell">
      <w:tblPr>
        <w:tblLayout w:type="fixed"/>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99">
    <w:name w:val="Table Colorful 2"/>
    <w:basedOn w:val="95"/>
    <w:semiHidden/>
    <w:qFormat/>
    <w:uiPriority w:val="0"/>
    <w:pPr>
      <w:widowControl w:val="0"/>
      <w:jc w:val="both"/>
    </w:pPr>
    <w:tblPr>
      <w:tblBorders>
        <w:bottom w:val="single" w:color="000000" w:sz="12" w:space="0"/>
      </w:tblBorders>
      <w:tblLayout w:type="fixed"/>
      <w:tblCellMar>
        <w:top w:w="0" w:type="dxa"/>
        <w:left w:w="108" w:type="dxa"/>
        <w:bottom w:w="0" w:type="dxa"/>
        <w:right w:w="108" w:type="dxa"/>
      </w:tblCellMar>
    </w:tblPr>
    <w:tcPr>
      <w:shd w:val="pct20" w:color="FFFF00" w:fill="FFFFFF"/>
    </w:tcPr>
    <w:tblStylePr w:type="firstRow">
      <w:rPr>
        <w:b/>
        <w:bCs/>
        <w:i/>
        <w:iCs/>
        <w:color w:val="FFFFFF"/>
      </w:rPr>
      <w:tblPr>
        <w:tblLayout w:type="fixed"/>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blLayout w:type="fixed"/>
      </w:tblPr>
      <w:tcPr>
        <w:tcBorders>
          <w:top w:val="nil"/>
          <w:left w:val="nil"/>
          <w:bottom w:val="nil"/>
          <w:right w:val="nil"/>
          <w:insideH w:val="nil"/>
          <w:insideV w:val="nil"/>
          <w:tl2br w:val="nil"/>
          <w:tr2bl w:val="nil"/>
        </w:tcBorders>
      </w:tcPr>
    </w:tblStylePr>
    <w:tblStylePr w:type="lastCol">
      <w:tblPr>
        <w:tblLayout w:type="fixed"/>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100">
    <w:name w:val="Table Colorful 3"/>
    <w:basedOn w:val="95"/>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Layout w:type="fixed"/>
      <w:tblCellMar>
        <w:top w:w="0" w:type="dxa"/>
        <w:left w:w="108" w:type="dxa"/>
        <w:bottom w:w="0" w:type="dxa"/>
        <w:right w:w="108" w:type="dxa"/>
      </w:tblCellMar>
    </w:tblPr>
    <w:tcPr>
      <w:shd w:val="pct25" w:color="008080" w:fill="FFFFFF"/>
    </w:tcPr>
    <w:tblStylePr w:type="firstRow">
      <w:tblPr>
        <w:tblLayout w:type="fixed"/>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blLayout w:type="fixed"/>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101">
    <w:name w:val="Table Elegant"/>
    <w:basedOn w:val="95"/>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Pr>
        <w:tblLayout w:type="fixed"/>
      </w:tblPr>
      <w:tcPr>
        <w:tcBorders>
          <w:top w:val="nil"/>
          <w:left w:val="nil"/>
          <w:bottom w:val="nil"/>
          <w:right w:val="nil"/>
          <w:insideH w:val="nil"/>
          <w:insideV w:val="nil"/>
          <w:tl2br w:val="nil"/>
          <w:tr2bl w:val="nil"/>
        </w:tcBorders>
      </w:tcPr>
    </w:tblStylePr>
  </w:style>
  <w:style w:type="table" w:styleId="102">
    <w:name w:val="Table Classic 1"/>
    <w:basedOn w:val="95"/>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6" w:space="0"/>
          <w:insideH w:val="nil"/>
          <w:insideV w:val="nil"/>
          <w:tl2br w:val="nil"/>
          <w:tr2bl w:val="nil"/>
        </w:tcBorders>
      </w:tcPr>
    </w:tblStylePr>
    <w:tblStylePr w:type="neCell">
      <w:rPr>
        <w:b/>
        <w:bCs/>
        <w:i w:val="0"/>
        <w:iCs w:val="0"/>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3">
    <w:name w:val="Table Classic 2"/>
    <w:basedOn w:val="95"/>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color w:val="FFFFFF"/>
      </w:rPr>
      <w:tblPr>
        <w:tblLayout w:type="fixed"/>
      </w:tblPr>
      <w:tcPr>
        <w:tcBorders>
          <w:top w:val="nil"/>
          <w:left w:val="single" w:color="000000" w:sz="6" w:space="0"/>
          <w:bottom w:val="nil"/>
          <w:right w:val="nil"/>
          <w:insideH w:val="nil"/>
          <w:insideV w:val="nil"/>
          <w:tl2br w:val="nil"/>
          <w:tr2bl w:val="nil"/>
        </w:tcBorders>
        <w:shd w:val="solid" w:color="80008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shd w:val="solid" w:color="C0C0C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shd w:val="solid" w:color="800080" w:fill="FFFFFF"/>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104">
    <w:name w:val="Table Classic 3"/>
    <w:basedOn w:val="95"/>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solid" w:color="C0C0C0" w:fill="FFFFFF"/>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blLayout w:type="fixed"/>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blLayout w:type="fixed"/>
      </w:tblPr>
      <w:tcPr>
        <w:tcBorders>
          <w:top w:val="nil"/>
          <w:left w:val="nil"/>
          <w:bottom w:val="nil"/>
          <w:right w:val="nil"/>
          <w:insideH w:val="nil"/>
          <w:insideV w:val="nil"/>
          <w:tl2br w:val="nil"/>
          <w:tr2bl w:val="nil"/>
        </w:tcBorders>
      </w:tcPr>
    </w:tblStylePr>
  </w:style>
  <w:style w:type="table" w:styleId="105">
    <w:name w:val="Table Classic 4"/>
    <w:basedOn w:val="95"/>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Layout w:type="fixed"/>
      <w:tblCellMar>
        <w:top w:w="0" w:type="dxa"/>
        <w:left w:w="108" w:type="dxa"/>
        <w:bottom w:w="0" w:type="dxa"/>
        <w:right w:w="108" w:type="dxa"/>
      </w:tblCellMar>
    </w:tblPr>
    <w:tcPr>
      <w:shd w:val="clear" w:color="auto" w:fill="auto"/>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blLayout w:type="fixed"/>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rPr>
        <w:b/>
        <w:bCs/>
      </w:rPr>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106">
    <w:name w:val="Table Simple 1"/>
    <w:basedOn w:val="95"/>
    <w:semiHidden/>
    <w:qFormat/>
    <w:uiPriority w:val="0"/>
    <w:pPr>
      <w:widowControl w:val="0"/>
      <w:jc w:val="both"/>
    </w:pPr>
    <w:tblPr>
      <w:tblBorders>
        <w:top w:val="single" w:color="008000" w:sz="12" w:space="0"/>
        <w:bottom w:val="single" w:color="008000" w:sz="12"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8000" w:sz="6" w:space="0"/>
          <w:bottom w:val="nil"/>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107">
    <w:name w:val="Table Simple 2"/>
    <w:basedOn w:val="95"/>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lastCol">
      <w:rPr>
        <w:b/>
        <w:bCs/>
      </w:rPr>
      <w:tblPr>
        <w:tblLayout w:type="fixed"/>
      </w:tblPr>
      <w:tcPr>
        <w:tcBorders>
          <w:top w:val="nil"/>
          <w:left w:val="nil"/>
          <w:bottom w:val="single" w:color="000000" w:sz="6" w:space="0"/>
          <w:right w:val="nil"/>
          <w:insideH w:val="nil"/>
          <w:insideV w:val="nil"/>
          <w:tl2br w:val="nil"/>
          <w:tr2bl w:val="nil"/>
        </w:tcBorders>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8">
    <w:name w:val="Table Simple 3"/>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109">
    <w:name w:val="Table Subtle 1"/>
    <w:basedOn w:val="95"/>
    <w:semiHidden/>
    <w:qFormat/>
    <w:uiPriority w:val="0"/>
    <w:pPr>
      <w:widowControl w:val="0"/>
      <w:jc w:val="both"/>
    </w:pPr>
    <w:tblPr>
      <w:tblLayout w:type="fixed"/>
      <w:tblCellMar>
        <w:top w:w="0" w:type="dxa"/>
        <w:left w:w="108" w:type="dxa"/>
        <w:bottom w:w="0" w:type="dxa"/>
        <w:right w:w="108" w:type="dxa"/>
      </w:tblCellMar>
    </w:tblPr>
    <w:tblStylePr w:type="firstRow">
      <w:tblPr>
        <w:tblLayout w:type="fixed"/>
      </w:tblPr>
      <w:tcPr>
        <w:tcBorders>
          <w:top w:val="single" w:color="000000" w:sz="6" w:space="0"/>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blLayout w:type="fixed"/>
      </w:tblPr>
      <w:tcPr>
        <w:tcBorders>
          <w:top w:val="nil"/>
          <w:left w:val="nil"/>
          <w:bottom w:val="nil"/>
          <w:right w:val="single" w:color="000000" w:sz="12" w:space="0"/>
          <w:insideH w:val="nil"/>
          <w:insideV w:val="nil"/>
          <w:tl2br w:val="nil"/>
          <w:tr2bl w:val="nil"/>
        </w:tcBorders>
      </w:tcPr>
    </w:tblStylePr>
    <w:tblStylePr w:type="lastCol">
      <w:tblPr>
        <w:tblLayout w:type="fixed"/>
      </w:tblPr>
      <w:tcPr>
        <w:tcBorders>
          <w:top w:val="nil"/>
          <w:left w:val="nil"/>
          <w:bottom w:val="single" w:color="000000" w:sz="12" w:space="0"/>
          <w:right w:val="nil"/>
          <w:insideH w:val="nil"/>
          <w:insideV w:val="nil"/>
          <w:tl2br w:val="nil"/>
          <w:tr2bl w:val="nil"/>
        </w:tcBorders>
      </w:tcPr>
    </w:tblStylePr>
    <w:tblStylePr w:type="band1Horz">
      <w:tblPr>
        <w:tblLayout w:type="fixed"/>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0">
    <w:name w:val="Table Subtle 2"/>
    <w:basedOn w:val="95"/>
    <w:semiHidden/>
    <w:qFormat/>
    <w:uiPriority w:val="0"/>
    <w:pPr>
      <w:widowControl w:val="0"/>
      <w:jc w:val="both"/>
    </w:pPr>
    <w:tblPr>
      <w:tblBorders>
        <w:left w:val="single" w:color="000000" w:sz="6" w:space="0"/>
        <w:right w:val="single" w:color="000000" w:sz="6" w:space="0"/>
      </w:tblBorders>
      <w:tblLayout w:type="fixed"/>
      <w:tblCellMar>
        <w:top w:w="0" w:type="dxa"/>
        <w:left w:w="108" w:type="dxa"/>
        <w:bottom w:w="0" w:type="dxa"/>
        <w:right w:w="108" w:type="dxa"/>
      </w:tblCellMar>
    </w:tbl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blLayout w:type="fixed"/>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1">
    <w:name w:val="Table 3D effects 1"/>
    <w:basedOn w:val="95"/>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color w:val="800080"/>
      </w:rPr>
      <w:tblPr>
        <w:tblLayout w:type="fixed"/>
      </w:tblPr>
      <w:tcPr>
        <w:tcBorders>
          <w:top w:val="nil"/>
          <w:left w:val="single" w:color="808080" w:sz="6" w:space="0"/>
          <w:bottom w:val="nil"/>
          <w:right w:val="nil"/>
          <w:insideH w:val="nil"/>
          <w:insideV w:val="nil"/>
          <w:tl2br w:val="nil"/>
          <w:tr2bl w:val="nil"/>
        </w:tcBorders>
      </w:tcPr>
    </w:tblStylePr>
    <w:tblStylePr w:type="lastRow">
      <w:tblPr>
        <w:tblLayout w:type="fixed"/>
      </w:tblPr>
      <w:tcPr>
        <w:tcBorders>
          <w:top w:val="single" w:color="FFFFFF"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single" w:color="FFFFFF" w:sz="6" w:space="0"/>
          <w:right w:val="nil"/>
          <w:insideH w:val="nil"/>
          <w:insideV w:val="nil"/>
          <w:tl2br w:val="nil"/>
          <w:tr2bl w:val="nil"/>
        </w:tcBorders>
      </w:tcPr>
    </w:tblStylePr>
    <w:tblStylePr w:type="neCell">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tcPr>
    </w:tblStylePr>
    <w:tblStylePr w:type="seCell">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112">
    <w:name w:val="Table 3D effects 2"/>
    <w:basedOn w:val="95"/>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3">
    <w:name w:val="Table 3D effects 3"/>
    <w:basedOn w:val="95"/>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50" w:color="C0C0C0" w:fill="FFFFFF"/>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4">
    <w:name w:val="Table List 1"/>
    <w:basedOn w:val="95"/>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Layout w:type="fixed"/>
      <w:tblCellMar>
        <w:top w:w="0" w:type="dxa"/>
        <w:left w:w="108" w:type="dxa"/>
        <w:bottom w:w="0" w:type="dxa"/>
        <w:right w:w="108" w:type="dxa"/>
      </w:tblCellMar>
    </w:tblPr>
    <w:tblStylePr w:type="firstRow">
      <w:rPr>
        <w:b/>
        <w:bCs/>
        <w:i/>
        <w:iCs/>
        <w:color w:val="800000"/>
      </w:rPr>
      <w:tblPr>
        <w:tblLayout w:type="fixed"/>
      </w:tblPr>
      <w:tcPr>
        <w:tcBorders>
          <w:top w:val="nil"/>
          <w:left w:val="single" w:color="000000" w:sz="6" w:space="0"/>
          <w:bottom w:val="nil"/>
          <w:right w:val="nil"/>
          <w:insideH w:val="nil"/>
          <w:insideV w:val="nil"/>
          <w:tl2br w:val="nil"/>
          <w:tr2bl w:val="nil"/>
        </w:tcBorders>
        <w:shd w:val="solid" w:color="C0C0C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solid" w:color="C0C0C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5">
    <w:name w:val="Table List 2"/>
    <w:basedOn w:val="95"/>
    <w:semiHidden/>
    <w:qFormat/>
    <w:uiPriority w:val="0"/>
    <w:pPr>
      <w:widowControl w:val="0"/>
      <w:jc w:val="both"/>
    </w:pPr>
    <w:tblPr>
      <w:tblBorders>
        <w:bottom w:val="single" w:color="808080" w:sz="12" w:space="0"/>
      </w:tblBorders>
      <w:tblLayout w:type="fixed"/>
      <w:tblCellMar>
        <w:top w:w="0" w:type="dxa"/>
        <w:left w:w="108" w:type="dxa"/>
        <w:bottom w:w="0" w:type="dxa"/>
        <w:right w:w="108" w:type="dxa"/>
      </w:tblCellMar>
    </w:tblPr>
    <w:tblStylePr w:type="firstRow">
      <w:rPr>
        <w:b/>
        <w:bCs/>
        <w:color w:val="FFFFFF"/>
      </w:rPr>
      <w:tblPr>
        <w:tblLayout w:type="fixed"/>
      </w:tblPr>
      <w:tcPr>
        <w:tcBorders>
          <w:top w:val="nil"/>
          <w:left w:val="single" w:color="000000" w:sz="6" w:space="0"/>
          <w:bottom w:val="nil"/>
          <w:right w:val="nil"/>
          <w:insideH w:val="nil"/>
          <w:insideV w:val="nil"/>
          <w:tl2br w:val="nil"/>
          <w:tr2bl w:val="nil"/>
        </w:tcBorders>
        <w:shd w:val="pct75" w:color="008080" w:fill="008000"/>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FF0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6">
    <w:name w:val="Table List 3"/>
    <w:basedOn w:val="95"/>
    <w:semiHidden/>
    <w:qFormat/>
    <w:uiPriority w:val="0"/>
    <w:pPr>
      <w:widowControl w:val="0"/>
      <w:jc w:val="both"/>
    </w:pPr>
    <w:tblPr>
      <w:tblBorders>
        <w:top w:val="single" w:color="000000" w:sz="12" w:space="0"/>
        <w:bottom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000080"/>
      </w:rPr>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swCell">
      <w:rPr>
        <w:i/>
        <w:iCs/>
        <w:color w:val="000080"/>
      </w:rPr>
      <w:tblPr>
        <w:tblLayout w:type="fixed"/>
      </w:tblPr>
      <w:tcPr>
        <w:tcBorders>
          <w:top w:val="nil"/>
          <w:left w:val="nil"/>
          <w:bottom w:val="nil"/>
          <w:right w:val="nil"/>
          <w:insideH w:val="nil"/>
          <w:insideV w:val="nil"/>
          <w:tl2br w:val="nil"/>
          <w:tr2bl w:val="nil"/>
        </w:tcBorders>
      </w:tcPr>
    </w:tblStylePr>
  </w:style>
  <w:style w:type="table" w:styleId="117">
    <w:name w:val="Table List 4"/>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18">
    <w:name w:val="Table List 5"/>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style>
  <w:style w:type="table" w:styleId="119">
    <w:name w:val="Table List 6"/>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Layout w:type="fixed"/>
      <w:tblCellMar>
        <w:top w:w="0" w:type="dxa"/>
        <w:left w:w="108" w:type="dxa"/>
        <w:bottom w:w="0" w:type="dxa"/>
        <w:right w:w="108" w:type="dxa"/>
      </w:tblCellMar>
    </w:tblPr>
    <w:tcPr>
      <w:shd w:val="pct50" w:color="000000" w:fill="FFFFFF"/>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band1Horz">
      <w:tblPr>
        <w:tblLayout w:type="fixed"/>
      </w:tblPr>
      <w:tcPr>
        <w:tcBorders>
          <w:top w:val="nil"/>
          <w:left w:val="nil"/>
          <w:bottom w:val="nil"/>
          <w:right w:val="nil"/>
          <w:insideH w:val="nil"/>
          <w:insideV w:val="nil"/>
          <w:tl2br w:val="nil"/>
          <w:tr2bl w:val="nil"/>
        </w:tcBorders>
        <w:shd w:val="pct25" w:color="000000" w:fill="FFFFFF"/>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20">
    <w:name w:val="Table List 7"/>
    <w:basedOn w:val="95"/>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blPr>
        <w:tblLayout w:type="fixed"/>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blLayout w:type="fixed"/>
      </w:tblPr>
      <w:tcPr>
        <w:tcBorders>
          <w:top w:val="single" w:color="008000" w:sz="12"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2Horz">
      <w:tblPr>
        <w:tblLayout w:type="fixed"/>
      </w:tblPr>
      <w:tcPr>
        <w:tcBorders>
          <w:top w:val="nil"/>
          <w:left w:val="nil"/>
          <w:bottom w:val="nil"/>
          <w:right w:val="nil"/>
          <w:insideH w:val="nil"/>
          <w:insideV w:val="nil"/>
          <w:tl2br w:val="nil"/>
          <w:tr2bl w:val="nil"/>
        </w:tcBorders>
        <w:shd w:val="pct25" w:color="FFFF00" w:fill="FFFFFF"/>
      </w:tcPr>
    </w:tblStylePr>
  </w:style>
  <w:style w:type="table" w:styleId="121">
    <w:name w:val="Table List 8"/>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5" w:color="FFFF00" w:fill="FFFFFF"/>
      </w:tcPr>
    </w:tblStylePr>
    <w:tblStylePr w:type="band2Horz">
      <w:tblPr>
        <w:tblLayout w:type="fixed"/>
      </w:tblPr>
      <w:tcPr>
        <w:tcBorders>
          <w:top w:val="nil"/>
          <w:left w:val="nil"/>
          <w:bottom w:val="nil"/>
          <w:right w:val="nil"/>
          <w:insideH w:val="nil"/>
          <w:insideV w:val="nil"/>
          <w:tl2br w:val="nil"/>
          <w:tr2bl w:val="nil"/>
        </w:tcBorders>
        <w:shd w:val="pct50" w:color="FF0000" w:fill="FFFFFF"/>
      </w:tcPr>
    </w:tblStylePr>
    <w:tblStylePr w:type="nwCell">
      <w:tblPr>
        <w:tblLayout w:type="fixed"/>
      </w:tblPr>
      <w:tcPr>
        <w:tcBorders>
          <w:top w:val="nil"/>
          <w:left w:val="nil"/>
          <w:bottom w:val="nil"/>
          <w:right w:val="nil"/>
          <w:insideH w:val="nil"/>
          <w:insideV w:val="nil"/>
          <w:tl2br w:val="single" w:color="auto" w:sz="6" w:space="0"/>
          <w:tr2bl w:val="nil"/>
        </w:tcBorders>
      </w:tcPr>
    </w:tblStylePr>
  </w:style>
  <w:style w:type="table" w:styleId="122">
    <w:name w:val="Table Contemporary"/>
    <w:basedOn w:val="95"/>
    <w:semiHidden/>
    <w:qFormat/>
    <w:uiPriority w:val="0"/>
    <w:pPr>
      <w:widowControl w:val="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1Horz">
      <w:rPr>
        <w:color w:val="auto"/>
      </w:rPr>
      <w:tblPr>
        <w:tblLayout w:type="fixed"/>
      </w:tblPr>
      <w:tcPr>
        <w:tcBorders>
          <w:top w:val="nil"/>
          <w:left w:val="nil"/>
          <w:bottom w:val="nil"/>
          <w:right w:val="nil"/>
          <w:insideH w:val="nil"/>
          <w:insideV w:val="nil"/>
          <w:tl2br w:val="nil"/>
          <w:tr2bl w:val="nil"/>
        </w:tcBorders>
        <w:shd w:val="pct5" w:color="000000" w:fill="FFFFFF"/>
      </w:tcPr>
    </w:tblStylePr>
    <w:tblStylePr w:type="band2Horz">
      <w:rPr>
        <w:color w:val="auto"/>
      </w:rPr>
      <w:tblPr>
        <w:tblLayout w:type="fixed"/>
      </w:tblPr>
      <w:tcPr>
        <w:tcBorders>
          <w:top w:val="nil"/>
          <w:left w:val="nil"/>
          <w:bottom w:val="nil"/>
          <w:right w:val="nil"/>
          <w:insideH w:val="nil"/>
          <w:insideV w:val="nil"/>
          <w:tl2br w:val="nil"/>
          <w:tr2bl w:val="nil"/>
        </w:tcBorders>
        <w:shd w:val="pct20" w:color="000000" w:fill="FFFFFF"/>
      </w:tcPr>
    </w:tblStylePr>
  </w:style>
  <w:style w:type="table" w:styleId="123">
    <w:name w:val="Table Columns 1"/>
    <w:basedOn w:val="95"/>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blStylePr w:type="firstRow">
      <w:rPr>
        <w:b w:val="0"/>
        <w:bCs w:val="0"/>
      </w:rPr>
      <w:tblPr>
        <w:tblLayout w:type="fixed"/>
      </w:tblPr>
      <w:tcPr>
        <w:tcBorders>
          <w:top w:val="nil"/>
          <w:left w:val="double" w:color="000000" w:sz="6" w:space="0"/>
          <w:bottom w:val="nil"/>
          <w:right w:val="nil"/>
          <w:insideH w:val="nil"/>
          <w:insideV w:val="nil"/>
          <w:tl2br w:val="nil"/>
          <w:tr2bl w:val="nil"/>
        </w:tcBorders>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25" w:color="000000" w:fill="FFFFFF"/>
      </w:tcPr>
    </w:tblStylePr>
    <w:tblStylePr w:type="band2Vert">
      <w:rPr>
        <w:color w:val="auto"/>
      </w:rPr>
      <w:tblPr>
        <w:tblLayout w:type="fixed"/>
      </w:tblPr>
      <w:tcPr>
        <w:shd w:val="pct25" w:color="FF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24">
    <w:name w:val="Table Columns 2"/>
    <w:basedOn w:val="95"/>
    <w:semiHidden/>
    <w:qFormat/>
    <w:uiPriority w:val="0"/>
    <w:pPr>
      <w:widowControl w:val="0"/>
      <w:jc w:val="both"/>
    </w:pPr>
    <w:rPr>
      <w:b/>
      <w:bCs/>
    </w:r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color w:val="00000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30" w:color="000000" w:fill="FFFFFF"/>
      </w:tcPr>
    </w:tblStylePr>
    <w:tblStylePr w:type="band2Vert">
      <w:rPr>
        <w:color w:val="auto"/>
      </w:rPr>
      <w:tblPr>
        <w:tblLayout w:type="fixed"/>
      </w:tblPr>
      <w:tcPr>
        <w:shd w:val="pct25" w:color="00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25">
    <w:name w:val="Table Columns 3"/>
    <w:basedOn w:val="95"/>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single" w:color="00008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10" w:color="000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style>
  <w:style w:type="table" w:styleId="126">
    <w:name w:val="Table Columns 4"/>
    <w:basedOn w:val="95"/>
    <w:semiHidden/>
    <w:qFormat/>
    <w:uiPriority w:val="0"/>
    <w:pPr>
      <w:widowControl w:val="0"/>
      <w:jc w:val="both"/>
    </w:p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50" w:color="008080" w:fill="FFFFFF"/>
      </w:tcPr>
    </w:tblStylePr>
    <w:tblStylePr w:type="band2Vert">
      <w:rPr>
        <w:color w:val="auto"/>
      </w:rPr>
      <w:tblPr>
        <w:tblLayout w:type="fixed"/>
      </w:tblPr>
      <w:tcPr>
        <w:shd w:val="pct10" w:color="000000" w:fill="FFFFFF"/>
      </w:tcPr>
    </w:tblStylePr>
  </w:style>
  <w:style w:type="table" w:styleId="127">
    <w:name w:val="Table Columns 5"/>
    <w:basedOn w:val="95"/>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808080" w:sz="6" w:space="0"/>
          <w:bottom w:val="nil"/>
          <w:right w:val="nil"/>
          <w:insideH w:val="nil"/>
          <w:insideV w:val="nil"/>
          <w:tl2br w:val="nil"/>
          <w:tr2bl w:val="nil"/>
        </w:tcBorders>
      </w:tcPr>
    </w:tblStylePr>
    <w:tblStylePr w:type="lastRow">
      <w:rPr>
        <w:b/>
        <w:bCs/>
      </w:rPr>
      <w:tblPr>
        <w:tblLayout w:type="fixed"/>
      </w:tblPr>
      <w:tcPr>
        <w:tcBorders>
          <w:top w:val="single" w:color="80808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StylePr>
  </w:style>
  <w:style w:type="table" w:styleId="128">
    <w:name w:val="Table Grid 1"/>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29">
    <w:name w:val="Table Grid 2"/>
    <w:basedOn w:val="95"/>
    <w:semiHidden/>
    <w:qFormat/>
    <w:uiPriority w:val="0"/>
    <w:pPr>
      <w:widowControl w:val="0"/>
      <w:jc w:val="both"/>
    </w:pPr>
    <w:tblPr>
      <w:tblBorders>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nil"/>
          <w:bottom w:val="nil"/>
          <w:right w:val="nil"/>
          <w:insideH w:val="nil"/>
          <w:insideV w:val="nil"/>
          <w:tl2br w:val="nil"/>
          <w:tr2bl w:val="nil"/>
        </w:tcBorders>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style>
  <w:style w:type="table" w:styleId="130">
    <w:name w:val="Table Grid 3"/>
    <w:basedOn w:val="95"/>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1">
    <w:name w:val="Table Grid 4"/>
    <w:basedOn w:val="95"/>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olor w:val="auto"/>
      </w:rPr>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32">
    <w:name w:val="Table Grid 5"/>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3">
    <w:name w:val="Table Grid 6"/>
    <w:basedOn w:val="95"/>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4">
    <w:name w:val="Table Grid 7"/>
    <w:basedOn w:val="95"/>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val="0"/>
        <w:bCs w:val="0"/>
      </w:rPr>
      <w:tblPr>
        <w:tblLayout w:type="fixed"/>
      </w:tblPr>
      <w:tcPr>
        <w:tcBorders>
          <w:top w:val="nil"/>
          <w:left w:val="single" w:color="000000" w:sz="12" w:space="0"/>
          <w:bottom w:val="nil"/>
          <w:right w:val="nil"/>
          <w:insideH w:val="nil"/>
          <w:insideV w:val="nil"/>
          <w:tl2br w:val="nil"/>
          <w:tr2bl w:val="nil"/>
        </w:tcBorders>
      </w:tcPr>
    </w:tblStylePr>
    <w:tblStylePr w:type="lastRow">
      <w:rPr>
        <w:b w:val="0"/>
        <w:bCs w:val="0"/>
      </w:rPr>
      <w:tblPr>
        <w:tblLayout w:type="fixed"/>
      </w:tblPr>
      <w:tcPr>
        <w:tcBorders>
          <w:top w:val="single" w:color="00000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5">
    <w:name w:val="Table Grid 8"/>
    <w:basedOn w:val="95"/>
    <w:semiHidden/>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blLayout w:type="fixed"/>
      </w:tblPr>
      <w:tcPr>
        <w:tcBorders>
          <w:top w:val="nil"/>
          <w:left w:val="nil"/>
          <w:bottom w:val="nil"/>
          <w:right w:val="nil"/>
          <w:insideH w:val="nil"/>
          <w:insideV w:val="nil"/>
          <w:tl2br w:val="nil"/>
          <w:tr2bl w:val="nil"/>
        </w:tcBorders>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36">
    <w:name w:val="Table Web 1"/>
    <w:basedOn w:val="95"/>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37">
    <w:name w:val="Table Web 2"/>
    <w:basedOn w:val="95"/>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38">
    <w:name w:val="Table Web 3"/>
    <w:basedOn w:val="95"/>
    <w:semiHidden/>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39">
    <w:name w:val="Table Professional"/>
    <w:basedOn w:val="95"/>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blPr>
        <w:tblLayout w:type="fixed"/>
      </w:tblPr>
      <w:tcPr>
        <w:tcBorders>
          <w:top w:val="nil"/>
          <w:left w:val="nil"/>
          <w:bottom w:val="nil"/>
          <w:right w:val="nil"/>
          <w:insideH w:val="nil"/>
          <w:insideV w:val="nil"/>
          <w:tl2br w:val="nil"/>
          <w:tr2bl w:val="nil"/>
        </w:tcBorders>
        <w:shd w:val="solid" w:color="000000" w:fill="FFFFFF"/>
      </w:tcPr>
    </w:tblStylePr>
  </w:style>
  <w:style w:type="character" w:customStyle="1" w:styleId="140">
    <w:name w:val="页眉 Char1"/>
    <w:link w:val="52"/>
    <w:qFormat/>
    <w:uiPriority w:val="0"/>
    <w:rPr>
      <w:rFonts w:eastAsia="宋体"/>
      <w:kern w:val="2"/>
      <w:sz w:val="21"/>
      <w:szCs w:val="24"/>
      <w:lang w:bidi="ar-SA"/>
    </w:rPr>
  </w:style>
  <w:style w:type="character" w:customStyle="1" w:styleId="141">
    <w:name w:val="标题 3 Char"/>
    <w:link w:val="4"/>
    <w:qFormat/>
    <w:uiPriority w:val="0"/>
    <w:rPr>
      <w:rFonts w:eastAsia="宋体"/>
      <w:b/>
      <w:bCs/>
      <w:kern w:val="2"/>
      <w:sz w:val="24"/>
      <w:szCs w:val="32"/>
      <w:lang w:val="en-US" w:eastAsia="zh-CN" w:bidi="ar-SA"/>
    </w:rPr>
  </w:style>
  <w:style w:type="character" w:customStyle="1" w:styleId="142">
    <w:name w:val="页脚 Char1"/>
    <w:link w:val="49"/>
    <w:qFormat/>
    <w:uiPriority w:val="0"/>
    <w:rPr>
      <w:rFonts w:eastAsia="宋体"/>
      <w:kern w:val="2"/>
      <w:sz w:val="18"/>
      <w:szCs w:val="18"/>
      <w:lang w:bidi="ar-SA"/>
    </w:rPr>
  </w:style>
  <w:style w:type="character" w:customStyle="1" w:styleId="143">
    <w:name w:val="样式 Arial"/>
    <w:qFormat/>
    <w:uiPriority w:val="0"/>
    <w:rPr>
      <w:rFonts w:hint="default" w:ascii="Times New Roman" w:hAnsi="Times New Roman" w:eastAsia="宋体" w:cs="Times New Roman"/>
      <w:sz w:val="21"/>
      <w:szCs w:val="21"/>
    </w:rPr>
  </w:style>
  <w:style w:type="character" w:customStyle="1" w:styleId="144">
    <w:name w:val="页脚 Char"/>
    <w:qFormat/>
    <w:uiPriority w:val="99"/>
    <w:rPr>
      <w:rFonts w:eastAsia="宋体"/>
      <w:kern w:val="2"/>
      <w:sz w:val="18"/>
      <w:lang w:val="en-US" w:eastAsia="zh-CN" w:bidi="ar-SA"/>
    </w:rPr>
  </w:style>
  <w:style w:type="character" w:customStyle="1" w:styleId="145">
    <w:name w:val="批注框文本 Char"/>
    <w:link w:val="48"/>
    <w:qFormat/>
    <w:uiPriority w:val="0"/>
    <w:rPr>
      <w:rFonts w:eastAsia="宋体"/>
      <w:kern w:val="2"/>
      <w:sz w:val="18"/>
      <w:szCs w:val="18"/>
      <w:lang w:val="en-US" w:eastAsia="zh-CN" w:bidi="ar-SA"/>
    </w:rPr>
  </w:style>
  <w:style w:type="character" w:customStyle="1" w:styleId="146">
    <w:name w:val="标题 2 Char1"/>
    <w:link w:val="3"/>
    <w:qFormat/>
    <w:uiPriority w:val="0"/>
    <w:rPr>
      <w:rFonts w:ascii="Arial" w:hAnsi="Arial" w:eastAsia="黑体"/>
      <w:b/>
      <w:bCs/>
      <w:kern w:val="2"/>
      <w:sz w:val="32"/>
      <w:szCs w:val="32"/>
      <w:lang w:val="en-US" w:eastAsia="zh-CN" w:bidi="ar-SA"/>
    </w:rPr>
  </w:style>
  <w:style w:type="character" w:customStyle="1" w:styleId="147">
    <w:name w:val="脚注文本 Char"/>
    <w:qFormat/>
    <w:uiPriority w:val="0"/>
    <w:rPr>
      <w:rFonts w:eastAsia="宋体"/>
      <w:kern w:val="2"/>
      <w:sz w:val="18"/>
      <w:lang w:val="en-US" w:eastAsia="zh-CN" w:bidi="ar-SA"/>
    </w:rPr>
  </w:style>
  <w:style w:type="character" w:customStyle="1" w:styleId="148">
    <w:name w:val="页眉 Char"/>
    <w:qFormat/>
    <w:uiPriority w:val="99"/>
    <w:rPr>
      <w:rFonts w:eastAsia="宋体"/>
      <w:kern w:val="2"/>
      <w:sz w:val="18"/>
      <w:lang w:val="en-US" w:eastAsia="zh-CN" w:bidi="ar-SA"/>
    </w:rPr>
  </w:style>
  <w:style w:type="character" w:customStyle="1" w:styleId="149">
    <w:name w:val="文档结构图 Char"/>
    <w:link w:val="26"/>
    <w:qFormat/>
    <w:uiPriority w:val="0"/>
    <w:rPr>
      <w:rFonts w:ascii="Tahoma" w:hAnsi="Tahoma" w:eastAsia="宋体"/>
      <w:kern w:val="2"/>
      <w:sz w:val="16"/>
      <w:szCs w:val="16"/>
      <w:lang w:bidi="ar-SA"/>
    </w:rPr>
  </w:style>
  <w:style w:type="character" w:customStyle="1" w:styleId="150">
    <w:name w:val="3z Char"/>
    <w:link w:val="151"/>
    <w:qFormat/>
    <w:locked/>
    <w:uiPriority w:val="0"/>
    <w:rPr>
      <w:rFonts w:ascii="EU-F1" w:eastAsia="黑体"/>
      <w:kern w:val="2"/>
      <w:sz w:val="21"/>
      <w:szCs w:val="21"/>
      <w:lang w:val="en-US" w:eastAsia="zh-CN" w:bidi="ar-SA"/>
    </w:rPr>
  </w:style>
  <w:style w:type="paragraph" w:customStyle="1" w:styleId="151">
    <w:name w:val="3z"/>
    <w:basedOn w:val="1"/>
    <w:link w:val="150"/>
    <w:qFormat/>
    <w:uiPriority w:val="0"/>
    <w:pPr>
      <w:topLinePunct/>
      <w:spacing w:line="312" w:lineRule="exact"/>
    </w:pPr>
    <w:rPr>
      <w:rFonts w:ascii="EU-F1" w:hAnsi="Calibri" w:eastAsia="黑体"/>
      <w:szCs w:val="21"/>
    </w:rPr>
  </w:style>
  <w:style w:type="character" w:customStyle="1" w:styleId="152">
    <w:name w:val="Char Char8"/>
    <w:qFormat/>
    <w:uiPriority w:val="0"/>
    <w:rPr>
      <w:rFonts w:ascii="Arial" w:hAnsi="Arial" w:eastAsia="黑体"/>
      <w:b/>
      <w:bCs/>
      <w:kern w:val="2"/>
      <w:sz w:val="32"/>
      <w:szCs w:val="32"/>
      <w:lang w:val="en-US" w:eastAsia="zh-CN" w:bidi="ar-SA"/>
    </w:rPr>
  </w:style>
  <w:style w:type="character" w:customStyle="1" w:styleId="153">
    <w:name w:val="font11"/>
    <w:basedOn w:val="77"/>
    <w:qFormat/>
    <w:uiPriority w:val="0"/>
    <w:rPr>
      <w:rFonts w:hint="eastAsia" w:ascii="宋体" w:hAnsi="宋体" w:eastAsia="宋体" w:cs="宋体"/>
      <w:color w:val="000000"/>
      <w:sz w:val="20"/>
      <w:szCs w:val="20"/>
      <w:u w:val="none"/>
    </w:rPr>
  </w:style>
  <w:style w:type="character" w:customStyle="1" w:styleId="154">
    <w:name w:val="样式6 Char"/>
    <w:link w:val="155"/>
    <w:qFormat/>
    <w:uiPriority w:val="0"/>
    <w:rPr>
      <w:rFonts w:eastAsia="黑体"/>
      <w:kern w:val="2"/>
      <w:sz w:val="21"/>
      <w:szCs w:val="21"/>
      <w:lang w:val="en-US" w:eastAsia="zh-CN" w:bidi="ar-SA"/>
    </w:rPr>
  </w:style>
  <w:style w:type="paragraph" w:customStyle="1" w:styleId="155">
    <w:name w:val="样式6"/>
    <w:basedOn w:val="1"/>
    <w:link w:val="154"/>
    <w:qFormat/>
    <w:uiPriority w:val="0"/>
    <w:pPr>
      <w:topLinePunct/>
      <w:spacing w:before="160" w:after="60"/>
      <w:jc w:val="center"/>
    </w:pPr>
    <w:rPr>
      <w:rFonts w:ascii="Calibri" w:hAnsi="Calibri" w:eastAsia="黑体"/>
      <w:szCs w:val="21"/>
    </w:rPr>
  </w:style>
  <w:style w:type="character" w:customStyle="1" w:styleId="156">
    <w:name w:val="批注文字 Char"/>
    <w:link w:val="13"/>
    <w:qFormat/>
    <w:uiPriority w:val="99"/>
    <w:rPr>
      <w:rFonts w:eastAsia="宋体"/>
      <w:kern w:val="2"/>
      <w:sz w:val="21"/>
      <w:szCs w:val="24"/>
      <w:lang w:val="en-US" w:eastAsia="zh-CN" w:bidi="ar-SA"/>
    </w:rPr>
  </w:style>
  <w:style w:type="character" w:customStyle="1" w:styleId="157">
    <w:name w:val="Char Char1"/>
    <w:qFormat/>
    <w:uiPriority w:val="0"/>
    <w:rPr>
      <w:rFonts w:eastAsia="华文仿宋"/>
      <w:kern w:val="2"/>
      <w:sz w:val="18"/>
      <w:lang w:val="en-US" w:eastAsia="zh-CN"/>
    </w:rPr>
  </w:style>
  <w:style w:type="character" w:customStyle="1" w:styleId="158">
    <w:name w:val="标题 2 Char"/>
    <w:qFormat/>
    <w:uiPriority w:val="0"/>
    <w:rPr>
      <w:rFonts w:ascii="Arial" w:hAnsi="Arial" w:eastAsia="黑体"/>
      <w:b/>
      <w:bCs/>
      <w:kern w:val="2"/>
      <w:sz w:val="32"/>
      <w:szCs w:val="32"/>
      <w:lang w:val="en-US" w:eastAsia="zh-CN" w:bidi="ar-SA"/>
    </w:rPr>
  </w:style>
  <w:style w:type="character" w:customStyle="1" w:styleId="159">
    <w:name w:val="纯文本 Char"/>
    <w:link w:val="40"/>
    <w:qFormat/>
    <w:uiPriority w:val="0"/>
    <w:rPr>
      <w:rFonts w:ascii="宋体" w:hAnsi="Courier New" w:eastAsia="宋体" w:cs="Courier New"/>
      <w:kern w:val="2"/>
      <w:sz w:val="21"/>
      <w:szCs w:val="21"/>
      <w:lang w:val="en-US" w:eastAsia="zh-CN" w:bidi="ar-SA"/>
    </w:rPr>
  </w:style>
  <w:style w:type="character" w:customStyle="1" w:styleId="160">
    <w:name w:val="标题 1 Char"/>
    <w:link w:val="2"/>
    <w:qFormat/>
    <w:uiPriority w:val="0"/>
    <w:rPr>
      <w:rFonts w:eastAsia="宋体"/>
      <w:b/>
      <w:bCs/>
      <w:kern w:val="44"/>
      <w:sz w:val="32"/>
      <w:szCs w:val="44"/>
      <w:lang w:val="en-US" w:eastAsia="zh-CN" w:bidi="ar-SA"/>
    </w:rPr>
  </w:style>
  <w:style w:type="character" w:customStyle="1" w:styleId="161">
    <w:name w:val="正文格式 Char"/>
    <w:link w:val="162"/>
    <w:qFormat/>
    <w:uiPriority w:val="0"/>
    <w:rPr>
      <w:rFonts w:ascii="宋体" w:hAnsi="宋体" w:eastAsia="宋体"/>
      <w:bCs/>
      <w:kern w:val="2"/>
      <w:sz w:val="21"/>
      <w:szCs w:val="21"/>
      <w:lang w:val="en-US" w:eastAsia="zh-CN" w:bidi="ar-SA"/>
    </w:rPr>
  </w:style>
  <w:style w:type="paragraph" w:customStyle="1" w:styleId="162">
    <w:name w:val="正文格式"/>
    <w:basedOn w:val="1"/>
    <w:link w:val="161"/>
    <w:qFormat/>
    <w:uiPriority w:val="0"/>
    <w:pPr>
      <w:topLinePunct/>
      <w:ind w:firstLine="420" w:firstLineChars="200"/>
    </w:pPr>
    <w:rPr>
      <w:rFonts w:ascii="宋体" w:hAnsi="宋体"/>
      <w:bCs/>
      <w:szCs w:val="21"/>
    </w:rPr>
  </w:style>
  <w:style w:type="character" w:customStyle="1" w:styleId="163">
    <w:name w:val="Char Char10"/>
    <w:qFormat/>
    <w:uiPriority w:val="0"/>
    <w:rPr>
      <w:b/>
      <w:kern w:val="2"/>
      <w:sz w:val="28"/>
    </w:rPr>
  </w:style>
  <w:style w:type="character" w:customStyle="1" w:styleId="164">
    <w:name w:val="jl 三级 Char Char"/>
    <w:link w:val="165"/>
    <w:qFormat/>
    <w:uiPriority w:val="0"/>
    <w:rPr>
      <w:rFonts w:ascii="宋体" w:hAnsi="宋体" w:eastAsia="宋体"/>
      <w:b/>
      <w:color w:val="000000"/>
      <w:kern w:val="2"/>
      <w:sz w:val="24"/>
      <w:szCs w:val="24"/>
      <w:lang w:val="en-US" w:eastAsia="zh-CN" w:bidi="ar-SA"/>
    </w:rPr>
  </w:style>
  <w:style w:type="paragraph" w:customStyle="1" w:styleId="165">
    <w:name w:val="jl 三级 Char"/>
    <w:basedOn w:val="1"/>
    <w:link w:val="164"/>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66">
    <w:name w:val="font41"/>
    <w:basedOn w:val="77"/>
    <w:qFormat/>
    <w:uiPriority w:val="0"/>
    <w:rPr>
      <w:rFonts w:hint="eastAsia" w:ascii="宋体" w:hAnsi="宋体" w:eastAsia="宋体" w:cs="宋体"/>
      <w:color w:val="000000"/>
      <w:sz w:val="36"/>
      <w:szCs w:val="36"/>
      <w:u w:val="none"/>
    </w:rPr>
  </w:style>
  <w:style w:type="character" w:customStyle="1" w:styleId="167">
    <w:name w:val="Char Char16"/>
    <w:qFormat/>
    <w:uiPriority w:val="0"/>
    <w:rPr>
      <w:rFonts w:ascii="Arial" w:hAnsi="Arial" w:eastAsia="黑体"/>
      <w:b/>
      <w:bCs/>
      <w:kern w:val="2"/>
      <w:sz w:val="32"/>
      <w:szCs w:val="32"/>
      <w:lang w:val="en-US" w:eastAsia="zh-CN" w:bidi="ar-SA"/>
    </w:rPr>
  </w:style>
  <w:style w:type="character" w:customStyle="1" w:styleId="168">
    <w:name w:val="Char Char9"/>
    <w:qFormat/>
    <w:uiPriority w:val="0"/>
    <w:rPr>
      <w:kern w:val="2"/>
      <w:sz w:val="18"/>
      <w:szCs w:val="18"/>
    </w:rPr>
  </w:style>
  <w:style w:type="character" w:customStyle="1" w:styleId="169">
    <w:name w:val="font21"/>
    <w:basedOn w:val="77"/>
    <w:qFormat/>
    <w:uiPriority w:val="0"/>
    <w:rPr>
      <w:rFonts w:ascii="Arial" w:hAnsi="Arial" w:cs="Arial"/>
      <w:color w:val="000000"/>
      <w:sz w:val="24"/>
      <w:szCs w:val="24"/>
      <w:u w:val="none"/>
    </w:rPr>
  </w:style>
  <w:style w:type="character" w:customStyle="1" w:styleId="170">
    <w:name w:val="Char Char11"/>
    <w:qFormat/>
    <w:uiPriority w:val="0"/>
    <w:rPr>
      <w:rFonts w:ascii="Arial" w:hAnsi="Arial" w:eastAsia="黑体"/>
      <w:b/>
      <w:kern w:val="2"/>
      <w:sz w:val="32"/>
    </w:rPr>
  </w:style>
  <w:style w:type="character" w:customStyle="1" w:styleId="171">
    <w:name w:val="正文文本缩进 2 Char"/>
    <w:link w:val="45"/>
    <w:semiHidden/>
    <w:qFormat/>
    <w:locked/>
    <w:uiPriority w:val="0"/>
    <w:rPr>
      <w:rFonts w:ascii="宋体" w:eastAsia="宋体"/>
      <w:color w:val="000000"/>
      <w:kern w:val="2"/>
      <w:sz w:val="24"/>
      <w:szCs w:val="24"/>
      <w:lang w:val="en-US" w:eastAsia="zh-CN" w:bidi="ar-SA"/>
    </w:rPr>
  </w:style>
  <w:style w:type="character" w:customStyle="1" w:styleId="172">
    <w:name w:val="Footnote Text Char1"/>
    <w:qFormat/>
    <w:uiPriority w:val="0"/>
    <w:rPr>
      <w:kern w:val="2"/>
    </w:rPr>
  </w:style>
  <w:style w:type="character" w:customStyle="1" w:styleId="173">
    <w:name w:val="脚注文本 Char1"/>
    <w:qFormat/>
    <w:uiPriority w:val="0"/>
    <w:rPr>
      <w:kern w:val="2"/>
      <w:sz w:val="18"/>
      <w:szCs w:val="18"/>
    </w:rPr>
  </w:style>
  <w:style w:type="character" w:customStyle="1" w:styleId="174">
    <w:name w:val="脚注文本 Char2"/>
    <w:link w:val="62"/>
    <w:qFormat/>
    <w:uiPriority w:val="0"/>
    <w:rPr>
      <w:sz w:val="18"/>
      <w:lang w:bidi="ar-SA"/>
    </w:rPr>
  </w:style>
  <w:style w:type="character" w:customStyle="1" w:styleId="175">
    <w:name w:val="jl 正文 Char Char Char"/>
    <w:link w:val="176"/>
    <w:qFormat/>
    <w:uiPriority w:val="0"/>
    <w:rPr>
      <w:rFonts w:ascii="宋体" w:eastAsia="宋体"/>
      <w:kern w:val="2"/>
      <w:sz w:val="24"/>
      <w:szCs w:val="24"/>
      <w:lang w:val="en-US" w:eastAsia="zh-CN" w:bidi="ar-SA"/>
    </w:rPr>
  </w:style>
  <w:style w:type="paragraph" w:customStyle="1" w:styleId="176">
    <w:name w:val="jl 正文 Char Char"/>
    <w:basedOn w:val="1"/>
    <w:link w:val="175"/>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177">
    <w:name w:val="font01"/>
    <w:basedOn w:val="77"/>
    <w:qFormat/>
    <w:uiPriority w:val="0"/>
    <w:rPr>
      <w:rFonts w:hint="default" w:ascii="Arial" w:hAnsi="Arial" w:cs="Arial"/>
      <w:color w:val="000000"/>
      <w:sz w:val="20"/>
      <w:szCs w:val="20"/>
      <w:u w:val="none"/>
    </w:rPr>
  </w:style>
  <w:style w:type="character" w:customStyle="1" w:styleId="178">
    <w:name w:val="font31"/>
    <w:basedOn w:val="77"/>
    <w:qFormat/>
    <w:uiPriority w:val="0"/>
    <w:rPr>
      <w:rFonts w:ascii="Arial" w:hAnsi="Arial" w:cs="Arial"/>
      <w:color w:val="000000"/>
      <w:sz w:val="36"/>
      <w:szCs w:val="36"/>
      <w:u w:val="none"/>
    </w:rPr>
  </w:style>
  <w:style w:type="character" w:customStyle="1" w:styleId="179">
    <w:name w:val="Char Char7"/>
    <w:qFormat/>
    <w:uiPriority w:val="0"/>
    <w:rPr>
      <w:b/>
      <w:kern w:val="44"/>
      <w:sz w:val="44"/>
    </w:rPr>
  </w:style>
  <w:style w:type="character" w:customStyle="1" w:styleId="180">
    <w:name w:val="Char Char12"/>
    <w:qFormat/>
    <w:uiPriority w:val="0"/>
    <w:rPr>
      <w:b/>
      <w:kern w:val="44"/>
      <w:sz w:val="44"/>
    </w:rPr>
  </w:style>
  <w:style w:type="character" w:customStyle="1" w:styleId="181">
    <w:name w:val="表头 Char"/>
    <w:link w:val="182"/>
    <w:qFormat/>
    <w:uiPriority w:val="0"/>
    <w:rPr>
      <w:rFonts w:eastAsia="黑体"/>
      <w:kern w:val="2"/>
      <w:sz w:val="21"/>
      <w:szCs w:val="21"/>
      <w:lang w:val="en-US" w:eastAsia="zh-CN" w:bidi="ar-SA"/>
    </w:rPr>
  </w:style>
  <w:style w:type="paragraph" w:customStyle="1" w:styleId="182">
    <w:name w:val="表头"/>
    <w:basedOn w:val="1"/>
    <w:link w:val="181"/>
    <w:qFormat/>
    <w:uiPriority w:val="0"/>
    <w:pPr>
      <w:topLinePunct/>
      <w:spacing w:before="160" w:after="60"/>
      <w:jc w:val="center"/>
    </w:pPr>
    <w:rPr>
      <w:rFonts w:ascii="Calibri" w:hAnsi="Calibri" w:eastAsia="黑体"/>
      <w:szCs w:val="21"/>
    </w:rPr>
  </w:style>
  <w:style w:type="paragraph" w:customStyle="1" w:styleId="183">
    <w:name w:val="jl 正文"/>
    <w:basedOn w:val="1"/>
    <w:semiHidden/>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184">
    <w:name w:val="xl49"/>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85">
    <w:name w:val="样式2"/>
    <w:basedOn w:val="3"/>
    <w:semiHidden/>
    <w:qFormat/>
    <w:uiPriority w:val="0"/>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186">
    <w:name w:val="xl43"/>
    <w:basedOn w:val="1"/>
    <w:semiHidden/>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87">
    <w:name w:val="xl3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8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89">
    <w:name w:val="节小标题"/>
    <w:basedOn w:val="9"/>
    <w:semiHidden/>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190">
    <w:name w:val="样式7"/>
    <w:basedOn w:val="1"/>
    <w:qFormat/>
    <w:uiPriority w:val="0"/>
    <w:pPr>
      <w:snapToGrid w:val="0"/>
    </w:pPr>
  </w:style>
  <w:style w:type="paragraph" w:customStyle="1" w:styleId="191">
    <w:name w:val="xl2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92">
    <w:name w:val="图形标题"/>
    <w:basedOn w:val="23"/>
    <w:semiHidden/>
    <w:qFormat/>
    <w:uiPriority w:val="0"/>
    <w:pPr>
      <w:spacing w:before="0" w:after="0"/>
      <w:jc w:val="center"/>
    </w:pPr>
    <w:rPr>
      <w:rFonts w:ascii="宋体" w:hAnsi="Plotter" w:eastAsia="宋体"/>
      <w:sz w:val="21"/>
    </w:rPr>
  </w:style>
  <w:style w:type="paragraph" w:customStyle="1" w:styleId="193">
    <w:name w:val="默认段落字体 Para Char Char Char Char"/>
    <w:basedOn w:val="1"/>
    <w:semiHidden/>
    <w:qFormat/>
    <w:uiPriority w:val="0"/>
    <w:rPr>
      <w:rFonts w:ascii="宋体" w:hAnsi="宋体"/>
      <w:b/>
      <w:color w:val="000000"/>
      <w:sz w:val="24"/>
    </w:rPr>
  </w:style>
  <w:style w:type="paragraph" w:customStyle="1" w:styleId="194">
    <w:name w:val="xl4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5">
    <w:name w:val="xl55"/>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96">
    <w:name w:val="p15"/>
    <w:basedOn w:val="1"/>
    <w:qFormat/>
    <w:uiPriority w:val="0"/>
    <w:pPr>
      <w:widowControl/>
      <w:spacing w:before="100" w:after="100"/>
      <w:jc w:val="left"/>
    </w:pPr>
    <w:rPr>
      <w:rFonts w:ascii="宋体" w:hAnsi="宋体" w:cs="宋体"/>
      <w:kern w:val="0"/>
      <w:sz w:val="24"/>
    </w:rPr>
  </w:style>
  <w:style w:type="paragraph" w:customStyle="1" w:styleId="197">
    <w:name w:val="xl3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8">
    <w:name w:val="样式 首行缩进:  0 厘米 行距: 单倍行距 Char"/>
    <w:basedOn w:val="1"/>
    <w:qFormat/>
    <w:uiPriority w:val="0"/>
    <w:pPr>
      <w:adjustRightInd w:val="0"/>
      <w:textAlignment w:val="baseline"/>
    </w:pPr>
    <w:rPr>
      <w:kern w:val="0"/>
      <w:szCs w:val="21"/>
    </w:rPr>
  </w:style>
  <w:style w:type="paragraph" w:customStyle="1" w:styleId="199">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00">
    <w:name w:val="xl26"/>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1">
    <w:name w:val="xl29"/>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2">
    <w:name w:val="_Style 1"/>
    <w:basedOn w:val="1"/>
    <w:unhideWhenUsed/>
    <w:qFormat/>
    <w:uiPriority w:val="0"/>
    <w:pPr>
      <w:ind w:firstLine="420" w:firstLineChars="200"/>
    </w:pPr>
  </w:style>
  <w:style w:type="paragraph" w:customStyle="1" w:styleId="203">
    <w:name w:val="样式 标题 1 + 首行缩进:  2 字符 段前: 1 行 段后: 1 行"/>
    <w:basedOn w:val="2"/>
    <w:semiHidden/>
    <w:qFormat/>
    <w:uiPriority w:val="0"/>
    <w:pPr>
      <w:spacing w:beforeLines="100" w:afterLines="100"/>
      <w:ind w:firstLine="420"/>
    </w:pPr>
    <w:rPr>
      <w:bCs w:val="0"/>
      <w:sz w:val="28"/>
      <w:szCs w:val="20"/>
    </w:rPr>
  </w:style>
  <w:style w:type="paragraph" w:customStyle="1" w:styleId="204">
    <w:name w:val="xl3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05">
    <w:name w:val="Char Char Char"/>
    <w:basedOn w:val="1"/>
    <w:qFormat/>
    <w:uiPriority w:val="0"/>
  </w:style>
  <w:style w:type="paragraph" w:customStyle="1" w:styleId="206">
    <w:name w:val="xl5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08">
    <w:name w:val="xl2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9">
    <w:name w:val="xl31"/>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10">
    <w:name w:val="xl3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1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2">
    <w:name w:val="p0 New"/>
    <w:basedOn w:val="213"/>
    <w:qFormat/>
    <w:uiPriority w:val="0"/>
    <w:pPr>
      <w:widowControl/>
    </w:pPr>
    <w:rPr>
      <w:kern w:val="0"/>
      <w:szCs w:val="20"/>
    </w:rPr>
  </w:style>
  <w:style w:type="paragraph" w:customStyle="1" w:styleId="213">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xl44"/>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5">
    <w:name w:val="样式 Arial 首行缩进:  2 字符"/>
    <w:basedOn w:val="1"/>
    <w:qFormat/>
    <w:uiPriority w:val="0"/>
    <w:pPr>
      <w:ind w:firstLine="403" w:firstLineChars="200"/>
    </w:pPr>
    <w:rPr>
      <w:rFonts w:cs="华文新魏"/>
      <w:szCs w:val="21"/>
    </w:rPr>
  </w:style>
  <w:style w:type="paragraph" w:customStyle="1" w:styleId="216">
    <w:name w:val="xl46"/>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7">
    <w:name w:val="样式 首行缩进:  0 厘米 行距: 单倍行距"/>
    <w:basedOn w:val="1"/>
    <w:semiHidden/>
    <w:qFormat/>
    <w:uiPriority w:val="0"/>
    <w:pPr>
      <w:adjustRightInd w:val="0"/>
      <w:textAlignment w:val="baseline"/>
    </w:pPr>
    <w:rPr>
      <w:kern w:val="0"/>
      <w:szCs w:val="20"/>
    </w:rPr>
  </w:style>
  <w:style w:type="paragraph" w:customStyle="1" w:styleId="218">
    <w:name w:val="xl39"/>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9">
    <w:name w:val="xl50"/>
    <w:basedOn w:val="1"/>
    <w:semiHidden/>
    <w:qFormat/>
    <w:uiPriority w:val="0"/>
    <w:pPr>
      <w:widowControl/>
      <w:spacing w:before="100" w:beforeAutospacing="1" w:after="100" w:afterAutospacing="1"/>
      <w:jc w:val="center"/>
    </w:pPr>
    <w:rPr>
      <w:rFonts w:ascii="宋体" w:hAnsi="宋体"/>
      <w:kern w:val="0"/>
      <w:sz w:val="24"/>
    </w:rPr>
  </w:style>
  <w:style w:type="paragraph" w:customStyle="1" w:styleId="220">
    <w:name w:val="xl45"/>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21">
    <w:name w:val="xl5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2">
    <w:name w:val="xl4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224">
    <w:name w:val="样式 样式 标题 2 + 段前: 0.5 行 段后: 0.5 行 + 首行缩进:  2 字符 段前: 0.5 行 段后: 0..."/>
    <w:basedOn w:val="1"/>
    <w:semiHidden/>
    <w:qFormat/>
    <w:uiPriority w:val="0"/>
    <w:pPr>
      <w:keepNext/>
      <w:keepLines/>
      <w:adjustRightInd w:val="0"/>
      <w:spacing w:beforeLines="50" w:afterLines="50"/>
      <w:jc w:val="left"/>
      <w:textAlignment w:val="baseline"/>
      <w:outlineLvl w:val="1"/>
    </w:pPr>
    <w:rPr>
      <w:rFonts w:eastAsia="黑体"/>
      <w:kern w:val="0"/>
      <w:szCs w:val="20"/>
    </w:rPr>
  </w:style>
  <w:style w:type="paragraph" w:customStyle="1" w:styleId="225">
    <w:name w:val="List Paragraph1"/>
    <w:basedOn w:val="1"/>
    <w:qFormat/>
    <w:uiPriority w:val="0"/>
    <w:pPr>
      <w:ind w:firstLine="420" w:firstLineChars="200"/>
    </w:pPr>
    <w:rPr>
      <w:rFonts w:ascii="Calibri" w:hAnsi="Calibri"/>
      <w:szCs w:val="20"/>
    </w:rPr>
  </w:style>
  <w:style w:type="paragraph" w:customStyle="1" w:styleId="226">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227">
    <w:name w:val="xl24"/>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28">
    <w:name w:val="样式3"/>
    <w:basedOn w:val="4"/>
    <w:semiHidden/>
    <w:qFormat/>
    <w:uiPriority w:val="0"/>
    <w:pPr>
      <w:tabs>
        <w:tab w:val="left" w:pos="709"/>
      </w:tabs>
      <w:topLinePunct/>
      <w:spacing w:line="720" w:lineRule="auto"/>
      <w:jc w:val="left"/>
    </w:pPr>
    <w:rPr>
      <w:rFonts w:ascii="Arial" w:hAnsi="Arial" w:eastAsia="黑体"/>
      <w:bCs w:val="0"/>
      <w:sz w:val="30"/>
      <w:szCs w:val="30"/>
    </w:rPr>
  </w:style>
  <w:style w:type="paragraph" w:customStyle="1" w:styleId="229">
    <w:name w:val="Char Char Char Char"/>
    <w:basedOn w:val="1"/>
    <w:qFormat/>
    <w:uiPriority w:val="0"/>
    <w:rPr>
      <w:snapToGrid w:val="0"/>
      <w:kern w:val="0"/>
      <w:szCs w:val="21"/>
    </w:rPr>
  </w:style>
  <w:style w:type="paragraph" w:customStyle="1" w:styleId="230">
    <w:name w:val="样式5"/>
    <w:semiHidden/>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31">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32">
    <w:name w:val="样式4"/>
    <w:basedOn w:val="5"/>
    <w:semiHidden/>
    <w:qFormat/>
    <w:uiPriority w:val="0"/>
    <w:pPr>
      <w:topLinePunct/>
      <w:spacing w:line="480" w:lineRule="auto"/>
      <w:ind w:firstLine="420"/>
    </w:pPr>
    <w:rPr>
      <w:rFonts w:ascii="Times New Roman" w:hAnsi="Times New Roman" w:eastAsia="楷体_GB2312"/>
      <w:b w:val="0"/>
      <w:bCs w:val="0"/>
      <w:sz w:val="24"/>
      <w:szCs w:val="20"/>
    </w:rPr>
  </w:style>
  <w:style w:type="paragraph" w:customStyle="1" w:styleId="233">
    <w:name w:val="xl52"/>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35">
    <w:name w:val="Char Char2"/>
    <w:basedOn w:val="1"/>
    <w:qFormat/>
    <w:uiPriority w:val="0"/>
  </w:style>
  <w:style w:type="paragraph" w:customStyle="1" w:styleId="236">
    <w:name w:val="xl4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37">
    <w:name w:val="Char1 Char Char"/>
    <w:basedOn w:val="1"/>
    <w:qFormat/>
    <w:uiPriority w:val="0"/>
    <w:rPr>
      <w:szCs w:val="20"/>
    </w:rPr>
  </w:style>
  <w:style w:type="paragraph" w:customStyle="1" w:styleId="238">
    <w:name w:val="Char Char Char Char Char Char Char"/>
    <w:basedOn w:val="1"/>
    <w:semiHidden/>
    <w:qFormat/>
    <w:uiPriority w:val="0"/>
  </w:style>
  <w:style w:type="paragraph" w:customStyle="1" w:styleId="239">
    <w:name w:val="样式 标题 2 + 黑体 段前: 10.25 磅 段后: 10.25 磅 行距: 单倍行距"/>
    <w:basedOn w:val="3"/>
    <w:semiHidden/>
    <w:qFormat/>
    <w:uiPriority w:val="0"/>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240">
    <w:name w:val="p0"/>
    <w:basedOn w:val="1"/>
    <w:qFormat/>
    <w:uiPriority w:val="0"/>
    <w:pPr>
      <w:widowControl/>
    </w:pPr>
    <w:rPr>
      <w:kern w:val="0"/>
      <w:szCs w:val="21"/>
    </w:rPr>
  </w:style>
  <w:style w:type="paragraph" w:customStyle="1" w:styleId="241">
    <w:name w:val="标题 3 + 小四 段前: 0 磅 段后: 0 磅 行距: 1.5 倍行距"/>
    <w:basedOn w:val="4"/>
    <w:next w:val="4"/>
    <w:semiHidden/>
    <w:qFormat/>
    <w:uiPriority w:val="0"/>
    <w:pPr>
      <w:jc w:val="center"/>
    </w:pPr>
    <w:rPr>
      <w:rFonts w:eastAsia="黑体" w:cs="宋体"/>
      <w:b w:val="0"/>
      <w:szCs w:val="20"/>
    </w:rPr>
  </w:style>
  <w:style w:type="paragraph" w:customStyle="1" w:styleId="242">
    <w:name w:val="xl41"/>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43">
    <w:name w:val="xl33"/>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44">
    <w:name w:val="列出段落1"/>
    <w:basedOn w:val="1"/>
    <w:qFormat/>
    <w:uiPriority w:val="0"/>
    <w:pPr>
      <w:ind w:firstLine="420" w:firstLineChars="200"/>
    </w:pPr>
    <w:rPr>
      <w:rFonts w:ascii="Calibri" w:hAnsi="Calibri"/>
      <w:szCs w:val="22"/>
    </w:rPr>
  </w:style>
  <w:style w:type="paragraph" w:customStyle="1" w:styleId="245">
    <w:name w:val="Char"/>
    <w:basedOn w:val="1"/>
    <w:qFormat/>
    <w:uiPriority w:val="0"/>
  </w:style>
  <w:style w:type="paragraph" w:customStyle="1" w:styleId="246">
    <w:name w:val="默认段落字体 Para Char Char Char Char Char"/>
    <w:basedOn w:val="1"/>
    <w:qFormat/>
    <w:uiPriority w:val="0"/>
    <w:rPr>
      <w:rFonts w:ascii="宋体" w:hAnsi="宋体"/>
      <w:b/>
      <w:color w:val="000000"/>
      <w:sz w:val="24"/>
    </w:rPr>
  </w:style>
  <w:style w:type="paragraph" w:customStyle="1" w:styleId="247">
    <w:name w:val="表文"/>
    <w:basedOn w:val="1"/>
    <w:qFormat/>
    <w:uiPriority w:val="0"/>
    <w:pPr>
      <w:topLinePunct/>
      <w:spacing w:before="40" w:after="40"/>
    </w:pPr>
    <w:rPr>
      <w:sz w:val="18"/>
      <w:szCs w:val="18"/>
    </w:rPr>
  </w:style>
  <w:style w:type="paragraph" w:customStyle="1" w:styleId="248">
    <w:name w:val="xl32"/>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49">
    <w:name w:val="xl3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0">
    <w:name w:val="xl42"/>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51">
    <w:name w:val="p82"/>
    <w:basedOn w:val="1"/>
    <w:semiHidden/>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52">
    <w:name w:val="xl2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53">
    <w:name w:val="图说"/>
    <w:basedOn w:val="1"/>
    <w:semiHidden/>
    <w:qFormat/>
    <w:uiPriority w:val="0"/>
    <w:pPr>
      <w:topLinePunct/>
      <w:spacing w:before="40" w:after="160"/>
      <w:jc w:val="center"/>
    </w:pPr>
    <w:rPr>
      <w:rFonts w:cs="宋体"/>
      <w:sz w:val="18"/>
      <w:szCs w:val="20"/>
    </w:rPr>
  </w:style>
  <w:style w:type="paragraph" w:customStyle="1" w:styleId="254">
    <w:name w:val="Normal1"/>
    <w:basedOn w:val="255"/>
    <w:semiHidden/>
    <w:qFormat/>
    <w:uiPriority w:val="0"/>
    <w:pPr>
      <w:tabs>
        <w:tab w:val="left" w:pos="2160"/>
      </w:tabs>
      <w:adjustRightInd w:val="0"/>
      <w:spacing w:line="490" w:lineRule="exact"/>
      <w:jc w:val="center"/>
      <w:textAlignment w:val="baseline"/>
    </w:pPr>
    <w:rPr>
      <w:rFonts w:ascii="仿宋_GB2312" w:eastAsia="仿宋_GB2312"/>
      <w:kern w:val="0"/>
      <w:sz w:val="34"/>
      <w:szCs w:val="20"/>
    </w:rPr>
  </w:style>
  <w:style w:type="paragraph" w:customStyle="1" w:styleId="255">
    <w:name w:val="样式1"/>
    <w:basedOn w:val="1"/>
    <w:qFormat/>
    <w:uiPriority w:val="0"/>
    <w:rPr>
      <w:sz w:val="28"/>
    </w:rPr>
  </w:style>
  <w:style w:type="paragraph" w:customStyle="1" w:styleId="256">
    <w:name w:val="xl53"/>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5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258">
    <w:name w:val="xl38"/>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59">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260">
    <w:name w:val="xl51"/>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1">
    <w:name w:val="xl66"/>
    <w:basedOn w:val="1"/>
    <w:uiPriority w:val="0"/>
    <w:pPr>
      <w:widowControl/>
      <w:pBdr>
        <w:left w:val="single" w:color="000000" w:sz="8" w:space="0"/>
        <w:bottom w:val="single" w:color="000000" w:sz="8" w:space="0"/>
        <w:right w:val="single" w:color="000000" w:sz="8"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2">
    <w:name w:val="xl67"/>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3">
    <w:name w:val="xl68"/>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64">
    <w:name w:val="xl69"/>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0"/>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6">
    <w:name w:val="xl71"/>
    <w:basedOn w:val="1"/>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7">
    <w:name w:val="xl72"/>
    <w:basedOn w:val="1"/>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8">
    <w:name w:val="xl73"/>
    <w:basedOn w:val="1"/>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9">
    <w:name w:val="xl74"/>
    <w:basedOn w:val="1"/>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70">
    <w:name w:val="font8"/>
    <w:basedOn w:val="1"/>
    <w:uiPriority w:val="0"/>
    <w:pPr>
      <w:widowControl/>
      <w:spacing w:before="100" w:beforeAutospacing="1" w:after="100" w:afterAutospacing="1"/>
      <w:jc w:val="left"/>
    </w:pPr>
    <w:rPr>
      <w:rFonts w:ascii="Arial" w:hAnsi="Arial" w:cs="Arial"/>
      <w:kern w:val="0"/>
      <w:sz w:val="20"/>
      <w:szCs w:val="20"/>
    </w:rPr>
  </w:style>
  <w:style w:type="paragraph" w:customStyle="1" w:styleId="271">
    <w:name w:val="font9"/>
    <w:basedOn w:val="1"/>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xl75"/>
    <w:basedOn w:val="1"/>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119</Pages>
  <Words>13835</Words>
  <Characters>78865</Characters>
  <Lines>657</Lines>
  <Paragraphs>185</Paragraphs>
  <TotalTime>14</TotalTime>
  <ScaleCrop>false</ScaleCrop>
  <LinksUpToDate>false</LinksUpToDate>
  <CharactersWithSpaces>92515</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2019-03-15T02:50:00Z</dcterms:created>
  <dc:creator>hzhong</dc:creator>
  <cp:lastModifiedBy>wf</cp:lastModifiedBy>
  <cp:lastPrinted>2019-11-24T10:05:00Z</cp:lastPrinted>
  <dcterms:modified xsi:type="dcterms:W3CDTF">2019-11-24T11:07:37Z</dcterms:modified>
  <dc:title>第二章  投标人须知</dc:title>
  <cp:revision>159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