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sz w:val="20"/>
          <w:szCs w:val="20"/>
          <w:lang w:eastAsia="zh-CN"/>
        </w:rPr>
      </w:pPr>
    </w:p>
    <w:p>
      <w:pPr>
        <w:rPr>
          <w:rFonts w:ascii="Times New Roman" w:hAnsi="Times New Roman"/>
          <w:sz w:val="20"/>
          <w:szCs w:val="20"/>
          <w:lang w:eastAsia="zh-CN"/>
        </w:rPr>
      </w:pPr>
    </w:p>
    <w:p>
      <w:pPr>
        <w:rPr>
          <w:rFonts w:ascii="Times New Roman" w:hAnsi="Times New Roman"/>
          <w:sz w:val="20"/>
          <w:szCs w:val="20"/>
          <w:lang w:eastAsia="zh-CN"/>
        </w:rPr>
      </w:pPr>
    </w:p>
    <w:p>
      <w:pPr>
        <w:jc w:val="center"/>
        <w:rPr>
          <w:rFonts w:ascii="宋体"/>
          <w:b/>
          <w:sz w:val="52"/>
          <w:szCs w:val="52"/>
        </w:rPr>
      </w:pPr>
    </w:p>
    <w:p>
      <w:pPr>
        <w:jc w:val="center"/>
        <w:rPr>
          <w:rFonts w:hint="eastAsia" w:ascii="方正小标宋_GBK" w:hAnsi="方正小标宋_GBK" w:eastAsia="方正小标宋_GBK" w:cs="方正小标宋_GBK"/>
          <w:b/>
          <w:sz w:val="44"/>
          <w:szCs w:val="44"/>
          <w:lang w:eastAsia="zh-CN"/>
        </w:rPr>
      </w:pPr>
      <w:r>
        <w:rPr>
          <w:rFonts w:hint="eastAsia" w:ascii="方正小标宋_GBK" w:hAnsi="方正小标宋_GBK" w:eastAsia="方正小标宋_GBK" w:cs="方正小标宋_GBK"/>
          <w:b/>
          <w:sz w:val="44"/>
          <w:szCs w:val="44"/>
          <w:lang w:eastAsia="zh-CN"/>
        </w:rPr>
        <w:t>国网青海省电力公司</w:t>
      </w:r>
    </w:p>
    <w:p>
      <w:pPr>
        <w:jc w:val="center"/>
        <w:rPr>
          <w:rFonts w:hint="eastAsia" w:ascii="方正小标宋_GBK" w:hAnsi="方正小标宋_GBK" w:eastAsia="方正小标宋_GBK" w:cs="方正小标宋_GBK"/>
          <w:b/>
          <w:sz w:val="44"/>
          <w:szCs w:val="44"/>
          <w:lang w:eastAsia="zh-CN"/>
        </w:rPr>
      </w:pPr>
    </w:p>
    <w:p>
      <w:pPr>
        <w:jc w:val="center"/>
        <w:rPr>
          <w:rFonts w:hint="eastAsia" w:ascii="方正小标宋_GBK" w:hAnsi="方正小标宋_GBK" w:eastAsia="方正小标宋_GBK" w:cs="方正小标宋_GBK"/>
          <w:b/>
          <w:sz w:val="44"/>
          <w:szCs w:val="44"/>
          <w:lang w:eastAsia="zh-CN"/>
        </w:rPr>
      </w:pPr>
      <w:r>
        <w:rPr>
          <w:rFonts w:hint="eastAsia" w:ascii="方正小标宋_GBK" w:hAnsi="方正小标宋_GBK" w:eastAsia="方正小标宋_GBK" w:cs="方正小标宋_GBK"/>
          <w:b/>
          <w:bCs/>
          <w:sz w:val="44"/>
          <w:szCs w:val="44"/>
          <w:lang w:eastAsia="zh-CN"/>
        </w:rPr>
        <w:t>配网物资协议库存招标</w:t>
      </w:r>
      <w:r>
        <w:rPr>
          <w:rFonts w:hint="eastAsia" w:ascii="方正小标宋_GBK" w:hAnsi="方正小标宋_GBK" w:eastAsia="方正小标宋_GBK" w:cs="方正小标宋_GBK"/>
          <w:b/>
          <w:bCs/>
          <w:sz w:val="44"/>
          <w:szCs w:val="44"/>
          <w:lang w:val="en-US" w:eastAsia="zh-CN"/>
        </w:rPr>
        <w:t>采购</w:t>
      </w:r>
      <w:r>
        <w:rPr>
          <w:rFonts w:hint="eastAsia" w:ascii="方正小标宋_GBK" w:hAnsi="方正小标宋_GBK" w:eastAsia="方正小标宋_GBK" w:cs="方正小标宋_GBK"/>
          <w:b/>
          <w:bCs/>
          <w:sz w:val="44"/>
          <w:szCs w:val="44"/>
          <w:lang w:eastAsia="zh-CN"/>
        </w:rPr>
        <w:t>招标文件</w:t>
      </w:r>
    </w:p>
    <w:p>
      <w:pPr>
        <w:jc w:val="center"/>
        <w:rPr>
          <w:rFonts w:ascii="楷体_GB2312" w:eastAsia="楷体_GB2312"/>
          <w:sz w:val="44"/>
          <w:lang w:eastAsia="zh-CN"/>
        </w:rPr>
      </w:pPr>
    </w:p>
    <w:p>
      <w:pPr>
        <w:jc w:val="center"/>
        <w:rPr>
          <w:rFonts w:ascii="楷体_GB2312" w:eastAsia="楷体_GB2312"/>
          <w:sz w:val="44"/>
          <w:lang w:eastAsia="zh-CN"/>
        </w:rPr>
      </w:pPr>
    </w:p>
    <w:p>
      <w:pPr>
        <w:spacing w:beforeLines="100" w:line="360" w:lineRule="auto"/>
        <w:jc w:val="center"/>
        <w:rPr>
          <w:rFonts w:hint="eastAsia" w:ascii="方正小标宋_GBK" w:hAnsi="方正小标宋_GBK" w:eastAsia="方正小标宋_GBK" w:cs="方正小标宋_GBK"/>
          <w:b/>
          <w:sz w:val="44"/>
          <w:szCs w:val="44"/>
          <w:lang w:eastAsia="zh-CN"/>
        </w:rPr>
      </w:pPr>
      <w:r>
        <w:rPr>
          <w:rFonts w:hint="eastAsia" w:ascii="方正小标宋_GBK" w:hAnsi="方正小标宋_GBK" w:eastAsia="方正小标宋_GBK" w:cs="方正小标宋_GBK"/>
          <w:b/>
          <w:bCs/>
          <w:sz w:val="44"/>
          <w:szCs w:val="44"/>
          <w:lang w:eastAsia="zh-CN"/>
        </w:rPr>
        <w:t>（20</w:t>
      </w:r>
      <w:r>
        <w:rPr>
          <w:rFonts w:hint="eastAsia" w:ascii="方正小标宋_GBK" w:hAnsi="方正小标宋_GBK" w:eastAsia="方正小标宋_GBK" w:cs="方正小标宋_GBK"/>
          <w:b/>
          <w:bCs/>
          <w:sz w:val="44"/>
          <w:szCs w:val="44"/>
          <w:lang w:val="en-US" w:eastAsia="zh-CN"/>
        </w:rPr>
        <w:t>21</w:t>
      </w:r>
      <w:r>
        <w:rPr>
          <w:rFonts w:hint="eastAsia" w:ascii="方正小标宋_GBK" w:hAnsi="方正小标宋_GBK" w:eastAsia="方正小标宋_GBK" w:cs="方正小标宋_GBK"/>
          <w:b/>
          <w:bCs/>
          <w:sz w:val="44"/>
          <w:szCs w:val="44"/>
          <w:lang w:eastAsia="zh-CN"/>
        </w:rPr>
        <w:t>年版）</w:t>
      </w:r>
    </w:p>
    <w:p>
      <w:pPr>
        <w:rPr>
          <w:rFonts w:ascii="宋体" w:cs="宋体"/>
          <w:sz w:val="44"/>
          <w:szCs w:val="44"/>
          <w:lang w:eastAsia="zh-CN"/>
        </w:rPr>
      </w:pPr>
    </w:p>
    <w:p>
      <w:pPr>
        <w:rPr>
          <w:rFonts w:ascii="宋体" w:cs="宋体"/>
          <w:sz w:val="44"/>
          <w:szCs w:val="44"/>
          <w:lang w:eastAsia="zh-CN"/>
        </w:rPr>
      </w:pPr>
    </w:p>
    <w:p>
      <w:pPr>
        <w:rPr>
          <w:rFonts w:ascii="宋体" w:cs="宋体"/>
          <w:sz w:val="44"/>
          <w:szCs w:val="44"/>
          <w:lang w:eastAsia="zh-CN"/>
        </w:rPr>
      </w:pPr>
    </w:p>
    <w:p>
      <w:pPr>
        <w:rPr>
          <w:rFonts w:ascii="宋体" w:cs="宋体"/>
          <w:sz w:val="44"/>
          <w:szCs w:val="44"/>
          <w:lang w:eastAsia="zh-CN"/>
        </w:rPr>
      </w:pPr>
    </w:p>
    <w:p>
      <w:pPr>
        <w:rPr>
          <w:rFonts w:ascii="宋体" w:cs="宋体"/>
          <w:sz w:val="44"/>
          <w:szCs w:val="44"/>
          <w:lang w:eastAsia="zh-CN"/>
        </w:rPr>
      </w:pPr>
    </w:p>
    <w:p>
      <w:pPr>
        <w:rPr>
          <w:rFonts w:ascii="宋体" w:cs="宋体"/>
          <w:sz w:val="44"/>
          <w:szCs w:val="44"/>
          <w:lang w:eastAsia="zh-CN"/>
        </w:rPr>
      </w:pPr>
    </w:p>
    <w:p>
      <w:pPr>
        <w:spacing w:before="8"/>
        <w:rPr>
          <w:rFonts w:ascii="宋体" w:cs="宋体"/>
          <w:sz w:val="33"/>
          <w:szCs w:val="33"/>
          <w:lang w:eastAsia="zh-CN"/>
        </w:rPr>
      </w:pPr>
    </w:p>
    <w:p>
      <w:pPr>
        <w:tabs>
          <w:tab w:val="left" w:pos="2593"/>
        </w:tabs>
        <w:ind w:left="3"/>
        <w:jc w:val="center"/>
        <w:rPr>
          <w:rFonts w:hint="eastAsia" w:ascii="方正楷体_GBK" w:hAnsi="方正楷体_GBK" w:eastAsia="方正楷体_GBK" w:cs="方正楷体_GBK"/>
          <w:sz w:val="32"/>
          <w:szCs w:val="32"/>
          <w:lang w:eastAsia="zh-CN"/>
        </w:rPr>
      </w:pPr>
      <w:bookmarkStart w:id="0" w:name="_bookmark1"/>
      <w:bookmarkEnd w:id="0"/>
      <w:r>
        <w:rPr>
          <w:rFonts w:hint="eastAsia" w:ascii="方正楷体_GBK" w:hAnsi="方正楷体_GBK" w:eastAsia="方正楷体_GBK" w:cs="方正楷体_GBK"/>
          <w:sz w:val="32"/>
          <w:szCs w:val="32"/>
          <w:lang w:eastAsia="zh-CN"/>
        </w:rPr>
        <w:t>招标人：</w:t>
      </w:r>
      <w:r>
        <w:rPr>
          <w:rFonts w:hint="eastAsia" w:ascii="方正楷体_GBK" w:hAnsi="方正楷体_GBK" w:eastAsia="方正楷体_GBK" w:cs="方正楷体_GBK"/>
          <w:sz w:val="32"/>
          <w:szCs w:val="32"/>
          <w:u w:val="single"/>
          <w:lang w:eastAsia="zh-CN"/>
        </w:rPr>
        <w:t>国网青海省电力公司</w:t>
      </w:r>
      <w:r>
        <w:rPr>
          <w:rFonts w:hint="eastAsia" w:ascii="方正楷体_GBK" w:hAnsi="方正楷体_GBK" w:eastAsia="方正楷体_GBK" w:cs="方正楷体_GBK"/>
          <w:sz w:val="32"/>
          <w:szCs w:val="32"/>
          <w:lang w:val="en-US" w:eastAsia="zh-CN"/>
        </w:rPr>
        <w:t xml:space="preserve"> </w:t>
      </w:r>
    </w:p>
    <w:p>
      <w:pPr>
        <w:spacing w:before="5"/>
        <w:rPr>
          <w:rFonts w:hint="eastAsia" w:ascii="方正楷体_GBK" w:hAnsi="方正楷体_GBK" w:eastAsia="方正楷体_GBK" w:cs="方正楷体_GBK"/>
          <w:sz w:val="32"/>
          <w:szCs w:val="32"/>
          <w:lang w:eastAsia="zh-CN"/>
        </w:rPr>
      </w:pPr>
    </w:p>
    <w:p>
      <w:pPr>
        <w:tabs>
          <w:tab w:val="left" w:pos="3611"/>
          <w:tab w:val="left" w:pos="4626"/>
          <w:tab w:val="left" w:pos="5642"/>
        </w:tabs>
        <w:spacing w:before="14"/>
        <w:ind w:left="2877"/>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u w:val="single" w:color="000000"/>
          <w:lang w:eastAsia="zh-CN"/>
        </w:rPr>
        <w:t>20</w:t>
      </w:r>
      <w:r>
        <w:rPr>
          <w:rFonts w:hint="eastAsia" w:ascii="方正楷体_GBK" w:hAnsi="方正楷体_GBK" w:eastAsia="方正楷体_GBK" w:cs="方正楷体_GBK"/>
          <w:sz w:val="32"/>
          <w:szCs w:val="32"/>
          <w:u w:val="single" w:color="000000"/>
          <w:lang w:val="en-US" w:eastAsia="zh-CN"/>
        </w:rPr>
        <w:t>21</w:t>
      </w:r>
      <w:r>
        <w:rPr>
          <w:rFonts w:hint="eastAsia" w:ascii="方正楷体_GBK" w:hAnsi="方正楷体_GBK" w:eastAsia="方正楷体_GBK" w:cs="方正楷体_GBK"/>
          <w:sz w:val="32"/>
          <w:szCs w:val="32"/>
          <w:lang w:eastAsia="zh-CN"/>
        </w:rPr>
        <w:t>年</w:t>
      </w:r>
      <w:r>
        <w:rPr>
          <w:rFonts w:hint="eastAsia" w:ascii="方正楷体_GBK" w:hAnsi="方正楷体_GBK" w:eastAsia="方正楷体_GBK" w:cs="方正楷体_GBK"/>
          <w:sz w:val="32"/>
          <w:szCs w:val="32"/>
          <w:u w:val="single"/>
          <w:lang w:val="en-US" w:eastAsia="zh-CN"/>
        </w:rPr>
        <w:t>03</w:t>
      </w:r>
      <w:r>
        <w:rPr>
          <w:rFonts w:hint="eastAsia" w:ascii="方正楷体_GBK" w:hAnsi="方正楷体_GBK" w:eastAsia="方正楷体_GBK" w:cs="方正楷体_GBK"/>
          <w:sz w:val="32"/>
          <w:szCs w:val="32"/>
          <w:lang w:eastAsia="zh-CN"/>
        </w:rPr>
        <w:t>月</w:t>
      </w:r>
      <w:r>
        <w:rPr>
          <w:rFonts w:hint="eastAsia" w:ascii="方正楷体_GBK" w:hAnsi="方正楷体_GBK" w:eastAsia="方正楷体_GBK" w:cs="方正楷体_GBK"/>
          <w:sz w:val="32"/>
          <w:szCs w:val="32"/>
          <w:u w:val="single"/>
          <w:lang w:val="en-US" w:eastAsia="zh-CN"/>
        </w:rPr>
        <w:t>25</w:t>
      </w:r>
      <w:r>
        <w:rPr>
          <w:rFonts w:hint="eastAsia" w:ascii="方正楷体_GBK" w:hAnsi="方正楷体_GBK" w:eastAsia="方正楷体_GBK" w:cs="方正楷体_GBK"/>
          <w:sz w:val="32"/>
          <w:szCs w:val="32"/>
          <w:lang w:eastAsia="zh-CN"/>
        </w:rPr>
        <w:t>日</w:t>
      </w:r>
    </w:p>
    <w:p>
      <w:pPr>
        <w:rPr>
          <w:rFonts w:ascii="宋体" w:cs="宋体"/>
          <w:sz w:val="28"/>
          <w:szCs w:val="28"/>
          <w:lang w:eastAsia="zh-CN"/>
        </w:rPr>
        <w:sectPr>
          <w:pgSz w:w="11906" w:h="16838"/>
          <w:pgMar w:top="1440" w:right="1797" w:bottom="1440" w:left="1797" w:header="720" w:footer="720" w:gutter="0"/>
          <w:pgBorders>
            <w:top w:val="none" w:sz="0" w:space="0"/>
            <w:left w:val="none" w:sz="0" w:space="0"/>
            <w:bottom w:val="none" w:sz="0" w:space="0"/>
            <w:right w:val="none" w:sz="0" w:space="0"/>
          </w:pgBorders>
          <w:cols w:space="720" w:num="1"/>
        </w:sectPr>
      </w:pPr>
    </w:p>
    <w:p>
      <w:pPr>
        <w:bidi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本章节内容包含招标公告及投标邀请函两部分。</w:t>
      </w:r>
    </w:p>
    <w:p>
      <w:pPr>
        <w:pStyle w:val="3"/>
        <w:spacing w:beforeLines="50" w:afterLines="50" w:line="564" w:lineRule="exact"/>
        <w:ind w:left="0" w:right="57"/>
        <w:jc w:val="center"/>
        <w:rPr>
          <w:rFonts w:hint="eastAsia" w:ascii="方正小标宋_GBK" w:hAnsi="方正小标宋_GBK" w:eastAsia="方正小标宋_GBK" w:cs="方正小标宋_GBK"/>
          <w:lang w:eastAsia="zh-CN"/>
        </w:rPr>
      </w:pPr>
      <w:r>
        <w:rPr>
          <w:rFonts w:hint="eastAsia" w:ascii="方正小标宋_GBK" w:hAnsi="方正小标宋_GBK" w:eastAsia="方正小标宋_GBK" w:cs="方正小标宋_GBK"/>
          <w:lang w:eastAsia="zh-CN"/>
        </w:rPr>
        <w:t>第一章招标公告</w:t>
      </w:r>
    </w:p>
    <w:p>
      <w:pPr>
        <w:adjustRightInd w:val="0"/>
        <w:snapToGrid w:val="0"/>
        <w:jc w:val="center"/>
        <w:rPr>
          <w:rFonts w:hint="eastAsia" w:ascii="方正小标宋_GBK" w:hAnsi="方正小标宋_GBK" w:eastAsia="方正小标宋_GBK" w:cs="方正小标宋_GBK"/>
          <w:sz w:val="32"/>
          <w:szCs w:val="32"/>
          <w:lang w:eastAsia="zh-CN"/>
        </w:rPr>
      </w:pPr>
      <w:r>
        <w:rPr>
          <w:rFonts w:hint="eastAsia" w:ascii="方正小标宋_GBK" w:hAnsi="方正小标宋_GBK" w:eastAsia="方正小标宋_GBK" w:cs="方正小标宋_GBK"/>
          <w:sz w:val="32"/>
          <w:szCs w:val="32"/>
          <w:lang w:eastAsia="zh-CN"/>
        </w:rPr>
        <w:t>国网青海省电力公司2021年第一次配网物资协议库存招标采购</w:t>
      </w:r>
    </w:p>
    <w:p>
      <w:pPr>
        <w:adjustRightInd w:val="0"/>
        <w:snapToGrid w:val="0"/>
        <w:jc w:val="center"/>
        <w:rPr>
          <w:rFonts w:hint="eastAsia" w:ascii="方正小标宋_GBK" w:hAnsi="方正小标宋_GBK" w:eastAsia="方正小标宋_GBK" w:cs="方正小标宋_GBK"/>
          <w:sz w:val="32"/>
          <w:szCs w:val="32"/>
          <w:lang w:eastAsia="zh-CN"/>
        </w:rPr>
      </w:pPr>
      <w:r>
        <w:rPr>
          <w:rFonts w:hint="eastAsia" w:ascii="方正小标宋_GBK" w:hAnsi="方正小标宋_GBK" w:eastAsia="方正小标宋_GBK" w:cs="方正小标宋_GBK"/>
          <w:sz w:val="32"/>
          <w:szCs w:val="32"/>
          <w:lang w:eastAsia="zh-CN"/>
        </w:rPr>
        <w:t>招标公告</w:t>
      </w:r>
    </w:p>
    <w:p>
      <w:pPr>
        <w:pStyle w:val="3"/>
        <w:spacing w:line="564" w:lineRule="exact"/>
        <w:ind w:left="0" w:right="57"/>
        <w:jc w:val="center"/>
        <w:rPr>
          <w:rFonts w:hint="eastAsia" w:ascii="方正小标宋_GBK" w:hAnsi="方正小标宋_GBK" w:eastAsia="方正小标宋_GBK" w:cs="方正小标宋_GBK"/>
          <w:sz w:val="32"/>
          <w:szCs w:val="32"/>
          <w:lang w:eastAsia="zh-CN"/>
        </w:rPr>
      </w:pPr>
      <w:r>
        <w:rPr>
          <w:rFonts w:hint="eastAsia" w:ascii="方正小标宋_GBK" w:hAnsi="方正小标宋_GBK" w:eastAsia="方正小标宋_GBK" w:cs="方正小标宋_GBK"/>
          <w:sz w:val="32"/>
          <w:szCs w:val="32"/>
          <w:lang w:eastAsia="zh-CN"/>
        </w:rPr>
        <w:t>招标编号：282</w:t>
      </w:r>
      <w:r>
        <w:rPr>
          <w:rFonts w:hint="eastAsia" w:ascii="方正小标宋_GBK" w:hAnsi="方正小标宋_GBK" w:eastAsia="方正小标宋_GBK" w:cs="方正小标宋_GBK"/>
          <w:sz w:val="32"/>
          <w:szCs w:val="32"/>
          <w:lang w:val="en-US" w:eastAsia="zh-CN"/>
        </w:rPr>
        <w:t>1</w:t>
      </w:r>
      <w:r>
        <w:rPr>
          <w:rFonts w:hint="eastAsia" w:ascii="方正小标宋_GBK" w:hAnsi="方正小标宋_GBK" w:eastAsia="方正小标宋_GBK" w:cs="方正小标宋_GBK"/>
          <w:sz w:val="32"/>
          <w:szCs w:val="32"/>
          <w:lang w:eastAsia="zh-CN"/>
        </w:rPr>
        <w:t>A</w:t>
      </w:r>
      <w:r>
        <w:rPr>
          <w:rFonts w:hint="eastAsia" w:ascii="方正小标宋_GBK" w:hAnsi="方正小标宋_GBK" w:eastAsia="方正小标宋_GBK" w:cs="方正小标宋_GBK"/>
          <w:sz w:val="32"/>
          <w:szCs w:val="32"/>
          <w:lang w:val="en-US" w:eastAsia="zh-CN"/>
        </w:rPr>
        <w:t>A</w:t>
      </w:r>
    </w:p>
    <w:p>
      <w:pPr>
        <w:tabs>
          <w:tab w:val="left" w:pos="1118"/>
        </w:tabs>
        <w:spacing w:before="372"/>
        <w:ind w:right="56"/>
        <w:jc w:val="center"/>
        <w:rPr>
          <w:rFonts w:ascii="宋体" w:cs="宋体"/>
          <w:b/>
          <w:sz w:val="32"/>
          <w:szCs w:val="28"/>
          <w:lang w:eastAsia="zh-CN"/>
        </w:rPr>
      </w:pPr>
      <w:r>
        <w:rPr>
          <w:rFonts w:hint="eastAsia" w:ascii="宋体" w:hAnsi="宋体"/>
          <w:b/>
          <w:sz w:val="32"/>
          <w:szCs w:val="28"/>
          <w:lang w:eastAsia="zh-CN"/>
        </w:rPr>
        <w:t>（适用于资格后审）</w:t>
      </w:r>
    </w:p>
    <w:p>
      <w:pPr>
        <w:rPr>
          <w:rFonts w:ascii="宋体" w:cs="宋体"/>
          <w:sz w:val="20"/>
          <w:szCs w:val="20"/>
          <w:lang w:eastAsia="zh-CN"/>
        </w:rPr>
      </w:pPr>
    </w:p>
    <w:p>
      <w:pPr>
        <w:pStyle w:val="4"/>
        <w:spacing w:before="70"/>
        <w:ind w:right="161" w:firstLine="320" w:firstLineChars="100"/>
        <w:rPr>
          <w:b w:val="0"/>
          <w:bCs w:val="0"/>
          <w:lang w:eastAsia="zh-CN"/>
        </w:rPr>
      </w:pPr>
      <w:bookmarkStart w:id="1" w:name="_bookmark2"/>
      <w:bookmarkEnd w:id="1"/>
      <w:r>
        <w:rPr>
          <w:rFonts w:ascii="Times New Roman" w:hAnsi="Times New Roman"/>
          <w:lang w:eastAsia="zh-CN"/>
        </w:rPr>
        <w:t xml:space="preserve">1. </w:t>
      </w:r>
      <w:r>
        <w:rPr>
          <w:rFonts w:hint="eastAsia"/>
          <w:lang w:eastAsia="zh-CN"/>
        </w:rPr>
        <w:t>招标条件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40" w:firstLineChars="200"/>
        <w:textAlignment w:val="auto"/>
        <w:rPr>
          <w:rFonts w:hint="eastAsia" w:ascii="方正仿宋_GBK" w:hAnsi="方正仿宋_GBK" w:eastAsia="方正仿宋_GBK" w:cs="方正仿宋_GBK"/>
          <w:spacing w:val="-2"/>
          <w:sz w:val="32"/>
          <w:szCs w:val="32"/>
          <w:lang w:eastAsia="zh-CN"/>
        </w:rPr>
      </w:pPr>
      <w:r>
        <w:rPr>
          <w:rFonts w:hint="eastAsia" w:ascii="方正仿宋_GBK" w:hAnsi="方正仿宋_GBK" w:eastAsia="方正仿宋_GBK" w:cs="方正仿宋_GBK"/>
          <w:sz w:val="32"/>
          <w:szCs w:val="32"/>
          <w:lang w:eastAsia="zh-CN"/>
        </w:rPr>
        <w:t>本招标项目</w:t>
      </w:r>
      <w:r>
        <w:rPr>
          <w:rFonts w:hint="eastAsia" w:ascii="方正仿宋_GBK" w:hAnsi="方正仿宋_GBK" w:eastAsia="方正仿宋_GBK" w:cs="方正仿宋_GBK"/>
          <w:spacing w:val="-1"/>
          <w:sz w:val="32"/>
          <w:szCs w:val="32"/>
          <w:lang w:eastAsia="zh-CN"/>
        </w:rPr>
        <w:t>招标人</w:t>
      </w:r>
      <w:r>
        <w:rPr>
          <w:rFonts w:hint="eastAsia" w:ascii="方正仿宋_GBK" w:hAnsi="方正仿宋_GBK" w:eastAsia="方正仿宋_GBK" w:cs="方正仿宋_GBK"/>
          <w:spacing w:val="-1"/>
          <w:sz w:val="32"/>
          <w:szCs w:val="32"/>
          <w:u w:val="none" w:color="auto"/>
          <w:lang w:eastAsia="zh-CN"/>
        </w:rPr>
        <w:t>为</w:t>
      </w:r>
      <w:r>
        <w:rPr>
          <w:rFonts w:hint="eastAsia" w:ascii="方正仿宋_GBK" w:hAnsi="方正仿宋_GBK" w:eastAsia="方正仿宋_GBK" w:cs="方正仿宋_GBK"/>
          <w:sz w:val="32"/>
          <w:szCs w:val="32"/>
          <w:u w:val="none" w:color="auto"/>
          <w:lang w:eastAsia="zh-CN"/>
        </w:rPr>
        <w:t>国网青海省电力公司</w:t>
      </w:r>
      <w:r>
        <w:rPr>
          <w:rFonts w:hint="eastAsia" w:ascii="方正仿宋_GBK" w:hAnsi="方正仿宋_GBK" w:eastAsia="方正仿宋_GBK" w:cs="方正仿宋_GBK"/>
          <w:spacing w:val="-1"/>
          <w:sz w:val="32"/>
          <w:szCs w:val="32"/>
          <w:u w:val="none" w:color="auto"/>
          <w:lang w:eastAsia="zh-CN"/>
        </w:rPr>
        <w:t>，招标项目资金来自</w:t>
      </w:r>
      <w:r>
        <w:rPr>
          <w:rFonts w:hint="eastAsia" w:ascii="方正仿宋_GBK" w:hAnsi="方正仿宋_GBK" w:eastAsia="方正仿宋_GBK" w:cs="方正仿宋_GBK"/>
          <w:color w:val="auto"/>
          <w:sz w:val="32"/>
          <w:szCs w:val="32"/>
          <w:highlight w:val="none"/>
          <w:u w:val="none" w:color="auto"/>
        </w:rPr>
        <w:t>项目单位自筹、银行贷款</w:t>
      </w:r>
      <w:r>
        <w:rPr>
          <w:rFonts w:hint="eastAsia" w:ascii="方正仿宋_GBK" w:hAnsi="方正仿宋_GBK" w:eastAsia="方正仿宋_GBK" w:cs="方正仿宋_GBK"/>
          <w:spacing w:val="-13"/>
          <w:sz w:val="32"/>
          <w:szCs w:val="32"/>
          <w:u w:val="none" w:color="auto"/>
          <w:lang w:eastAsia="zh-CN"/>
        </w:rPr>
        <w:t>，出资比例为100%</w:t>
      </w:r>
      <w:r>
        <w:rPr>
          <w:rFonts w:hint="eastAsia" w:ascii="方正仿宋_GBK" w:hAnsi="方正仿宋_GBK" w:eastAsia="方正仿宋_GBK" w:cs="方正仿宋_GBK"/>
          <w:spacing w:val="-4"/>
          <w:sz w:val="32"/>
          <w:szCs w:val="32"/>
          <w:u w:val="none" w:color="auto"/>
          <w:lang w:eastAsia="zh-CN"/>
        </w:rPr>
        <w:t>。该项目已具备招标条</w:t>
      </w:r>
      <w:r>
        <w:rPr>
          <w:rFonts w:hint="eastAsia" w:ascii="方正仿宋_GBK" w:hAnsi="方正仿宋_GBK" w:eastAsia="方正仿宋_GBK" w:cs="方正仿宋_GBK"/>
          <w:spacing w:val="-1"/>
          <w:sz w:val="32"/>
          <w:szCs w:val="32"/>
          <w:u w:val="none" w:color="auto"/>
          <w:lang w:eastAsia="zh-CN"/>
        </w:rPr>
        <w:t>件，现对该项目</w:t>
      </w:r>
      <w:r>
        <w:rPr>
          <w:rFonts w:hint="eastAsia" w:ascii="方正仿宋_GBK" w:hAnsi="方正仿宋_GBK" w:eastAsia="方正仿宋_GBK" w:cs="方正仿宋_GBK"/>
          <w:spacing w:val="-2"/>
          <w:sz w:val="32"/>
          <w:szCs w:val="32"/>
          <w:u w:val="none" w:color="auto"/>
          <w:lang w:eastAsia="zh-CN"/>
        </w:rPr>
        <w:t>采购进行公开招标</w:t>
      </w:r>
      <w:r>
        <w:rPr>
          <w:rFonts w:hint="eastAsia" w:ascii="方正仿宋_GBK" w:hAnsi="方正仿宋_GBK" w:eastAsia="方正仿宋_GBK" w:cs="方正仿宋_GBK"/>
          <w:spacing w:val="-2"/>
          <w:sz w:val="32"/>
          <w:szCs w:val="32"/>
          <w:lang w:eastAsia="zh-CN"/>
        </w:rPr>
        <w:t>。</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招标人委托国网青海电力招标代理有限公司（以下简称“招标代理机构”），采用公开招标方式邀请有兴趣的合格投标人（以下简称“投标人”）就国网青海省电力公司2021年第</w:t>
      </w:r>
      <w:r>
        <w:rPr>
          <w:rFonts w:hint="eastAsia" w:cs="方正仿宋_GBK"/>
          <w:sz w:val="32"/>
          <w:szCs w:val="32"/>
          <w:lang w:eastAsia="zh-CN"/>
        </w:rPr>
        <w:t>一</w:t>
      </w:r>
      <w:r>
        <w:rPr>
          <w:rFonts w:hint="eastAsia" w:ascii="方正仿宋_GBK" w:hAnsi="方正仿宋_GBK" w:eastAsia="方正仿宋_GBK" w:cs="方正仿宋_GBK"/>
          <w:sz w:val="32"/>
          <w:szCs w:val="32"/>
          <w:lang w:eastAsia="zh-CN"/>
        </w:rPr>
        <w:t>次配网物资协议库存招标采购项目的供货和服务提交密封的有竞争性的投标文件。</w:t>
      </w:r>
      <w:bookmarkStart w:id="2" w:name="_bookmark3"/>
      <w:bookmarkEnd w:id="2"/>
    </w:p>
    <w:p>
      <w:pPr>
        <w:pStyle w:val="3"/>
        <w:bidi w:val="0"/>
        <w:ind w:firstLine="320" w:firstLineChars="10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2. 项目概况与招标范围</w:t>
      </w:r>
    </w:p>
    <w:p>
      <w:pPr>
        <w:adjustRightInd w:val="0"/>
        <w:snapToGrid w:val="0"/>
        <w:ind w:firstLine="315" w:firstLineChars="98"/>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t>招标货物及其数量、合同包个数</w:t>
      </w:r>
    </w:p>
    <w:tbl>
      <w:tblPr>
        <w:tblStyle w:val="34"/>
        <w:tblW w:w="9378" w:type="dxa"/>
        <w:jc w:val="center"/>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33"/>
        <w:gridCol w:w="2084"/>
        <w:gridCol w:w="671"/>
        <w:gridCol w:w="903"/>
        <w:gridCol w:w="993"/>
        <w:gridCol w:w="1018"/>
        <w:gridCol w:w="227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33"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分标编号</w:t>
            </w:r>
          </w:p>
        </w:tc>
        <w:tc>
          <w:tcPr>
            <w:tcW w:w="2084"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货物名称</w:t>
            </w:r>
          </w:p>
        </w:tc>
        <w:tc>
          <w:tcPr>
            <w:tcW w:w="671"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单位</w:t>
            </w:r>
          </w:p>
        </w:tc>
        <w:tc>
          <w:tcPr>
            <w:tcW w:w="903"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数量</w:t>
            </w:r>
          </w:p>
        </w:tc>
        <w:tc>
          <w:tcPr>
            <w:tcW w:w="2011" w:type="dxa"/>
            <w:gridSpan w:val="2"/>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合同包</w:t>
            </w:r>
          </w:p>
        </w:tc>
        <w:tc>
          <w:tcPr>
            <w:tcW w:w="2276"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20"/>
                <w:szCs w:val="20"/>
                <w:lang w:eastAsia="zh-CN"/>
              </w:rPr>
            </w:pPr>
            <w:r>
              <w:rPr>
                <w:rFonts w:hint="eastAsia" w:ascii="宋体" w:hAnsi="宋体" w:eastAsia="宋体" w:cs="宋体"/>
                <w:b/>
                <w:sz w:val="20"/>
                <w:szCs w:val="20"/>
                <w:lang w:eastAsia="zh-CN"/>
              </w:rPr>
              <w:t>自买方发出《供货单》后要求的交货期</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1433" w:type="dxa"/>
            <w:vMerge w:val="continue"/>
            <w:tcBorders>
              <w:tl2br w:val="nil"/>
              <w:tr2bl w:val="nil"/>
            </w:tcBorders>
            <w:vAlign w:val="center"/>
          </w:tcPr>
          <w:p>
            <w:pPr>
              <w:adjustRightInd w:val="0"/>
              <w:snapToGrid w:val="0"/>
              <w:jc w:val="center"/>
              <w:rPr>
                <w:rFonts w:hint="eastAsia" w:ascii="宋体" w:hAnsi="宋体" w:eastAsia="宋体" w:cs="宋体"/>
                <w:b/>
                <w:sz w:val="20"/>
                <w:szCs w:val="20"/>
                <w:lang w:eastAsia="zh-CN"/>
              </w:rPr>
            </w:pPr>
          </w:p>
        </w:tc>
        <w:tc>
          <w:tcPr>
            <w:tcW w:w="2084" w:type="dxa"/>
            <w:vMerge w:val="continue"/>
            <w:tcBorders>
              <w:tl2br w:val="nil"/>
              <w:tr2bl w:val="nil"/>
            </w:tcBorders>
            <w:vAlign w:val="bottom"/>
          </w:tcPr>
          <w:p>
            <w:pPr>
              <w:adjustRightInd w:val="0"/>
              <w:snapToGrid w:val="0"/>
              <w:jc w:val="center"/>
              <w:rPr>
                <w:rFonts w:hint="eastAsia" w:ascii="宋体" w:hAnsi="宋体" w:eastAsia="宋体" w:cs="宋体"/>
                <w:b/>
                <w:sz w:val="20"/>
                <w:szCs w:val="20"/>
                <w:lang w:eastAsia="zh-CN"/>
              </w:rPr>
            </w:pPr>
          </w:p>
        </w:tc>
        <w:tc>
          <w:tcPr>
            <w:tcW w:w="671" w:type="dxa"/>
            <w:vMerge w:val="continue"/>
            <w:tcBorders>
              <w:tl2br w:val="nil"/>
              <w:tr2bl w:val="nil"/>
            </w:tcBorders>
            <w:vAlign w:val="bottom"/>
          </w:tcPr>
          <w:p>
            <w:pPr>
              <w:adjustRightInd w:val="0"/>
              <w:snapToGrid w:val="0"/>
              <w:jc w:val="center"/>
              <w:rPr>
                <w:rFonts w:hint="eastAsia" w:ascii="宋体" w:hAnsi="宋体" w:eastAsia="宋体" w:cs="宋体"/>
                <w:b/>
                <w:sz w:val="20"/>
                <w:szCs w:val="20"/>
                <w:lang w:eastAsia="zh-CN"/>
              </w:rPr>
            </w:pPr>
          </w:p>
        </w:tc>
        <w:tc>
          <w:tcPr>
            <w:tcW w:w="903" w:type="dxa"/>
            <w:vMerge w:val="continue"/>
            <w:tcBorders>
              <w:tl2br w:val="nil"/>
              <w:tr2bl w:val="nil"/>
            </w:tcBorders>
            <w:vAlign w:val="bottom"/>
          </w:tcPr>
          <w:p>
            <w:pPr>
              <w:adjustRightInd w:val="0"/>
              <w:snapToGrid w:val="0"/>
              <w:jc w:val="center"/>
              <w:rPr>
                <w:rFonts w:hint="eastAsia" w:ascii="宋体" w:hAnsi="宋体" w:eastAsia="宋体" w:cs="宋体"/>
                <w:b/>
                <w:sz w:val="20"/>
                <w:szCs w:val="20"/>
                <w:lang w:eastAsia="zh-CN"/>
              </w:rPr>
            </w:pPr>
          </w:p>
        </w:tc>
        <w:tc>
          <w:tcPr>
            <w:tcW w:w="993" w:type="dxa"/>
            <w:tcBorders>
              <w:tl2br w:val="nil"/>
              <w:tr2bl w:val="nil"/>
            </w:tcBorders>
            <w:vAlign w:val="bottom"/>
          </w:tcPr>
          <w:p>
            <w:pPr>
              <w:adjustRightInd w:val="0"/>
              <w:snapToGrid w:val="0"/>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个数</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20"/>
                <w:szCs w:val="20"/>
                <w:lang w:eastAsia="zh-CN"/>
              </w:rPr>
            </w:pPr>
            <w:r>
              <w:rPr>
                <w:rFonts w:hint="eastAsia" w:ascii="宋体" w:hAnsi="宋体" w:eastAsia="宋体" w:cs="宋体"/>
                <w:b/>
                <w:sz w:val="20"/>
                <w:szCs w:val="20"/>
                <w:lang w:eastAsia="zh-CN"/>
              </w:rPr>
              <w:t>包号</w:t>
            </w:r>
          </w:p>
        </w:tc>
        <w:tc>
          <w:tcPr>
            <w:tcW w:w="2276" w:type="dxa"/>
            <w:vMerge w:val="continue"/>
            <w:tcBorders>
              <w:tl2br w:val="nil"/>
              <w:tr2bl w:val="nil"/>
            </w:tcBorders>
          </w:tcPr>
          <w:p>
            <w:pPr>
              <w:adjustRightInd w:val="0"/>
              <w:snapToGrid w:val="0"/>
              <w:jc w:val="center"/>
              <w:rPr>
                <w:rFonts w:hint="eastAsia" w:ascii="宋体" w:hAnsi="宋体" w:eastAsia="宋体" w:cs="宋体"/>
                <w:b/>
                <w:sz w:val="20"/>
                <w:szCs w:val="20"/>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2821AA-1022001-0002</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高压熔断器（喷射式）</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1427</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2821AA-1035006-0002</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一二次融合成套柱上断路器（深度融合）</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套</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370</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w:t>
            </w:r>
          </w:p>
        </w:tc>
        <w:tc>
          <w:tcPr>
            <w:tcW w:w="1018"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包1~包2</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2821AA-1010001-0002</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10kV三相隔离开关（封闭式）</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组</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850</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包1~包2</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2821AA-1016004-9998</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低压开关柜</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台</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61</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2821AA-1107007-0003</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配电终端(TTU)</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套</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1000</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包1~包2</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2821AA-1410007-9999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复合绝缘横担</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套</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3555</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2821AA-1406030-9999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接地铁</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付</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1080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2821AA-1502009-9999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防鸟设备</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台</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62165</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2821AA-1401007-9999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水泥制品</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块</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95370</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4</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包1~包4</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2821AA-1401014-9999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超高性能混凝土杆</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根</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850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2821AA-1405014-9999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拉紧绝缘子</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29522</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2821AA-1307013-0001</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通信单元</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530700</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5</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包1~包5</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2821AA-1307013-0002</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通信单元</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126500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2821AA-1307013-0003</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通信单元</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64000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2821AA-1307013-0004</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通信单元</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85600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2821AA-1307013-0005</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通信单元</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43200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1</w:t>
            </w:r>
          </w:p>
        </w:tc>
        <w:tc>
          <w:tcPr>
            <w:tcW w:w="101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包1</w:t>
            </w:r>
          </w:p>
        </w:tc>
        <w:tc>
          <w:tcPr>
            <w:tcW w:w="2276"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20"/>
                <w:szCs w:val="20"/>
                <w:lang w:val="en-US" w:eastAsia="zh-CN"/>
              </w:rPr>
            </w:pPr>
            <w:r>
              <w:rPr>
                <w:rFonts w:hint="eastAsia" w:ascii="宋体" w:hAnsi="宋体" w:eastAsia="宋体" w:cs="宋体"/>
                <w:b w:val="0"/>
                <w:bCs/>
                <w:sz w:val="20"/>
                <w:szCs w:val="20"/>
                <w:lang w:val="en-US" w:eastAsia="zh-CN"/>
              </w:rPr>
              <w:t>以采购供货单为准</w:t>
            </w:r>
          </w:p>
        </w:tc>
      </w:tr>
    </w:tbl>
    <w:p>
      <w:pPr>
        <w:adjustRightInd w:val="0"/>
        <w:snapToGrid w:val="0"/>
        <w:ind w:left="0" w:leftChars="0" w:firstLine="0" w:firstLineChars="0"/>
        <w:jc w:val="center"/>
        <w:rPr>
          <w:rFonts w:hint="eastAsia" w:ascii="宋体" w:hAnsi="宋体" w:eastAsia="宋体" w:cs="宋体"/>
          <w:b w:val="0"/>
          <w:bCs/>
          <w:sz w:val="20"/>
          <w:szCs w:val="20"/>
          <w:lang w:val="en-US" w:eastAsia="zh-CN"/>
        </w:rPr>
      </w:pPr>
    </w:p>
    <w:p>
      <w:pPr>
        <w:spacing w:before="15"/>
        <w:ind w:firstLine="103" w:firstLineChars="49"/>
        <w:rPr>
          <w:b/>
          <w:sz w:val="21"/>
          <w:szCs w:val="21"/>
          <w:lang w:eastAsia="zh-CN"/>
        </w:rPr>
      </w:pPr>
      <w:r>
        <w:rPr>
          <w:rFonts w:hint="eastAsia"/>
          <w:b/>
          <w:sz w:val="21"/>
          <w:szCs w:val="21"/>
          <w:lang w:eastAsia="zh-CN"/>
        </w:rPr>
        <w:t>货物清单单独成册，是本公告附件。</w:t>
      </w:r>
    </w:p>
    <w:p>
      <w:pPr>
        <w:pStyle w:val="3"/>
        <w:bidi w:val="0"/>
        <w:ind w:left="0" w:firstLine="320" w:firstLineChars="100"/>
        <w:rPr>
          <w:rFonts w:hint="eastAsia" w:ascii="方正黑体_GBK" w:hAnsi="方正黑体_GBK" w:eastAsia="方正黑体_GBK" w:cs="方正黑体_GBK"/>
          <w:lang w:eastAsia="zh-CN"/>
        </w:rPr>
      </w:pPr>
      <w:bookmarkStart w:id="3" w:name="_bookmark4"/>
      <w:bookmarkEnd w:id="3"/>
      <w:r>
        <w:rPr>
          <w:rFonts w:hint="eastAsia" w:ascii="方正黑体_GBK" w:hAnsi="方正黑体_GBK" w:eastAsia="方正黑体_GBK" w:cs="方正黑体_GBK"/>
          <w:lang w:eastAsia="zh-CN"/>
        </w:rPr>
        <w:t>3. 投标人资格要求</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bookmarkStart w:id="4" w:name="_bookmark5"/>
      <w:bookmarkEnd w:id="4"/>
      <w:r>
        <w:rPr>
          <w:rFonts w:hint="eastAsia" w:ascii="方正仿宋_GBK" w:hAnsi="方正仿宋_GBK" w:eastAsia="方正仿宋_GBK" w:cs="方正仿宋_GBK"/>
          <w:sz w:val="32"/>
          <w:szCs w:val="32"/>
          <w:lang w:eastAsia="zh-CN"/>
        </w:rPr>
        <w:t>本次招标要求投标人须为中华人民共和国境内依法注册的法人或其他组织，须具备相应货物的制造能力，并在人员、设备、资金等方面具有保障如期交货等承担招标项目的能力。除特别注明外，这些资格、资质、业绩均系投标人本企业所拥有的权利权益。</w:t>
      </w:r>
    </w:p>
    <w:p>
      <w:pPr>
        <w:pStyle w:val="4"/>
        <w:bidi w:val="0"/>
        <w:ind w:firstLine="320" w:firstLineChars="100"/>
        <w:rPr>
          <w:rFonts w:hint="eastAsia"/>
          <w:lang w:eastAsia="zh-CN"/>
        </w:rPr>
      </w:pPr>
      <w:r>
        <w:rPr>
          <w:rFonts w:hint="eastAsia"/>
          <w:lang w:eastAsia="zh-CN"/>
        </w:rPr>
        <w:t>3.1 通用资格要求：</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1）必须具有生产投标产品所需的生产场地、生产设备、生产人员、产品及元器件检测能力。这些制造、检测能力应当分别相等或者优于《2021年版配（农）网物资供应商资质能力核实标准》（国家电网公司电子商务平台公开发布）提出的制造、检测设备。</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（2）设计制造过</w:t>
      </w:r>
      <w:r>
        <w:rPr>
          <w:rFonts w:hint="eastAsia" w:cs="方正仿宋_GBK"/>
          <w:sz w:val="32"/>
          <w:szCs w:val="32"/>
          <w:lang w:val="en-US" w:eastAsia="zh-CN"/>
        </w:rPr>
        <w:t>程</w:t>
      </w:r>
      <w:r>
        <w:rPr>
          <w:rFonts w:hint="eastAsia" w:ascii="方正仿宋_GBK" w:hAnsi="方正仿宋_GBK" w:eastAsia="方正仿宋_GBK" w:cs="方正仿宋_GBK"/>
          <w:sz w:val="32"/>
          <w:szCs w:val="32"/>
          <w:lang w:eastAsia="zh-CN"/>
        </w:rPr>
        <w:t>与投标产品相同结构、相同型式、同等或以上技术规格的产品。在与规范相同或较规范更严格的条件下，该产品的投运数量及其成功运行时间或者合同数量满足要求。如同一包内存在不同类别的设备，则投标人须分别满足包内各类别设备的资格要求。</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3）投标产品以及专门资格条件接受外购外协的产品、组件，取得国际专业权威机构或者国家级专业检验检测机构出具的产品有效试验报告，且试验报告检测项目、结果数据、检测有效期符合相应产品最新国家、行业标准以及本次招标技术规范的规定：</w:t>
      </w:r>
    </w:p>
    <w:p>
      <w:pPr>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国家、行业已经发布相应产品标准的，投标人须取得国家级权威检验检测机构出具的型式试验报告；</w:t>
      </w:r>
    </w:p>
    <w:p>
      <w:pPr>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国家、行业尚未发布相应产品标准的，投标人须取得国家级权威检验检测机构出具的专业检测报告。专业检测是指国家电网公司新技术产品或者根据现场运行需要，委托国家级检验检测机构公开邀请进行的专门检测活动。</w:t>
      </w:r>
    </w:p>
    <w:p>
      <w:pPr>
        <w:keepNext w:val="0"/>
        <w:keepLines w:val="0"/>
        <w:pageBreakBefore w:val="0"/>
        <w:kinsoku/>
        <w:wordWrap/>
        <w:overflowPunct/>
        <w:topLinePunct w:val="0"/>
        <w:autoSpaceDE/>
        <w:autoSpaceDN/>
        <w:bidi w:val="0"/>
        <w:spacing w:line="240" w:lineRule="auto"/>
        <w:ind w:left="0" w:leftChars="0" w:firstLine="0" w:firstLineChars="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各类试验报告均系针对具体型式规格产品的试验报告。</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（4）取得国家法律、法规、部门规章规定的有效许可证件。</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（5）投标人取得有效的ISO9000系列质量保证体系认证书。</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（6）取得招标文件要求的有效认证证书。</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（7）法定代表人或单位负责人为同一人或者存在控股、管理关系的不同单位，不得参加同一标包投标或者未划分标包的同一招标项目投标。</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（8）应有良好的财务状况，具体要求详见招标文件</w:t>
      </w:r>
      <w:r>
        <w:rPr>
          <w:rFonts w:hint="eastAsia" w:ascii="方正仿宋_GBK" w:hAnsi="方正仿宋_GBK" w:eastAsia="方正仿宋_GBK" w:cs="方正仿宋_GBK"/>
          <w:sz w:val="32"/>
          <w:szCs w:val="32"/>
          <w:highlight w:val="none"/>
          <w:lang w:eastAsia="zh-CN"/>
        </w:rPr>
        <w:t>第2章投标人须知第3.5.2规</w:t>
      </w:r>
      <w:r>
        <w:rPr>
          <w:rFonts w:hint="eastAsia" w:ascii="方正仿宋_GBK" w:hAnsi="方正仿宋_GBK" w:eastAsia="方正仿宋_GBK" w:cs="方正仿宋_GBK"/>
          <w:sz w:val="32"/>
          <w:szCs w:val="32"/>
          <w:lang w:eastAsia="zh-CN"/>
        </w:rPr>
        <w:t>定。</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（9）本招标活动不接受贴牌代工的投标以及其他任何分包行为的投标。</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10</w:t>
      </w:r>
      <w:r>
        <w:rPr>
          <w:rFonts w:hint="eastAsia" w:ascii="方正仿宋_GBK" w:hAnsi="方正仿宋_GBK" w:eastAsia="方正仿宋_GBK" w:cs="方正仿宋_GBK"/>
          <w:sz w:val="32"/>
          <w:szCs w:val="32"/>
          <w:lang w:eastAsia="zh-CN"/>
        </w:rPr>
        <w:t>）提供的同类材料未因该材料原因出现过质量问题（或出现过质量问题，但已采取了有效的整改措施及善后处理，并通过国家电网公司或所在省公司的验收。</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（1</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lang w:eastAsia="zh-CN"/>
        </w:rPr>
        <w:t>）在国内材料销售合同执行过程中，未因严重质量问题而造成批量退货（退货量占合同金额10%及以上）或严重影响施工，或出现过其它重大问题，但已采取了有效的整改措施及善后处理，并通过国家电网公司或所在省公司的验收。</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（1</w:t>
      </w: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lang w:eastAsia="zh-CN"/>
        </w:rPr>
        <w:t>）在国内材料销售合同执行过程中，未因货物和/或投标人图纸的交付拖延问题而严重影响施工和工程进度，或出现过其它重大问题，但已采取了有效的整改措施及善后处理，并通过国家电网公司或所在国网省级电力公司的验收。</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（1</w:t>
      </w:r>
      <w:r>
        <w:rPr>
          <w:rFonts w:hint="eastAsia" w:ascii="方正仿宋_GBK" w:hAnsi="方正仿宋_GBK" w:eastAsia="方正仿宋_GBK" w:cs="方正仿宋_GBK"/>
          <w:sz w:val="32"/>
          <w:szCs w:val="32"/>
          <w:lang w:val="en-US" w:eastAsia="zh-CN"/>
        </w:rPr>
        <w:t>3</w:t>
      </w:r>
      <w:r>
        <w:rPr>
          <w:rFonts w:hint="eastAsia" w:ascii="方正仿宋_GBK" w:hAnsi="方正仿宋_GBK" w:eastAsia="方正仿宋_GBK" w:cs="方正仿宋_GBK"/>
          <w:sz w:val="32"/>
          <w:szCs w:val="32"/>
          <w:lang w:eastAsia="zh-CN"/>
        </w:rPr>
        <w:t>）按照《国家电网公司供应商不良行为处理管理细则》规定，未存在因不良行为导致本批次暂停、取消或永久取消中标资格的。</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（1</w:t>
      </w: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lang w:eastAsia="zh-CN"/>
        </w:rPr>
        <w:t>）投标人不得选配国家电网公司《关于供应商不良行为处理情况的通报》和青海省电力公司《关于供应商不良行为处理的通报/公告》（此名称应与各单位在ECP平台中发布的不良行为处理公告名称保持一致）中正在接受暂停中标资格、取消中标资格的制造商或外购外协供应商或代理（集成服务）原厂商的相应处理范围内的产品。</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15）根据《企业信息公示暂行条例》，投标人不得被工商行政管理机关在国家企业信用信息公示系统中列入“经营异常名录”或者“严重违法失信企业名单”。（查询日期应在投标截止日前20天内，查询结果应为网站自动生成的PDF文件），未提供有效国家企业信用信息公示系统（www.gsxt.gov.cn）查询结果的，其投标文件作否决投标处理。</w:t>
      </w:r>
    </w:p>
    <w:p>
      <w:pPr>
        <w:keepNext w:val="0"/>
        <w:keepLines w:val="0"/>
        <w:pageBreakBefore w:val="0"/>
        <w:kinsoku/>
        <w:wordWrap/>
        <w:overflowPunct/>
        <w:topLinePunct w:val="0"/>
        <w:autoSpaceDE/>
        <w:autoSpaceDN/>
        <w:bidi w:val="0"/>
        <w:spacing w:line="240" w:lineRule="auto"/>
        <w:ind w:left="0" w:leftChars="0" w:firstLine="640" w:firstLineChars="200"/>
        <w:textAlignment w:val="auto"/>
        <w:rPr>
          <w:rFonts w:hint="eastAsia" w:ascii="方正仿宋_GBK" w:hAnsi="方正仿宋_GBK" w:eastAsia="方正仿宋_GBK" w:cs="方正仿宋_GBK"/>
          <w:sz w:val="32"/>
          <w:szCs w:val="32"/>
          <w:highlight w:val="yellow"/>
          <w:lang w:eastAsia="zh-CN"/>
        </w:rPr>
      </w:pPr>
      <w:r>
        <w:rPr>
          <w:rFonts w:hint="eastAsia" w:ascii="方正仿宋_GBK" w:hAnsi="方正仿宋_GBK" w:eastAsia="方正仿宋_GBK" w:cs="方正仿宋_GBK"/>
          <w:sz w:val="32"/>
          <w:szCs w:val="32"/>
          <w:lang w:val="en-US" w:eastAsia="zh-CN"/>
        </w:rPr>
        <w:t>（16）根据最高人民法院、国家发展改革委、国家铁路局等九部门联合印发的《关于在招标投标活动中对失信被执行人实施联合惩戒的通知》（法〔2016〕285号），投标人不得存在违法失信行为，不得被“信用中国”网站（www.creditchina.gov.cn）列入“黑名单”（查询日期应在投标截止日前20天内，查询结果应为网站自动生成的信用信息报告PDF文件），未提供有效“信用中国”网站（www.creditchina.gov.cn）查询结果的，其投标文件作否决投标处理。</w:t>
      </w:r>
    </w:p>
    <w:p>
      <w:pPr>
        <w:pStyle w:val="4"/>
        <w:bidi w:val="0"/>
        <w:ind w:firstLine="640" w:firstLineChars="200"/>
        <w:rPr>
          <w:rFonts w:hint="eastAsia" w:ascii="方正仿宋_GBK" w:hAnsi="方正仿宋_GBK" w:eastAsia="方正仿宋_GBK" w:cs="方正仿宋_GBK"/>
          <w:sz w:val="32"/>
          <w:szCs w:val="32"/>
          <w:lang w:eastAsia="zh-CN"/>
        </w:rPr>
      </w:pPr>
      <w:r>
        <w:rPr>
          <w:rFonts w:hint="eastAsia"/>
          <w:lang w:eastAsia="zh-CN"/>
        </w:rPr>
        <w:t>3.2各类货物专门具体资质业绩要求事项及其数据、状态分别如下：</w:t>
      </w:r>
    </w:p>
    <w:tbl>
      <w:tblPr>
        <w:tblStyle w:val="34"/>
        <w:tblW w:w="979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365"/>
        <w:gridCol w:w="954"/>
        <w:gridCol w:w="3443"/>
        <w:gridCol w:w="4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314" w:hRule="atLeast"/>
          <w:jc w:val="center"/>
        </w:trPr>
        <w:tc>
          <w:tcPr>
            <w:tcW w:w="1365"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i w:val="0"/>
                <w:color w:val="000000"/>
                <w:kern w:val="0"/>
                <w:sz w:val="18"/>
                <w:szCs w:val="18"/>
                <w:u w:val="none"/>
                <w:lang w:val="en-US" w:eastAsia="zh-CN" w:bidi="ar"/>
              </w:rPr>
            </w:pPr>
            <w:r>
              <w:rPr>
                <w:rFonts w:hint="eastAsia" w:asciiTheme="minorEastAsia" w:hAnsiTheme="minorEastAsia" w:eastAsiaTheme="minorEastAsia" w:cstheme="minorEastAsia"/>
                <w:b/>
                <w:bCs/>
                <w:sz w:val="18"/>
                <w:szCs w:val="18"/>
                <w:lang w:eastAsia="zh-CN"/>
              </w:rPr>
              <w:t>分标名称</w:t>
            </w:r>
          </w:p>
        </w:tc>
        <w:tc>
          <w:tcPr>
            <w:tcW w:w="95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eastAsia="zh-CN"/>
              </w:rPr>
              <w:t>业绩要求</w:t>
            </w:r>
          </w:p>
        </w:tc>
        <w:tc>
          <w:tcPr>
            <w:tcW w:w="3443"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eastAsia="zh-CN"/>
              </w:rPr>
              <w:t>生产试验设备</w:t>
            </w:r>
          </w:p>
        </w:tc>
        <w:tc>
          <w:tcPr>
            <w:tcW w:w="4033"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eastAsia="zh-CN"/>
              </w:rPr>
              <w:t>产品型式试验报告或检测报告或鉴定报告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55"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高压熔断器（喷射式）</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近三年累计销售业绩不少于300组</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default"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355"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一二次融合成套柱上断路器（深度融合）</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近三年累计销售业绩不少于100套</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default"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463"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10kV三相隔离开关（封闭式）</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default"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41"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低压开关柜</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近三年累计销售业绩不少于500台</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具有完整的制造、工艺装备和试验设备；具有同等电压等级及以上开关柜研发、设计、制造和出厂试验的能力</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95"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配电终端(TTU)</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近三年累计销售业绩不少于1000套</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具有同类型完整的制造、工艺装备和试验设备（需提供制造、工艺装备和试验设备清单）；具有同类型产品的研发、设计、制造和出厂检测能力</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82"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复合绝缘横担</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具有同类型完整的制造、工艺装备和试验设备（需提供制造、工艺装备和试验设备清单）；具有同类型产品的研发、设计、制造和出厂检测能力</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应提供国家认可第三方权威检测机构的有效的型式试验报告（检测报告或鉴定报告）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354"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接地铁</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应提供国家认可第三方权威检测机构的有效的型式试验报告（检测报告或鉴定报告）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14"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防鸟设备</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近三年累计销售业绩不少于100台</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具有完整的制造、工艺装备和试验设备（需提供制造、工艺装备和试验设备清单）；具有同类型产品研发、设计、制造和出厂检测的能力</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应提供国家认可第三方权威检测机构的有效的型式试验报告（检测报告或鉴定报告）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41"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水泥制品</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近三年累计销售业绩不少于500万元</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具有同类型完整的制造、工艺装备和试验设备（需提供制造、工艺装备和试验设备清单）；具有同类型产品的研发、设计、制造和出厂检测能力</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409"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超高性能混凝土杆</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具有同类型完整的制造、工艺装备和试验设备（需提供制造、工艺装备和试验设备清单）；具有同类型产品的研发、设计、制造和出厂检测能力</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450"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拉紧绝缘子</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近三年累计销售业绩不少于200000只</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具有同类型完整的制造、工艺装备和试验设备（需提供制造、工艺装备和试验设备清单）；具有同类型产品的研发、设计、制造和出厂检测能力</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723" w:hRule="atLeast"/>
          <w:jc w:val="center"/>
        </w:trPr>
        <w:tc>
          <w:tcPr>
            <w:tcW w:w="1365"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通信单元</w:t>
            </w:r>
          </w:p>
        </w:tc>
        <w:tc>
          <w:tcPr>
            <w:tcW w:w="954"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近三年累计销售业绩不少于20000只</w:t>
            </w:r>
          </w:p>
        </w:tc>
        <w:tc>
          <w:tcPr>
            <w:tcW w:w="344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具有同类型完整的制造、工艺装备和试验设备（需提供制造、工艺装备和试验设备清单）；具有同类型产品的研发、设计、制造和出厂检测能力</w:t>
            </w:r>
          </w:p>
        </w:tc>
        <w:tc>
          <w:tcPr>
            <w:tcW w:w="4033" w:type="dxa"/>
            <w:shd w:val="clear" w:color="auto" w:fill="FFFFFF" w:themeFill="background1"/>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000000"/>
                <w:kern w:val="0"/>
                <w:sz w:val="18"/>
                <w:szCs w:val="18"/>
                <w:highlight w:val="none"/>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具备国网计量检测中心检测证书</w:t>
            </w:r>
          </w:p>
        </w:tc>
      </w:tr>
    </w:tbl>
    <w:p>
      <w:pPr>
        <w:spacing w:line="360" w:lineRule="auto"/>
        <w:ind w:firstLine="435"/>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3.3本次招标不接受联合体投标。</w:t>
      </w:r>
    </w:p>
    <w:p>
      <w:pPr>
        <w:spacing w:line="360" w:lineRule="auto"/>
        <w:ind w:firstLine="435"/>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3.4本次招标不接受代理商投标。</w:t>
      </w:r>
    </w:p>
    <w:p>
      <w:pPr>
        <w:pStyle w:val="3"/>
        <w:bidi w:val="0"/>
        <w:ind w:left="0" w:firstLine="320" w:firstLineChars="10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4.招标文件获取</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4.1本次实行网上发售电子版招标文件，不再出售纸质招标文件。凡有意参加投标者，请于</w:t>
      </w:r>
      <w:r>
        <w:rPr>
          <w:rFonts w:hint="eastAsia" w:ascii="方正仿宋_GBK" w:hAnsi="方正仿宋_GBK" w:eastAsia="方正仿宋_GBK" w:cs="方正仿宋_GBK"/>
          <w:sz w:val="32"/>
          <w:szCs w:val="32"/>
          <w:highlight w:val="yellow"/>
          <w:lang w:eastAsia="zh-CN"/>
        </w:rPr>
        <w:t>2021年</w:t>
      </w:r>
      <w:r>
        <w:rPr>
          <w:rFonts w:hint="eastAsia" w:cs="方正仿宋_GBK"/>
          <w:sz w:val="32"/>
          <w:szCs w:val="32"/>
          <w:highlight w:val="yellow"/>
          <w:lang w:val="en-US" w:eastAsia="zh-CN"/>
        </w:rPr>
        <w:t>3</w:t>
      </w:r>
      <w:r>
        <w:rPr>
          <w:rFonts w:hint="eastAsia" w:ascii="方正仿宋_GBK" w:hAnsi="方正仿宋_GBK" w:eastAsia="方正仿宋_GBK" w:cs="方正仿宋_GBK"/>
          <w:sz w:val="32"/>
          <w:szCs w:val="32"/>
          <w:highlight w:val="yellow"/>
          <w:lang w:eastAsia="zh-CN"/>
        </w:rPr>
        <w:t>月</w:t>
      </w:r>
      <w:r>
        <w:rPr>
          <w:rFonts w:hint="eastAsia" w:ascii="方正仿宋_GBK" w:hAnsi="方正仿宋_GBK" w:eastAsia="方正仿宋_GBK" w:cs="方正仿宋_GBK"/>
          <w:sz w:val="32"/>
          <w:szCs w:val="32"/>
          <w:highlight w:val="yellow"/>
          <w:lang w:val="en-US" w:eastAsia="zh-CN"/>
        </w:rPr>
        <w:t>2</w:t>
      </w:r>
      <w:r>
        <w:rPr>
          <w:rFonts w:hint="eastAsia" w:cs="方正仿宋_GBK"/>
          <w:sz w:val="32"/>
          <w:szCs w:val="32"/>
          <w:highlight w:val="yellow"/>
          <w:lang w:val="en-US" w:eastAsia="zh-CN"/>
        </w:rPr>
        <w:t>5</w:t>
      </w:r>
      <w:r>
        <w:rPr>
          <w:rFonts w:hint="eastAsia" w:ascii="方正仿宋_GBK" w:hAnsi="方正仿宋_GBK" w:eastAsia="方正仿宋_GBK" w:cs="方正仿宋_GBK"/>
          <w:sz w:val="32"/>
          <w:szCs w:val="32"/>
          <w:highlight w:val="yellow"/>
          <w:lang w:eastAsia="zh-CN"/>
        </w:rPr>
        <w:t>日至2021年</w:t>
      </w:r>
      <w:r>
        <w:rPr>
          <w:rFonts w:hint="eastAsia" w:cs="方正仿宋_GBK"/>
          <w:sz w:val="32"/>
          <w:szCs w:val="32"/>
          <w:highlight w:val="yellow"/>
          <w:lang w:val="en-US" w:eastAsia="zh-CN"/>
        </w:rPr>
        <w:t>3</w:t>
      </w:r>
      <w:r>
        <w:rPr>
          <w:rFonts w:hint="eastAsia" w:ascii="方正仿宋_GBK" w:hAnsi="方正仿宋_GBK" w:eastAsia="方正仿宋_GBK" w:cs="方正仿宋_GBK"/>
          <w:sz w:val="32"/>
          <w:szCs w:val="32"/>
          <w:highlight w:val="yellow"/>
          <w:lang w:eastAsia="zh-CN"/>
        </w:rPr>
        <w:t>月</w:t>
      </w:r>
      <w:r>
        <w:rPr>
          <w:rFonts w:hint="eastAsia" w:cs="方正仿宋_GBK"/>
          <w:sz w:val="32"/>
          <w:szCs w:val="32"/>
          <w:highlight w:val="yellow"/>
          <w:lang w:val="en-US" w:eastAsia="zh-CN"/>
        </w:rPr>
        <w:t>30</w:t>
      </w:r>
      <w:r>
        <w:rPr>
          <w:rFonts w:hint="eastAsia" w:ascii="方正仿宋_GBK" w:hAnsi="方正仿宋_GBK" w:eastAsia="方正仿宋_GBK" w:cs="方正仿宋_GBK"/>
          <w:sz w:val="32"/>
          <w:szCs w:val="32"/>
          <w:highlight w:val="yellow"/>
          <w:lang w:eastAsia="zh-CN"/>
        </w:rPr>
        <w:t>日下午</w:t>
      </w:r>
      <w:r>
        <w:rPr>
          <w:rFonts w:hint="eastAsia" w:ascii="方正仿宋_GBK" w:hAnsi="方正仿宋_GBK" w:eastAsia="方正仿宋_GBK" w:cs="方正仿宋_GBK"/>
          <w:sz w:val="32"/>
          <w:szCs w:val="32"/>
          <w:lang w:eastAsia="zh-CN"/>
        </w:rPr>
        <w:t>17:30时前（北京时间），登陆招标人招投标信息系统（国家电网公司新一代电子商务平台：</w:t>
      </w:r>
      <w:r>
        <w:rPr>
          <w:rFonts w:hint="eastAsia" w:ascii="方正仿宋_GBK" w:hAnsi="方正仿宋_GBK" w:eastAsia="方正仿宋_GBK" w:cs="方正仿宋_GBK"/>
          <w:sz w:val="32"/>
          <w:szCs w:val="32"/>
          <w:lang w:eastAsia="zh-CN"/>
        </w:rPr>
        <w:fldChar w:fldCharType="begin"/>
      </w:r>
      <w:r>
        <w:rPr>
          <w:rFonts w:hint="eastAsia" w:ascii="方正仿宋_GBK" w:hAnsi="方正仿宋_GBK" w:eastAsia="方正仿宋_GBK" w:cs="方正仿宋_GBK"/>
          <w:sz w:val="32"/>
          <w:szCs w:val="32"/>
          <w:lang w:eastAsia="zh-CN"/>
        </w:rPr>
        <w:instrText xml:space="preserve"> HYPERLINK "https://ecp.sgcc.com.cn/ecp2.0/portal/）凭企业CA证书电子钥匙报名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 </w:instrText>
      </w:r>
      <w:r>
        <w:rPr>
          <w:rFonts w:hint="eastAsia" w:ascii="方正仿宋_GBK" w:hAnsi="方正仿宋_GBK" w:eastAsia="方正仿宋_GBK" w:cs="方正仿宋_GBK"/>
          <w:sz w:val="32"/>
          <w:szCs w:val="32"/>
          <w:lang w:eastAsia="zh-CN"/>
        </w:rPr>
        <w:fldChar w:fldCharType="separate"/>
      </w:r>
      <w:r>
        <w:rPr>
          <w:rFonts w:hint="eastAsia" w:ascii="方正仿宋_GBK" w:hAnsi="方正仿宋_GBK" w:eastAsia="方正仿宋_GBK" w:cs="方正仿宋_GBK"/>
          <w:sz w:val="32"/>
          <w:szCs w:val="32"/>
          <w:lang w:eastAsia="zh-CN"/>
        </w:rPr>
        <w:t>https://ecp.sgcc.com.cn/ecp2.0/portal/）凭企业CA证书电子钥匙</w:t>
      </w:r>
      <w:r>
        <w:rPr>
          <w:rFonts w:hint="eastAsia" w:ascii="方正仿宋_GBK" w:hAnsi="方正仿宋_GBK" w:eastAsia="方正仿宋_GBK" w:cs="方正仿宋_GBK"/>
          <w:sz w:val="32"/>
          <w:szCs w:val="32"/>
          <w:lang w:val="en-US" w:eastAsia="zh-CN"/>
        </w:rPr>
        <w:t>报名</w:t>
      </w:r>
      <w:r>
        <w:rPr>
          <w:rFonts w:hint="eastAsia" w:ascii="方正仿宋_GBK" w:hAnsi="方正仿宋_GBK" w:eastAsia="方正仿宋_GBK" w:cs="方正仿宋_GBK"/>
          <w:sz w:val="32"/>
          <w:szCs w:val="32"/>
          <w:lang w:eastAsia="zh-CN"/>
        </w:rPr>
        <w:t>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w:t>
      </w:r>
      <w:r>
        <w:rPr>
          <w:rFonts w:hint="eastAsia" w:ascii="方正仿宋_GBK" w:hAnsi="方正仿宋_GBK" w:eastAsia="方正仿宋_GBK" w:cs="方正仿宋_GBK"/>
          <w:sz w:val="32"/>
          <w:szCs w:val="32"/>
          <w:lang w:eastAsia="zh-CN"/>
        </w:rPr>
        <w:fldChar w:fldCharType="end"/>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lang w:eastAsia="zh-CN"/>
        </w:rPr>
        <w:t>.2招标文件（电子文件）免费获取，各潜在投标人无需支付获取招标文件款项。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lang w:eastAsia="zh-CN"/>
        </w:rPr>
        <w:t>.3</w:t>
      </w:r>
      <w:r>
        <w:rPr>
          <w:rFonts w:hint="eastAsia" w:ascii="方正仿宋_GBK" w:hAnsi="方正仿宋_GBK" w:eastAsia="方正仿宋_GBK" w:cs="方正仿宋_GBK"/>
          <w:sz w:val="32"/>
          <w:szCs w:val="32"/>
          <w:lang w:val="en-US" w:eastAsia="zh-CN"/>
        </w:rPr>
        <w:t>关于国家电网新一代电子商务平台的具体操作详见国家电网新一代电子商务平台首页（https://ecp.sgcc.com.cn/ecp2.0/portal/）的新手指南</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技术</w:t>
      </w:r>
      <w:r>
        <w:rPr>
          <w:rFonts w:hint="eastAsia" w:ascii="方正仿宋_GBK" w:hAnsi="方正仿宋_GBK" w:eastAsia="方正仿宋_GBK" w:cs="方正仿宋_GBK"/>
          <w:sz w:val="32"/>
          <w:szCs w:val="32"/>
          <w:lang w:eastAsia="zh-CN"/>
        </w:rPr>
        <w:t>支持</w:t>
      </w:r>
      <w:r>
        <w:rPr>
          <w:rFonts w:hint="eastAsia" w:ascii="方正仿宋_GBK" w:hAnsi="方正仿宋_GBK" w:eastAsia="方正仿宋_GBK" w:cs="方正仿宋_GBK"/>
          <w:sz w:val="32"/>
          <w:szCs w:val="32"/>
          <w:lang w:val="en-US" w:eastAsia="zh-CN"/>
        </w:rPr>
        <w:t>服务热线</w:t>
      </w:r>
      <w:r>
        <w:rPr>
          <w:rFonts w:hint="eastAsia" w:ascii="方正仿宋_GBK" w:hAnsi="方正仿宋_GBK" w:eastAsia="方正仿宋_GBK" w:cs="方正仿宋_GBK"/>
          <w:sz w:val="32"/>
          <w:szCs w:val="32"/>
          <w:lang w:eastAsia="zh-CN"/>
        </w:rPr>
        <w:t>：010-63411000。</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lang w:eastAsia="zh-CN"/>
        </w:rPr>
        <w:t>.4</w:t>
      </w:r>
      <w:r>
        <w:rPr>
          <w:rFonts w:hint="eastAsia" w:ascii="方正仿宋_GBK" w:hAnsi="方正仿宋_GBK" w:eastAsia="方正仿宋_GBK" w:cs="方正仿宋_GBK"/>
          <w:sz w:val="32"/>
          <w:szCs w:val="32"/>
          <w:lang w:val="en-US" w:eastAsia="zh-CN"/>
        </w:rPr>
        <w:t>投标</w:t>
      </w:r>
      <w:r>
        <w:rPr>
          <w:rFonts w:hint="eastAsia" w:ascii="方正仿宋_GBK" w:hAnsi="方正仿宋_GBK" w:eastAsia="方正仿宋_GBK" w:cs="方正仿宋_GBK"/>
          <w:sz w:val="32"/>
          <w:szCs w:val="32"/>
          <w:lang w:eastAsia="zh-CN"/>
        </w:rPr>
        <w:t>保证金</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投标人</w:t>
      </w:r>
      <w:r>
        <w:rPr>
          <w:rFonts w:hint="eastAsia" w:ascii="方正仿宋_GBK" w:hAnsi="方正仿宋_GBK" w:eastAsia="方正仿宋_GBK" w:cs="方正仿宋_GBK"/>
          <w:sz w:val="32"/>
          <w:szCs w:val="32"/>
          <w:lang w:eastAsia="zh-CN"/>
        </w:rPr>
        <w:t>应以所报价的标为单位提交</w:t>
      </w:r>
      <w:r>
        <w:rPr>
          <w:rFonts w:hint="eastAsia" w:ascii="方正仿宋_GBK" w:hAnsi="方正仿宋_GBK" w:eastAsia="方正仿宋_GBK" w:cs="方正仿宋_GBK"/>
          <w:sz w:val="32"/>
          <w:szCs w:val="32"/>
          <w:lang w:val="en-US" w:eastAsia="zh-CN"/>
        </w:rPr>
        <w:t>投标</w:t>
      </w:r>
      <w:r>
        <w:rPr>
          <w:rFonts w:hint="eastAsia" w:ascii="方正仿宋_GBK" w:hAnsi="方正仿宋_GBK" w:eastAsia="方正仿宋_GBK" w:cs="方正仿宋_GBK"/>
          <w:sz w:val="32"/>
          <w:szCs w:val="32"/>
          <w:lang w:eastAsia="zh-CN"/>
        </w:rPr>
        <w:t>保证金，作为</w:t>
      </w:r>
      <w:r>
        <w:rPr>
          <w:rFonts w:hint="eastAsia" w:ascii="方正仿宋_GBK" w:hAnsi="方正仿宋_GBK" w:eastAsia="方正仿宋_GBK" w:cs="方正仿宋_GBK"/>
          <w:sz w:val="32"/>
          <w:szCs w:val="32"/>
          <w:lang w:val="en-US" w:eastAsia="zh-CN"/>
        </w:rPr>
        <w:t>投标</w:t>
      </w:r>
      <w:r>
        <w:rPr>
          <w:rFonts w:hint="eastAsia" w:ascii="方正仿宋_GBK" w:hAnsi="方正仿宋_GBK" w:eastAsia="方正仿宋_GBK" w:cs="方正仿宋_GBK"/>
          <w:sz w:val="32"/>
          <w:szCs w:val="32"/>
          <w:lang w:eastAsia="zh-CN"/>
        </w:rPr>
        <w:t>文件的组成部分之一。</w:t>
      </w:r>
      <w:r>
        <w:rPr>
          <w:rFonts w:hint="eastAsia" w:ascii="方正仿宋_GBK" w:hAnsi="方正仿宋_GBK" w:eastAsia="方正仿宋_GBK" w:cs="方正仿宋_GBK"/>
          <w:sz w:val="32"/>
          <w:szCs w:val="32"/>
          <w:lang w:val="en-US" w:eastAsia="zh-CN"/>
        </w:rPr>
        <w:t>投标</w:t>
      </w:r>
      <w:r>
        <w:rPr>
          <w:rFonts w:hint="eastAsia" w:ascii="方正仿宋_GBK" w:hAnsi="方正仿宋_GBK" w:eastAsia="方正仿宋_GBK" w:cs="方正仿宋_GBK"/>
          <w:sz w:val="32"/>
          <w:szCs w:val="32"/>
          <w:lang w:eastAsia="zh-CN"/>
        </w:rPr>
        <w:t>保证金有效期与</w:t>
      </w:r>
      <w:r>
        <w:rPr>
          <w:rFonts w:hint="eastAsia" w:ascii="方正仿宋_GBK" w:hAnsi="方正仿宋_GBK" w:eastAsia="方正仿宋_GBK" w:cs="方正仿宋_GBK"/>
          <w:sz w:val="32"/>
          <w:szCs w:val="32"/>
          <w:lang w:val="en-US" w:eastAsia="zh-CN"/>
        </w:rPr>
        <w:t>投标</w:t>
      </w:r>
      <w:r>
        <w:rPr>
          <w:rFonts w:hint="eastAsia" w:ascii="方正仿宋_GBK" w:hAnsi="方正仿宋_GBK" w:eastAsia="方正仿宋_GBK" w:cs="方正仿宋_GBK"/>
          <w:sz w:val="32"/>
          <w:szCs w:val="32"/>
          <w:lang w:eastAsia="zh-CN"/>
        </w:rPr>
        <w:t>文件有效期一致。</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2）投标保证金的递交：投标保证金以分标为单位提交，且仅需提交所投分标中投标报价最高包的投标保证金。如投标人提交的投标保证金不足，则该分标中投标保证金不足包的投标将被否决。请投标人在递交投标保证金时务必注明所担保的分标名称，如未注明，则按照其所投分标的序号顺序从小到大依次核</w:t>
      </w:r>
      <w:r>
        <w:rPr>
          <w:rFonts w:hint="eastAsia" w:ascii="方正仿宋_GBK" w:hAnsi="方正仿宋_GBK" w:eastAsia="方正仿宋_GBK" w:cs="方正仿宋_GBK"/>
          <w:sz w:val="32"/>
          <w:szCs w:val="32"/>
          <w:lang w:eastAsia="zh-CN"/>
        </w:rPr>
        <w:t>定。</w:t>
      </w:r>
    </w:p>
    <w:tbl>
      <w:tblPr>
        <w:tblStyle w:val="34"/>
        <w:tblW w:w="8430" w:type="dxa"/>
        <w:jc w:val="center"/>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58"/>
        <w:gridCol w:w="407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包的投标价格</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包的投标保证金（元）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20万以下（不含20万）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可免于提交投标保证金</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20万－50万（含20万）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2,000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50万－100万（含50万）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5,000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100万－200万（含100万）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200万－300万（含200万）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300万－500万（含300万）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30,000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500万－700万（含500万）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50,000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700万－1000万（含700万）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70,000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1000万－2000万（含1000万）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2000万－3000万（含2000万）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3000万－4000万（含3000万）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300,000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4000万-6000万（含4000万）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6000万及以上（含6000万）</w:t>
            </w:r>
          </w:p>
        </w:tc>
        <w:tc>
          <w:tcPr>
            <w:tcW w:w="4072" w:type="dxa"/>
            <w:vAlign w:val="center"/>
          </w:tcPr>
          <w:p>
            <w:pPr>
              <w:tabs>
                <w:tab w:val="left" w:pos="620"/>
              </w:tabs>
              <w:spacing w:line="391" w:lineRule="exact"/>
              <w:ind w:firstLine="400" w:firstLineChars="200"/>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rPr>
              <w:t>800,000</w:t>
            </w:r>
          </w:p>
        </w:tc>
      </w:tr>
    </w:tbl>
    <w:p>
      <w:pPr>
        <w:tabs>
          <w:tab w:val="left" w:pos="620"/>
        </w:tabs>
        <w:spacing w:line="391" w:lineRule="exact"/>
        <w:ind w:firstLine="640" w:firstLineChars="200"/>
        <w:rPr>
          <w:rFonts w:hint="eastAsia" w:ascii="宋体" w:hAnsi="宋体" w:cs="宋体"/>
          <w:color w:val="auto"/>
          <w:szCs w:val="21"/>
          <w:highlight w:val="none"/>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A.以银行电汇形式提交的投标保证金，通过潜在投标人“基本账户”对公转账或汇款，不接受个人汇款。</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B.以银行保函形式提交的投标保证金，由信誉良好的具备开具保函资格的地市级及以上银行分行开出，有效期应与投标有效期一致。</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C.以保险形式提交的保证金，保险责任需满足招标人的要求，投标保证保险单作为有效的投标文件依据，由有经营该业务资格的省级保险公司开出。保险公司承担投标人投标违约行为的一切赔偿。</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D.投标保证金以保险、银行电汇或银行保函方式提交的，在付款用途栏（或摘要、备注、附言）写明（如：2821AA-1401007-9999</w:t>
      </w:r>
      <w:r>
        <w:rPr>
          <w:rFonts w:hint="eastAsia" w:ascii="方正仿宋_GBK" w:hAnsi="方正仿宋_GBK" w:eastAsia="方正仿宋_GBK" w:cs="方正仿宋_GBK"/>
          <w:sz w:val="32"/>
          <w:szCs w:val="32"/>
          <w:lang w:val="en-US" w:eastAsia="zh-CN"/>
        </w:rPr>
        <w:tab/>
      </w:r>
      <w:r>
        <w:rPr>
          <w:rFonts w:hint="eastAsia" w:ascii="方正仿宋_GBK" w:hAnsi="方正仿宋_GBK" w:eastAsia="方正仿宋_GBK" w:cs="方正仿宋_GBK"/>
          <w:sz w:val="32"/>
          <w:szCs w:val="32"/>
          <w:lang w:val="en-US" w:eastAsia="zh-CN"/>
        </w:rPr>
        <w:t>水泥制品保证金），并确保投标保证金在投标截止时间之前到账，投标人在递交投标文件的同时提供加盖公章的“基本账户银行开户许可证”（如已提交给过我公司财务并无变更的，可不提供）。</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收款单位：国网青海电力招标代理有限公司</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开户行：中国工商银行股份有限公司西宁宁新支行</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银行帐号：2806026809100002525</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投标人应提供证明其基本账户的开户许可证复印件并加盖公章，投标保证金应从其基本账户办理。投标人基本账户发生变化应及时通知招标人，因未及时通知而造成的一切责任自负。</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投标保证金联系人：</w:t>
      </w:r>
      <w:r>
        <w:rPr>
          <w:rFonts w:hint="eastAsia" w:cs="方正仿宋_GBK"/>
          <w:sz w:val="32"/>
          <w:szCs w:val="32"/>
          <w:lang w:val="en-US" w:eastAsia="zh-CN"/>
        </w:rPr>
        <w:t>石</w:t>
      </w:r>
      <w:r>
        <w:rPr>
          <w:rFonts w:hint="eastAsia" w:ascii="方正仿宋_GBK" w:hAnsi="方正仿宋_GBK" w:eastAsia="方正仿宋_GBK" w:cs="方正仿宋_GBK"/>
          <w:sz w:val="32"/>
          <w:szCs w:val="32"/>
          <w:lang w:val="en-US" w:eastAsia="zh-CN"/>
        </w:rPr>
        <w:t>女士          联系电话：0971-60768</w:t>
      </w:r>
      <w:r>
        <w:rPr>
          <w:rFonts w:hint="eastAsia" w:cs="方正仿宋_GBK"/>
          <w:sz w:val="32"/>
          <w:szCs w:val="32"/>
          <w:lang w:val="en-US" w:eastAsia="zh-CN"/>
        </w:rPr>
        <w:t>55</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退还投标保证金请联系：韩经理      联系电话：0971-6076719</w:t>
      </w:r>
    </w:p>
    <w:p>
      <w:pPr>
        <w:tabs>
          <w:tab w:val="left" w:pos="620"/>
        </w:tabs>
        <w:spacing w:line="391" w:lineRule="exact"/>
        <w:rPr>
          <w:rFonts w:hint="eastAsia" w:ascii="方正仿宋_GBK" w:hAnsi="方正仿宋_GBK" w:eastAsia="方正仿宋_GBK" w:cs="方正仿宋_GBK"/>
          <w:b w:val="0"/>
          <w:bCs w:val="0"/>
          <w:sz w:val="32"/>
          <w:szCs w:val="32"/>
          <w:lang w:eastAsia="zh-CN"/>
        </w:rPr>
      </w:pPr>
      <w:r>
        <w:rPr>
          <w:rFonts w:hint="eastAsia" w:ascii="方正仿宋_GBK" w:hAnsi="方正仿宋_GBK" w:eastAsia="方正仿宋_GBK" w:cs="方正仿宋_GBK"/>
          <w:b w:val="0"/>
          <w:bCs w:val="0"/>
          <w:color w:val="000000"/>
          <w:kern w:val="0"/>
          <w:sz w:val="32"/>
          <w:szCs w:val="32"/>
          <w:lang w:val="en-US" w:eastAsia="zh-CN" w:bidi="ar-SA"/>
        </w:rPr>
        <w:t>4.5缴纳投标保证金的扫描件请附在商务标书中，以备查！</w:t>
      </w:r>
    </w:p>
    <w:p>
      <w:pPr>
        <w:pStyle w:val="3"/>
        <w:bidi w:val="0"/>
        <w:ind w:left="0" w:firstLine="320" w:firstLineChars="10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5.投标文件的递交</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5.1投标文件递交的截止时间（投标截止时间）为：</w:t>
      </w:r>
      <w:r>
        <w:rPr>
          <w:rFonts w:hint="eastAsia" w:ascii="方正仿宋_GBK" w:hAnsi="方正仿宋_GBK" w:eastAsia="方正仿宋_GBK" w:cs="方正仿宋_GBK"/>
          <w:sz w:val="32"/>
          <w:szCs w:val="32"/>
          <w:highlight w:val="yellow"/>
          <w:lang w:val="en-US" w:eastAsia="zh-CN"/>
        </w:rPr>
        <w:t>202</w:t>
      </w:r>
      <w:r>
        <w:rPr>
          <w:rFonts w:hint="eastAsia" w:cs="方正仿宋_GBK"/>
          <w:sz w:val="32"/>
          <w:szCs w:val="32"/>
          <w:highlight w:val="yellow"/>
          <w:lang w:val="en-US" w:eastAsia="zh-CN"/>
        </w:rPr>
        <w:t>1</w:t>
      </w:r>
      <w:r>
        <w:rPr>
          <w:rFonts w:hint="eastAsia" w:ascii="方正仿宋_GBK" w:hAnsi="方正仿宋_GBK" w:eastAsia="方正仿宋_GBK" w:cs="方正仿宋_GBK"/>
          <w:sz w:val="32"/>
          <w:szCs w:val="32"/>
          <w:highlight w:val="yellow"/>
          <w:lang w:val="en-US" w:eastAsia="zh-CN"/>
        </w:rPr>
        <w:t>年</w:t>
      </w:r>
      <w:r>
        <w:rPr>
          <w:rFonts w:hint="eastAsia" w:cs="方正仿宋_GBK"/>
          <w:sz w:val="32"/>
          <w:szCs w:val="32"/>
          <w:highlight w:val="yellow"/>
          <w:lang w:val="en-US" w:eastAsia="zh-CN"/>
        </w:rPr>
        <w:t>4</w:t>
      </w:r>
      <w:r>
        <w:rPr>
          <w:rFonts w:hint="eastAsia" w:ascii="方正仿宋_GBK" w:hAnsi="方正仿宋_GBK" w:eastAsia="方正仿宋_GBK" w:cs="方正仿宋_GBK"/>
          <w:sz w:val="32"/>
          <w:szCs w:val="32"/>
          <w:highlight w:val="yellow"/>
          <w:lang w:val="en-US" w:eastAsia="zh-CN"/>
        </w:rPr>
        <w:t>月</w:t>
      </w:r>
      <w:r>
        <w:rPr>
          <w:rFonts w:hint="eastAsia" w:cs="方正仿宋_GBK"/>
          <w:sz w:val="32"/>
          <w:szCs w:val="32"/>
          <w:highlight w:val="yellow"/>
          <w:lang w:val="en-US" w:eastAsia="zh-CN"/>
        </w:rPr>
        <w:t>14</w:t>
      </w:r>
      <w:r>
        <w:rPr>
          <w:rFonts w:hint="eastAsia" w:ascii="方正仿宋_GBK" w:hAnsi="方正仿宋_GBK" w:eastAsia="方正仿宋_GBK" w:cs="方正仿宋_GBK"/>
          <w:sz w:val="32"/>
          <w:szCs w:val="32"/>
          <w:highlight w:val="yellow"/>
          <w:lang w:val="en-US" w:eastAsia="zh-CN"/>
        </w:rPr>
        <w:t>日</w:t>
      </w:r>
      <w:r>
        <w:rPr>
          <w:rFonts w:hint="eastAsia" w:cs="方正仿宋_GBK"/>
          <w:sz w:val="32"/>
          <w:szCs w:val="32"/>
          <w:highlight w:val="yellow"/>
          <w:lang w:val="en-US" w:eastAsia="zh-CN"/>
        </w:rPr>
        <w:t>14</w:t>
      </w:r>
      <w:r>
        <w:rPr>
          <w:rFonts w:hint="eastAsia" w:ascii="方正仿宋_GBK" w:hAnsi="方正仿宋_GBK" w:eastAsia="方正仿宋_GBK" w:cs="方正仿宋_GBK"/>
          <w:sz w:val="32"/>
          <w:szCs w:val="32"/>
          <w:highlight w:val="yellow"/>
          <w:lang w:val="en-US" w:eastAsia="zh-CN"/>
        </w:rPr>
        <w:t>:00</w:t>
      </w:r>
      <w:r>
        <w:rPr>
          <w:rFonts w:hint="eastAsia" w:ascii="方正仿宋_GBK" w:hAnsi="方正仿宋_GBK" w:eastAsia="方正仿宋_GBK" w:cs="方正仿宋_GBK"/>
          <w:sz w:val="32"/>
          <w:szCs w:val="32"/>
          <w:lang w:val="en-US" w:eastAsia="zh-CN"/>
        </w:rPr>
        <w:t>（北京时间），电子投标文件提交招标人招投标信息系统（电子商务平台）的截止时间同上。</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方正仿宋_GBK" w:hAnsi="方正仿宋_GBK" w:eastAsia="方正仿宋_GBK" w:cs="方正仿宋_GBK"/>
          <w:sz w:val="32"/>
          <w:szCs w:val="32"/>
          <w:highlight w:val="yellow"/>
          <w:lang w:val="en-US" w:eastAsia="zh-CN"/>
        </w:rPr>
      </w:pPr>
      <w:r>
        <w:rPr>
          <w:rFonts w:hint="eastAsia" w:ascii="方正仿宋_GBK" w:hAnsi="方正仿宋_GBK" w:eastAsia="方正仿宋_GBK" w:cs="方正仿宋_GBK"/>
          <w:sz w:val="32"/>
          <w:szCs w:val="32"/>
          <w:lang w:val="en-US" w:eastAsia="zh-CN"/>
        </w:rPr>
        <w:t>5.2投标文件的递交时间：</w:t>
      </w:r>
      <w:r>
        <w:rPr>
          <w:rFonts w:hint="eastAsia" w:ascii="方正仿宋_GBK" w:hAnsi="方正仿宋_GBK" w:eastAsia="方正仿宋_GBK" w:cs="方正仿宋_GBK"/>
          <w:sz w:val="32"/>
          <w:szCs w:val="32"/>
          <w:highlight w:val="yellow"/>
          <w:lang w:val="en-US" w:eastAsia="zh-CN"/>
        </w:rPr>
        <w:t>202</w:t>
      </w:r>
      <w:r>
        <w:rPr>
          <w:rFonts w:hint="eastAsia" w:cs="方正仿宋_GBK"/>
          <w:sz w:val="32"/>
          <w:szCs w:val="32"/>
          <w:highlight w:val="yellow"/>
          <w:lang w:val="en-US" w:eastAsia="zh-CN"/>
        </w:rPr>
        <w:t>1</w:t>
      </w:r>
      <w:r>
        <w:rPr>
          <w:rFonts w:hint="eastAsia" w:ascii="方正仿宋_GBK" w:hAnsi="方正仿宋_GBK" w:eastAsia="方正仿宋_GBK" w:cs="方正仿宋_GBK"/>
          <w:sz w:val="32"/>
          <w:szCs w:val="32"/>
          <w:highlight w:val="yellow"/>
          <w:lang w:val="en-US" w:eastAsia="zh-CN"/>
        </w:rPr>
        <w:t>年</w:t>
      </w:r>
      <w:r>
        <w:rPr>
          <w:rFonts w:hint="eastAsia" w:cs="方正仿宋_GBK"/>
          <w:sz w:val="32"/>
          <w:szCs w:val="32"/>
          <w:highlight w:val="yellow"/>
          <w:lang w:val="en-US" w:eastAsia="zh-CN"/>
        </w:rPr>
        <w:t>4</w:t>
      </w:r>
      <w:r>
        <w:rPr>
          <w:rFonts w:hint="eastAsia" w:ascii="方正仿宋_GBK" w:hAnsi="方正仿宋_GBK" w:eastAsia="方正仿宋_GBK" w:cs="方正仿宋_GBK"/>
          <w:sz w:val="32"/>
          <w:szCs w:val="32"/>
          <w:highlight w:val="yellow"/>
          <w:lang w:val="en-US" w:eastAsia="zh-CN"/>
        </w:rPr>
        <w:t>月1</w:t>
      </w:r>
      <w:r>
        <w:rPr>
          <w:rFonts w:hint="eastAsia" w:cs="方正仿宋_GBK"/>
          <w:sz w:val="32"/>
          <w:szCs w:val="32"/>
          <w:highlight w:val="yellow"/>
          <w:lang w:val="en-US" w:eastAsia="zh-CN"/>
        </w:rPr>
        <w:t>4</w:t>
      </w:r>
      <w:r>
        <w:rPr>
          <w:rFonts w:hint="eastAsia" w:ascii="方正仿宋_GBK" w:hAnsi="方正仿宋_GBK" w:eastAsia="方正仿宋_GBK" w:cs="方正仿宋_GBK"/>
          <w:sz w:val="32"/>
          <w:szCs w:val="32"/>
          <w:highlight w:val="yellow"/>
          <w:lang w:val="en-US" w:eastAsia="zh-CN"/>
        </w:rPr>
        <w:t>日</w:t>
      </w:r>
      <w:r>
        <w:rPr>
          <w:rFonts w:hint="eastAsia" w:cs="方正仿宋_GBK"/>
          <w:sz w:val="32"/>
          <w:szCs w:val="32"/>
          <w:highlight w:val="yellow"/>
          <w:lang w:val="en-US" w:eastAsia="zh-CN"/>
        </w:rPr>
        <w:t>9</w:t>
      </w:r>
      <w:r>
        <w:rPr>
          <w:rFonts w:hint="eastAsia" w:ascii="方正仿宋_GBK" w:hAnsi="方正仿宋_GBK" w:eastAsia="方正仿宋_GBK" w:cs="方正仿宋_GBK"/>
          <w:sz w:val="32"/>
          <w:szCs w:val="32"/>
          <w:highlight w:val="yellow"/>
          <w:lang w:val="en-US" w:eastAsia="zh-CN"/>
        </w:rPr>
        <w:t>:</w:t>
      </w:r>
      <w:r>
        <w:rPr>
          <w:rFonts w:hint="eastAsia" w:cs="方正仿宋_GBK"/>
          <w:sz w:val="32"/>
          <w:szCs w:val="32"/>
          <w:highlight w:val="yellow"/>
          <w:lang w:val="en-US" w:eastAsia="zh-CN"/>
        </w:rPr>
        <w:t>0</w:t>
      </w:r>
      <w:r>
        <w:rPr>
          <w:rFonts w:hint="eastAsia" w:ascii="方正仿宋_GBK" w:hAnsi="方正仿宋_GBK" w:eastAsia="方正仿宋_GBK" w:cs="方正仿宋_GBK"/>
          <w:sz w:val="32"/>
          <w:szCs w:val="32"/>
          <w:highlight w:val="yellow"/>
          <w:lang w:val="en-US" w:eastAsia="zh-CN"/>
        </w:rPr>
        <w:t>0-1</w:t>
      </w:r>
      <w:r>
        <w:rPr>
          <w:rFonts w:hint="eastAsia" w:cs="方正仿宋_GBK"/>
          <w:sz w:val="32"/>
          <w:szCs w:val="32"/>
          <w:highlight w:val="yellow"/>
          <w:lang w:val="en-US" w:eastAsia="zh-CN"/>
        </w:rPr>
        <w:t>1</w:t>
      </w:r>
      <w:r>
        <w:rPr>
          <w:rFonts w:hint="eastAsia" w:ascii="方正仿宋_GBK" w:hAnsi="方正仿宋_GBK" w:eastAsia="方正仿宋_GBK" w:cs="方正仿宋_GBK"/>
          <w:sz w:val="32"/>
          <w:szCs w:val="32"/>
          <w:highlight w:val="yellow"/>
          <w:lang w:val="en-US" w:eastAsia="zh-CN"/>
        </w:rPr>
        <w:t>:</w:t>
      </w:r>
      <w:r>
        <w:rPr>
          <w:rFonts w:hint="eastAsia" w:cs="方正仿宋_GBK"/>
          <w:sz w:val="32"/>
          <w:szCs w:val="32"/>
          <w:highlight w:val="yellow"/>
          <w:lang w:val="en-US" w:eastAsia="zh-CN"/>
        </w:rPr>
        <w:t>3</w:t>
      </w:r>
      <w:r>
        <w:rPr>
          <w:rFonts w:hint="eastAsia" w:ascii="方正仿宋_GBK" w:hAnsi="方正仿宋_GBK" w:eastAsia="方正仿宋_GBK" w:cs="方正仿宋_GBK"/>
          <w:sz w:val="32"/>
          <w:szCs w:val="32"/>
          <w:highlight w:val="yellow"/>
          <w:lang w:val="en-US" w:eastAsia="zh-CN"/>
        </w:rPr>
        <w:t>0</w:t>
      </w:r>
      <w:r>
        <w:rPr>
          <w:rFonts w:hint="eastAsia" w:cs="方正仿宋_GBK"/>
          <w:sz w:val="32"/>
          <w:szCs w:val="32"/>
          <w:highlight w:val="yellow"/>
          <w:lang w:val="en-US" w:eastAsia="zh-CN"/>
        </w:rPr>
        <w:t>、12</w:t>
      </w:r>
      <w:r>
        <w:rPr>
          <w:rFonts w:hint="eastAsia" w:ascii="方正仿宋_GBK" w:hAnsi="方正仿宋_GBK" w:eastAsia="方正仿宋_GBK" w:cs="方正仿宋_GBK"/>
          <w:sz w:val="32"/>
          <w:szCs w:val="32"/>
          <w:highlight w:val="yellow"/>
          <w:lang w:val="en-US" w:eastAsia="zh-CN"/>
        </w:rPr>
        <w:t>:</w:t>
      </w:r>
      <w:r>
        <w:rPr>
          <w:rFonts w:hint="eastAsia" w:cs="方正仿宋_GBK"/>
          <w:sz w:val="32"/>
          <w:szCs w:val="32"/>
          <w:highlight w:val="yellow"/>
          <w:lang w:val="en-US" w:eastAsia="zh-CN"/>
        </w:rPr>
        <w:t>3</w:t>
      </w:r>
      <w:r>
        <w:rPr>
          <w:rFonts w:hint="eastAsia" w:ascii="方正仿宋_GBK" w:hAnsi="方正仿宋_GBK" w:eastAsia="方正仿宋_GBK" w:cs="方正仿宋_GBK"/>
          <w:sz w:val="32"/>
          <w:szCs w:val="32"/>
          <w:highlight w:val="yellow"/>
          <w:lang w:val="en-US" w:eastAsia="zh-CN"/>
        </w:rPr>
        <w:t>0-1</w:t>
      </w:r>
      <w:r>
        <w:rPr>
          <w:rFonts w:hint="eastAsia" w:cs="方正仿宋_GBK"/>
          <w:sz w:val="32"/>
          <w:szCs w:val="32"/>
          <w:highlight w:val="yellow"/>
          <w:lang w:val="en-US" w:eastAsia="zh-CN"/>
        </w:rPr>
        <w:t>4</w:t>
      </w:r>
      <w:r>
        <w:rPr>
          <w:rFonts w:hint="eastAsia" w:ascii="方正仿宋_GBK" w:hAnsi="方正仿宋_GBK" w:eastAsia="方正仿宋_GBK" w:cs="方正仿宋_GBK"/>
          <w:sz w:val="32"/>
          <w:szCs w:val="32"/>
          <w:highlight w:val="yellow"/>
          <w:lang w:val="en-US" w:eastAsia="zh-CN"/>
        </w:rPr>
        <w:t>:</w:t>
      </w:r>
      <w:r>
        <w:rPr>
          <w:rFonts w:hint="eastAsia" w:cs="方正仿宋_GBK"/>
          <w:sz w:val="32"/>
          <w:szCs w:val="32"/>
          <w:highlight w:val="yellow"/>
          <w:lang w:val="en-US" w:eastAsia="zh-CN"/>
        </w:rPr>
        <w:t>0</w:t>
      </w:r>
      <w:r>
        <w:rPr>
          <w:rFonts w:hint="eastAsia" w:ascii="方正仿宋_GBK" w:hAnsi="方正仿宋_GBK" w:eastAsia="方正仿宋_GBK" w:cs="方正仿宋_GBK"/>
          <w:sz w:val="32"/>
          <w:szCs w:val="32"/>
          <w:highlight w:val="yellow"/>
          <w:lang w:val="en-US" w:eastAsia="zh-CN"/>
        </w:rPr>
        <w:t>0</w:t>
      </w:r>
      <w:r>
        <w:rPr>
          <w:rFonts w:hint="eastAsia" w:cs="方正仿宋_GBK"/>
          <w:sz w:val="32"/>
          <w:szCs w:val="32"/>
          <w:highlight w:val="yellow"/>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5.3投标文件的递交地点：西宁市生物科技产业园经四路12号国网青海电力招标代理有限公司一楼开标大厅。</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5.4投标人在完成标书制作后，需要在项目截标之前，在国家电网新一代电子商务平台，网址（https://ecp.sgcc.com.cn/ecp2.0/portal/）公共信息中下载国网青海省电力公司投标信息“二维码”软件（含操作手册），填写投标人相关信息及所投标包等内容并生成相应投标信息二维码图标(横版打印)，打印该二维码图标（该页无需封装），递交标书时现场扫描。投标人没有按时递交投标信息二维码文件或因投标人误填此文件引起的不一致或误解，将视为对招标文件的响应存在重要偏差，责任由投标人承担。请</w:t>
      </w:r>
      <w:r>
        <w:rPr>
          <w:rFonts w:hint="eastAsia" w:ascii="方正仿宋_GBK" w:hAnsi="方正仿宋_GBK" w:eastAsia="方正仿宋_GBK" w:cs="方正仿宋_GBK"/>
          <w:sz w:val="32"/>
          <w:szCs w:val="32"/>
          <w:highlight w:val="none"/>
          <w:lang w:val="en-US" w:eastAsia="zh-CN"/>
        </w:rPr>
        <w:t>以202</w:t>
      </w:r>
      <w:r>
        <w:rPr>
          <w:rFonts w:hint="eastAsia" w:cs="方正仿宋_GBK"/>
          <w:sz w:val="32"/>
          <w:szCs w:val="32"/>
          <w:highlight w:val="none"/>
          <w:lang w:val="en-US" w:eastAsia="zh-CN"/>
        </w:rPr>
        <w:t>1</w:t>
      </w:r>
      <w:r>
        <w:rPr>
          <w:rFonts w:hint="eastAsia" w:ascii="方正仿宋_GBK" w:hAnsi="方正仿宋_GBK" w:eastAsia="方正仿宋_GBK" w:cs="方正仿宋_GBK"/>
          <w:sz w:val="32"/>
          <w:szCs w:val="32"/>
          <w:highlight w:val="none"/>
          <w:lang w:val="en-US" w:eastAsia="zh-CN"/>
        </w:rPr>
        <w:t>年</w:t>
      </w:r>
      <w:r>
        <w:rPr>
          <w:rFonts w:hint="eastAsia" w:cs="方正仿宋_GBK"/>
          <w:sz w:val="32"/>
          <w:szCs w:val="32"/>
          <w:highlight w:val="none"/>
          <w:lang w:val="en-US" w:eastAsia="zh-CN"/>
        </w:rPr>
        <w:t>3</w:t>
      </w:r>
      <w:r>
        <w:rPr>
          <w:rFonts w:hint="eastAsia" w:ascii="方正仿宋_GBK" w:hAnsi="方正仿宋_GBK" w:eastAsia="方正仿宋_GBK" w:cs="方正仿宋_GBK"/>
          <w:sz w:val="32"/>
          <w:szCs w:val="32"/>
          <w:highlight w:val="none"/>
          <w:lang w:val="en-US" w:eastAsia="zh-CN"/>
        </w:rPr>
        <w:t>月</w:t>
      </w:r>
      <w:r>
        <w:rPr>
          <w:rFonts w:hint="eastAsia" w:cs="方正仿宋_GBK"/>
          <w:sz w:val="32"/>
          <w:szCs w:val="32"/>
          <w:highlight w:val="none"/>
          <w:lang w:val="en-US" w:eastAsia="zh-CN"/>
        </w:rPr>
        <w:t>24</w:t>
      </w:r>
      <w:r>
        <w:rPr>
          <w:rFonts w:hint="eastAsia" w:ascii="方正仿宋_GBK" w:hAnsi="方正仿宋_GBK" w:eastAsia="方正仿宋_GBK" w:cs="方正仿宋_GBK"/>
          <w:sz w:val="32"/>
          <w:szCs w:val="32"/>
          <w:highlight w:val="none"/>
          <w:lang w:val="en-US" w:eastAsia="zh-CN"/>
        </w:rPr>
        <w:t>日发布</w:t>
      </w:r>
      <w:r>
        <w:rPr>
          <w:rFonts w:hint="eastAsia" w:ascii="方正仿宋_GBK" w:hAnsi="方正仿宋_GBK" w:eastAsia="方正仿宋_GBK" w:cs="方正仿宋_GBK"/>
          <w:sz w:val="32"/>
          <w:szCs w:val="32"/>
          <w:lang w:val="en-US" w:eastAsia="zh-CN"/>
        </w:rPr>
        <w:t>的为准。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（注：编制二维码文件时需填写的分标编号、分标名称、包号等信息要求按照本公告附表“采购需求一览表”中对应的字段内容规范填写。）</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5.5特别提示：投标截止时间之前，逾期送达的投标文件，招标人不予受理。不接受邮寄方式提交投标文件及投标文件的修改文件；不接受未按规定封装的投标文件及投标文件的修改文件。</w:t>
      </w:r>
    </w:p>
    <w:p>
      <w:pPr>
        <w:pStyle w:val="3"/>
        <w:bidi w:val="0"/>
        <w:ind w:left="0" w:firstLine="320" w:firstLineChars="10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6.开标时间及地点</w:t>
      </w:r>
    </w:p>
    <w:p>
      <w:pPr>
        <w:tabs>
          <w:tab w:val="left" w:pos="620"/>
        </w:tabs>
        <w:spacing w:line="391" w:lineRule="exact"/>
        <w:ind w:firstLine="640" w:firstLineChars="200"/>
        <w:rPr>
          <w:rFonts w:hint="eastAsia" w:ascii="方正仿宋_GBK" w:hAnsi="方正仿宋_GBK" w:eastAsia="方正仿宋_GBK" w:cs="方正仿宋_GBK"/>
          <w:color w:val="000000"/>
          <w:kern w:val="0"/>
          <w:sz w:val="32"/>
          <w:szCs w:val="32"/>
        </w:rPr>
      </w:pPr>
      <w:bookmarkStart w:id="5" w:name="_Toc420509662"/>
      <w:r>
        <w:rPr>
          <w:rFonts w:hint="eastAsia" w:ascii="方正仿宋_GBK" w:hAnsi="方正仿宋_GBK" w:eastAsia="方正仿宋_GBK" w:cs="方正仿宋_GBK"/>
          <w:color w:val="000000"/>
          <w:kern w:val="0"/>
          <w:sz w:val="32"/>
          <w:szCs w:val="32"/>
          <w:lang w:val="en-US" w:eastAsia="zh-CN"/>
        </w:rPr>
        <w:t>6</w:t>
      </w:r>
      <w:r>
        <w:rPr>
          <w:rFonts w:hint="eastAsia" w:ascii="方正仿宋_GBK" w:hAnsi="方正仿宋_GBK" w:eastAsia="方正仿宋_GBK" w:cs="方正仿宋_GBK"/>
          <w:color w:val="000000"/>
          <w:kern w:val="0"/>
          <w:sz w:val="32"/>
          <w:szCs w:val="32"/>
        </w:rPr>
        <w:t>.1开标时间：</w:t>
      </w:r>
      <w:r>
        <w:rPr>
          <w:rFonts w:hint="eastAsia" w:ascii="方正仿宋_GBK" w:hAnsi="方正仿宋_GBK" w:eastAsia="方正仿宋_GBK" w:cs="方正仿宋_GBK"/>
          <w:color w:val="000000"/>
          <w:kern w:val="0"/>
          <w:sz w:val="32"/>
          <w:szCs w:val="32"/>
          <w:highlight w:val="yellow"/>
        </w:rPr>
        <w:t>202</w:t>
      </w:r>
      <w:r>
        <w:rPr>
          <w:rFonts w:hint="eastAsia" w:cs="方正仿宋_GBK"/>
          <w:color w:val="000000"/>
          <w:kern w:val="0"/>
          <w:sz w:val="32"/>
          <w:szCs w:val="32"/>
          <w:highlight w:val="yellow"/>
          <w:lang w:val="en-US" w:eastAsia="zh-CN"/>
        </w:rPr>
        <w:t>1</w:t>
      </w:r>
      <w:r>
        <w:rPr>
          <w:rFonts w:hint="eastAsia" w:ascii="方正仿宋_GBK" w:hAnsi="方正仿宋_GBK" w:eastAsia="方正仿宋_GBK" w:cs="方正仿宋_GBK"/>
          <w:color w:val="000000"/>
          <w:kern w:val="0"/>
          <w:sz w:val="32"/>
          <w:szCs w:val="32"/>
          <w:highlight w:val="yellow"/>
        </w:rPr>
        <w:t>年</w:t>
      </w:r>
      <w:r>
        <w:rPr>
          <w:rFonts w:hint="eastAsia" w:cs="方正仿宋_GBK"/>
          <w:color w:val="000000"/>
          <w:kern w:val="0"/>
          <w:sz w:val="32"/>
          <w:szCs w:val="32"/>
          <w:highlight w:val="yellow"/>
          <w:lang w:val="en-US" w:eastAsia="zh-CN"/>
        </w:rPr>
        <w:t>4</w:t>
      </w:r>
      <w:r>
        <w:rPr>
          <w:rFonts w:hint="eastAsia" w:ascii="方正仿宋_GBK" w:hAnsi="方正仿宋_GBK" w:eastAsia="方正仿宋_GBK" w:cs="方正仿宋_GBK"/>
          <w:color w:val="000000"/>
          <w:kern w:val="0"/>
          <w:sz w:val="32"/>
          <w:szCs w:val="32"/>
          <w:highlight w:val="yellow"/>
        </w:rPr>
        <w:t>月1</w:t>
      </w:r>
      <w:r>
        <w:rPr>
          <w:rFonts w:hint="eastAsia" w:cs="方正仿宋_GBK"/>
          <w:color w:val="000000"/>
          <w:kern w:val="0"/>
          <w:sz w:val="32"/>
          <w:szCs w:val="32"/>
          <w:highlight w:val="yellow"/>
          <w:lang w:val="en-US" w:eastAsia="zh-CN"/>
        </w:rPr>
        <w:t>4</w:t>
      </w:r>
      <w:r>
        <w:rPr>
          <w:rFonts w:hint="eastAsia" w:ascii="方正仿宋_GBK" w:hAnsi="方正仿宋_GBK" w:eastAsia="方正仿宋_GBK" w:cs="方正仿宋_GBK"/>
          <w:color w:val="000000"/>
          <w:kern w:val="0"/>
          <w:sz w:val="32"/>
          <w:szCs w:val="32"/>
          <w:highlight w:val="yellow"/>
        </w:rPr>
        <w:t>日</w:t>
      </w:r>
      <w:r>
        <w:rPr>
          <w:rFonts w:hint="eastAsia" w:cs="方正仿宋_GBK"/>
          <w:color w:val="000000"/>
          <w:kern w:val="0"/>
          <w:sz w:val="32"/>
          <w:szCs w:val="32"/>
          <w:highlight w:val="yellow"/>
          <w:lang w:val="en-US" w:eastAsia="zh-CN"/>
        </w:rPr>
        <w:t>14</w:t>
      </w:r>
      <w:r>
        <w:rPr>
          <w:rFonts w:hint="eastAsia" w:ascii="方正仿宋_GBK" w:hAnsi="方正仿宋_GBK" w:eastAsia="方正仿宋_GBK" w:cs="方正仿宋_GBK"/>
          <w:color w:val="000000"/>
          <w:kern w:val="0"/>
          <w:sz w:val="32"/>
          <w:szCs w:val="32"/>
          <w:highlight w:val="yellow"/>
        </w:rPr>
        <w:t>:00</w:t>
      </w:r>
      <w:r>
        <w:rPr>
          <w:rFonts w:hint="eastAsia" w:ascii="方正仿宋_GBK" w:hAnsi="方正仿宋_GBK" w:eastAsia="方正仿宋_GBK" w:cs="方正仿宋_GBK"/>
          <w:color w:val="000000"/>
          <w:kern w:val="0"/>
          <w:sz w:val="32"/>
          <w:szCs w:val="32"/>
        </w:rPr>
        <w:t>时整（北京时间）。</w:t>
      </w:r>
    </w:p>
    <w:p>
      <w:pPr>
        <w:tabs>
          <w:tab w:val="left" w:pos="620"/>
        </w:tabs>
        <w:spacing w:line="391"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lang w:val="en-US" w:eastAsia="zh-CN"/>
        </w:rPr>
        <w:t>6</w:t>
      </w:r>
      <w:r>
        <w:rPr>
          <w:rFonts w:hint="eastAsia" w:ascii="方正仿宋_GBK" w:hAnsi="方正仿宋_GBK" w:eastAsia="方正仿宋_GBK" w:cs="方正仿宋_GBK"/>
          <w:color w:val="000000"/>
          <w:kern w:val="0"/>
          <w:sz w:val="32"/>
          <w:szCs w:val="32"/>
        </w:rPr>
        <w:t>.2开标地点：青海省西宁市生物科技产业园经四路12号国网青海电力招标代理有限公司五楼会议室。</w:t>
      </w:r>
    </w:p>
    <w:p>
      <w:pPr>
        <w:tabs>
          <w:tab w:val="left" w:pos="620"/>
        </w:tabs>
        <w:spacing w:line="391"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lang w:val="en-US" w:eastAsia="zh-CN"/>
        </w:rPr>
        <w:t>6</w:t>
      </w:r>
      <w:r>
        <w:rPr>
          <w:rFonts w:hint="eastAsia" w:ascii="方正仿宋_GBK" w:hAnsi="方正仿宋_GBK" w:eastAsia="方正仿宋_GBK" w:cs="方正仿宋_GBK"/>
          <w:color w:val="000000"/>
          <w:kern w:val="0"/>
          <w:sz w:val="32"/>
          <w:szCs w:val="32"/>
        </w:rPr>
        <w:t>.3开标方式：采用网络直播方式进行开标（投标人代表无须现场参加开标会议，使用钉钉APP观看网络直播开标，开标会议二维码如下：）。</w:t>
      </w:r>
    </w:p>
    <w:p>
      <w:pPr>
        <w:pStyle w:val="2"/>
        <w:jc w:val="center"/>
        <w:rPr>
          <w:rFonts w:ascii="宋体" w:hAnsi="宋体"/>
          <w:color w:val="000000"/>
          <w:kern w:val="0"/>
          <w:sz w:val="20"/>
          <w:szCs w:val="20"/>
        </w:rPr>
      </w:pPr>
      <w:r>
        <w:rPr>
          <w:rFonts w:hint="eastAsia"/>
          <w:sz w:val="20"/>
        </w:rPr>
        <w:drawing>
          <wp:inline distT="0" distB="0" distL="114300" distR="114300">
            <wp:extent cx="1628775" cy="1743075"/>
            <wp:effectExtent l="0" t="0" r="9525" b="9525"/>
            <wp:docPr id="4" name="图片 4"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无标题"/>
                    <pic:cNvPicPr>
                      <a:picLocks noChangeAspect="1"/>
                    </pic:cNvPicPr>
                  </pic:nvPicPr>
                  <pic:blipFill>
                    <a:blip r:embed="rId7"/>
                    <a:stretch>
                      <a:fillRect/>
                    </a:stretch>
                  </pic:blipFill>
                  <pic:spPr>
                    <a:xfrm>
                      <a:off x="0" y="0"/>
                      <a:ext cx="1628775" cy="1743075"/>
                    </a:xfrm>
                    <a:prstGeom prst="rect">
                      <a:avLst/>
                    </a:prstGeom>
                  </pic:spPr>
                </pic:pic>
              </a:graphicData>
            </a:graphic>
          </wp:inline>
        </w:drawing>
      </w:r>
    </w:p>
    <w:p>
      <w:pPr>
        <w:pStyle w:val="3"/>
        <w:bidi w:val="0"/>
        <w:ind w:left="0" w:firstLine="320" w:firstLineChars="10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7.发布公告的媒介</w:t>
      </w:r>
      <w:bookmarkEnd w:id="5"/>
    </w:p>
    <w:p>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方正仿宋_GBK" w:hAnsi="方正仿宋_GBK" w:eastAsia="方正仿宋_GBK" w:cs="方正仿宋_GBK"/>
          <w:sz w:val="32"/>
          <w:szCs w:val="32"/>
          <w:lang w:val="en-US" w:eastAsia="zh-CN"/>
        </w:rPr>
      </w:pPr>
      <w:bookmarkStart w:id="6" w:name="_Toc420509663"/>
      <w:r>
        <w:rPr>
          <w:rFonts w:hint="eastAsia" w:ascii="方正仿宋_GBK" w:hAnsi="方正仿宋_GBK" w:eastAsia="方正仿宋_GBK" w:cs="方正仿宋_GBK"/>
          <w:sz w:val="32"/>
          <w:szCs w:val="32"/>
          <w:lang w:val="en-US" w:eastAsia="zh-CN"/>
        </w:rPr>
        <w:t>“中国招标投标公共服务平台”(http://www.cebpubservice.com/)、“国家电网公司新一代电子商务平台”(https://ecp.sgcc.com.cn/ecp2.0/portal/)、“青海项目信息网（</w:t>
      </w:r>
      <w:r>
        <w:rPr>
          <w:rFonts w:hint="eastAsia" w:ascii="方正仿宋_GBK" w:hAnsi="方正仿宋_GBK" w:eastAsia="方正仿宋_GBK" w:cs="方正仿宋_GBK"/>
          <w:sz w:val="32"/>
          <w:szCs w:val="32"/>
          <w:lang w:val="en-US" w:eastAsia="zh-CN"/>
        </w:rPr>
        <w:fldChar w:fldCharType="begin"/>
      </w:r>
      <w:r>
        <w:rPr>
          <w:rFonts w:hint="eastAsia" w:ascii="方正仿宋_GBK" w:hAnsi="方正仿宋_GBK" w:eastAsia="方正仿宋_GBK" w:cs="方正仿宋_GBK"/>
          <w:sz w:val="32"/>
          <w:szCs w:val="32"/>
          <w:lang w:val="en-US" w:eastAsia="zh-CN"/>
        </w:rPr>
        <w:instrText xml:space="preserve"> HYPERLINK "http://www.qhei.gov/" </w:instrText>
      </w:r>
      <w:r>
        <w:rPr>
          <w:rFonts w:hint="eastAsia" w:ascii="方正仿宋_GBK" w:hAnsi="方正仿宋_GBK" w:eastAsia="方正仿宋_GBK" w:cs="方正仿宋_GBK"/>
          <w:sz w:val="32"/>
          <w:szCs w:val="32"/>
          <w:lang w:val="en-US" w:eastAsia="zh-CN"/>
        </w:rPr>
        <w:fldChar w:fldCharType="separate"/>
      </w:r>
      <w:r>
        <w:rPr>
          <w:rFonts w:hint="eastAsia" w:ascii="方正仿宋_GBK" w:hAnsi="方正仿宋_GBK" w:eastAsia="方正仿宋_GBK" w:cs="方正仿宋_GBK"/>
          <w:sz w:val="32"/>
          <w:szCs w:val="32"/>
          <w:lang w:val="en-US" w:eastAsia="zh-CN"/>
        </w:rPr>
        <w:t>www.qhei.net.c</w:t>
      </w:r>
      <w:r>
        <w:rPr>
          <w:rFonts w:hint="eastAsia" w:ascii="方正仿宋_GBK" w:hAnsi="方正仿宋_GBK" w:eastAsia="方正仿宋_GBK" w:cs="方正仿宋_GBK"/>
          <w:sz w:val="32"/>
          <w:szCs w:val="32"/>
          <w:lang w:val="en-US" w:eastAsia="zh-CN"/>
        </w:rPr>
        <w:fldChar w:fldCharType="end"/>
      </w:r>
      <w:r>
        <w:rPr>
          <w:rFonts w:hint="eastAsia" w:ascii="方正仿宋_GBK" w:hAnsi="方正仿宋_GBK" w:eastAsia="方正仿宋_GBK" w:cs="方正仿宋_GBK"/>
          <w:sz w:val="32"/>
          <w:szCs w:val="32"/>
          <w:lang w:val="en-US" w:eastAsia="zh-CN"/>
        </w:rPr>
        <w:t>n）”上发布招标公告，招标公告将明确对投标人的资格要求、发售招标文件的日期和地点、投标、开标等事宜。</w:t>
      </w:r>
      <w:bookmarkEnd w:id="6"/>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8.招标人、招标代理机构及投标人关于招标代理服务费的三方约定</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投标人如果投标即视为同意此约定。投标人要严格按照附件3提供的“三方约定”内容进行签订并提供在商务投标文件中。</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9.合规声明</w:t>
      </w:r>
    </w:p>
    <w:p>
      <w:pPr>
        <w:spacing w:line="360" w:lineRule="auto"/>
        <w:ind w:firstLine="435"/>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招标文件如果发生可能与法律条规、国家标准不相一致、不相符合的条款表述，其不一致、不符合之处一律无效，并以国家相应规定为准。</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10.其他事项</w:t>
      </w:r>
    </w:p>
    <w:p>
      <w:pPr>
        <w:bidi w:val="0"/>
        <w:rPr>
          <w:rFonts w:hint="eastAsia"/>
          <w:lang w:val="en-US" w:eastAsia="zh-CN"/>
        </w:rPr>
      </w:pPr>
      <w:r>
        <w:rPr>
          <w:rFonts w:hint="eastAsia"/>
          <w:lang w:val="en-US" w:eastAsia="zh-CN"/>
        </w:rPr>
        <w:t>10.1</w:t>
      </w:r>
      <w:r>
        <w:rPr>
          <w:rFonts w:hint="eastAsia"/>
          <w:lang w:eastAsia="zh-CN"/>
        </w:rPr>
        <w:t>如</w:t>
      </w:r>
      <w:r>
        <w:rPr>
          <w:rFonts w:hint="eastAsia"/>
          <w:lang w:val="en-US" w:eastAsia="zh-CN"/>
        </w:rPr>
        <w:t>招标文件中其他章节内容与本章内容有不一致的，以本章内容为准。</w:t>
      </w:r>
    </w:p>
    <w:p>
      <w:pPr>
        <w:bidi w:val="0"/>
        <w:rPr>
          <w:rFonts w:hint="eastAsia"/>
          <w:lang w:val="en-US" w:eastAsia="zh-CN"/>
        </w:rPr>
      </w:pPr>
      <w:r>
        <w:rPr>
          <w:rFonts w:hint="eastAsia"/>
          <w:lang w:val="en-US" w:eastAsia="zh-CN"/>
        </w:rPr>
        <w:t>10.2由于青海地区对海拔有特殊要求，海拔及其他特殊要求，详见附件1:2821AA海拔修正及其他特殊要求和附件2的要求。</w:t>
      </w:r>
    </w:p>
    <w:p>
      <w:pPr>
        <w:bidi w:val="0"/>
        <w:rPr>
          <w:rFonts w:hint="eastAsia"/>
          <w:lang w:eastAsia="zh-CN"/>
        </w:rPr>
      </w:pPr>
      <w:r>
        <w:rPr>
          <w:rFonts w:hint="eastAsia"/>
          <w:lang w:val="en-US" w:eastAsia="zh-CN"/>
        </w:rPr>
        <w:t>10</w:t>
      </w:r>
      <w:r>
        <w:rPr>
          <w:rFonts w:hint="eastAsia"/>
          <w:lang w:eastAsia="zh-CN"/>
        </w:rPr>
        <w:t>.</w:t>
      </w:r>
      <w:r>
        <w:rPr>
          <w:rFonts w:hint="eastAsia"/>
          <w:lang w:val="en-US" w:eastAsia="zh-CN"/>
        </w:rPr>
        <w:t>3</w:t>
      </w:r>
      <w:r>
        <w:rPr>
          <w:rFonts w:hint="eastAsia"/>
          <w:lang w:eastAsia="zh-CN"/>
        </w:rPr>
        <w:t xml:space="preserve"> 同一包内同型号货物的投标单价应一致，否则其投标将被否决。</w:t>
      </w:r>
    </w:p>
    <w:p>
      <w:pPr>
        <w:bidi w:val="0"/>
        <w:rPr>
          <w:rFonts w:hint="eastAsia"/>
          <w:lang w:eastAsia="zh-CN"/>
        </w:rPr>
      </w:pPr>
      <w:r>
        <w:rPr>
          <w:rFonts w:hint="eastAsia"/>
          <w:lang w:val="en-US" w:eastAsia="zh-CN"/>
        </w:rPr>
        <w:t>10</w:t>
      </w:r>
      <w:r>
        <w:rPr>
          <w:rFonts w:hint="eastAsia"/>
          <w:lang w:eastAsia="zh-CN"/>
        </w:rPr>
        <w:t>.</w:t>
      </w:r>
      <w:r>
        <w:rPr>
          <w:rFonts w:hint="eastAsia"/>
          <w:lang w:val="en-US" w:eastAsia="zh-CN"/>
        </w:rPr>
        <w:t>4</w:t>
      </w:r>
      <w:r>
        <w:rPr>
          <w:rFonts w:hint="eastAsia"/>
          <w:lang w:eastAsia="zh-CN"/>
        </w:rPr>
        <w:t>本批协议库存均按数量（金额）划分标包，本次招标的协议库存需求为全省范围内预估需求计划，标包的项目地区不代表最终协议库存订单执行的地区，最终以订单执行实际下达的项目地区为准。报价中的运距由供应商根据青海实际地域情况自行测算。</w:t>
      </w:r>
    </w:p>
    <w:p>
      <w:pPr>
        <w:bidi w:val="0"/>
        <w:rPr>
          <w:rFonts w:hint="eastAsia"/>
          <w:lang w:val="en-US" w:eastAsia="zh-CN"/>
        </w:rPr>
      </w:pPr>
      <w:r>
        <w:rPr>
          <w:rFonts w:hint="eastAsia"/>
          <w:lang w:val="en-US" w:eastAsia="zh-CN"/>
        </w:rPr>
        <w:t>10.5青海公司将针对本批次采购的物资开展“实物ID”工作，合同签订环节增量设备标签安装相关要求如下：</w:t>
      </w:r>
    </w:p>
    <w:p>
      <w:pPr>
        <w:bidi w:val="0"/>
        <w:rPr>
          <w:rFonts w:hint="eastAsia"/>
          <w:lang w:val="en-US" w:eastAsia="zh-CN"/>
        </w:rPr>
      </w:pPr>
      <w:r>
        <w:rPr>
          <w:rFonts w:hint="eastAsia"/>
          <w:lang w:val="en-US" w:eastAsia="zh-CN"/>
        </w:rPr>
        <w:t>根据《电网资产统一身份编码建设推广实施总体工作方案》相关工作要求，为进一步推进电网资产统一身份编码推广实施工作，国网物资部及省级物资部门在合同签订环节需对供应商安装增量设备二维码标签和RFID标签明确以下要求：</w:t>
      </w:r>
    </w:p>
    <w:p>
      <w:pPr>
        <w:bidi w:val="0"/>
        <w:rPr>
          <w:rFonts w:hint="eastAsia"/>
          <w:lang w:val="en-US" w:eastAsia="zh-CN"/>
        </w:rPr>
      </w:pPr>
      <w:r>
        <w:rPr>
          <w:rFonts w:hint="eastAsia"/>
          <w:lang w:val="en-US" w:eastAsia="zh-CN"/>
        </w:rPr>
        <w:t>1.在采购合同中要求供应商使用“供应商获取实物ID编码及标签制作规范”微应用获取实物“ID”、二维码图案、《电网资产统一身份编码技术规范》（Q/GDW 11712—2017）、《电网资产统一身份编码物联网标签制作安装指导手册（增量分册）》，并按照规范进行设备铭牌一体化二维码标签的制作、安装，同时安装RFID标签。</w:t>
      </w:r>
    </w:p>
    <w:p>
      <w:pPr>
        <w:bidi w:val="0"/>
        <w:rPr>
          <w:rFonts w:hint="eastAsia"/>
          <w:lang w:val="en-US" w:eastAsia="zh-CN"/>
        </w:rPr>
      </w:pPr>
      <w:r>
        <w:rPr>
          <w:rFonts w:hint="eastAsia"/>
          <w:lang w:val="en-US" w:eastAsia="zh-CN"/>
        </w:rPr>
        <w:t>2.在采购合同中要求供应商使用“物资技术参数维护管理”微应用，进行设备技术参数维护。</w:t>
      </w:r>
    </w:p>
    <w:p>
      <w:pPr>
        <w:bidi w:val="0"/>
        <w:rPr>
          <w:rFonts w:hint="eastAsia"/>
          <w:lang w:val="en-US" w:eastAsia="zh-CN"/>
        </w:rPr>
      </w:pPr>
      <w:r>
        <w:rPr>
          <w:rFonts w:hint="eastAsia"/>
          <w:lang w:val="en-US" w:eastAsia="zh-CN"/>
        </w:rPr>
        <w:t>3. 根据国家电网公司信息安全相关管理规定，RFID电子标签须使用国密算法和国家电网公司安全秘钥。</w:t>
      </w:r>
    </w:p>
    <w:p>
      <w:pPr>
        <w:bidi w:val="0"/>
        <w:rPr>
          <w:rFonts w:hint="eastAsia"/>
          <w:lang w:val="en-US" w:eastAsia="zh-CN"/>
        </w:rPr>
      </w:pPr>
      <w:r>
        <w:rPr>
          <w:rFonts w:hint="eastAsia"/>
          <w:lang w:val="en-US" w:eastAsia="zh-CN"/>
        </w:rPr>
        <w:t>4.涉及的设备种类如下：</w:t>
      </w:r>
    </w:p>
    <w:p>
      <w:pPr>
        <w:bidi w:val="0"/>
        <w:rPr>
          <w:rFonts w:hint="eastAsia"/>
          <w:lang w:val="en-US" w:eastAsia="zh-CN"/>
        </w:rPr>
      </w:pPr>
      <w:r>
        <w:rPr>
          <w:rFonts w:hint="eastAsia"/>
          <w:lang w:val="en-US" w:eastAsia="zh-CN"/>
        </w:rPr>
        <w:t>（1）主网14类设备：主变压器、断路器、组合电器、隔离开关、电流互感器、电压互感器、电抗器、电力电容器、耦合电容器、接地变、站用变、开关柜、避雷器、消弧线圈。</w:t>
      </w:r>
    </w:p>
    <w:p>
      <w:pPr>
        <w:bidi w:val="0"/>
        <w:rPr>
          <w:rFonts w:hint="eastAsia"/>
          <w:lang w:val="en-US" w:eastAsia="zh-CN"/>
        </w:rPr>
      </w:pPr>
      <w:r>
        <w:rPr>
          <w:rFonts w:hint="eastAsia"/>
          <w:lang w:val="en-US" w:eastAsia="zh-CN"/>
        </w:rPr>
        <w:t>（2）配网2类设备：配电变压器、环网柜。</w:t>
      </w:r>
    </w:p>
    <w:p>
      <w:pPr>
        <w:bidi w:val="0"/>
        <w:rPr>
          <w:rFonts w:hint="eastAsia"/>
          <w:lang w:val="en-US" w:eastAsia="zh-CN"/>
        </w:rPr>
      </w:pPr>
      <w:r>
        <w:rPr>
          <w:rFonts w:hint="eastAsia"/>
          <w:lang w:val="en-US" w:eastAsia="zh-CN"/>
        </w:rPr>
        <w:t>（3）交流设备：充气柜、高压熔断器、消防系统（主变灭火装置）、串联补偿装置、母线、避雷针、接地网、穿墙套管</w:t>
      </w:r>
    </w:p>
    <w:p>
      <w:pPr>
        <w:bidi w:val="0"/>
        <w:rPr>
          <w:rFonts w:hint="eastAsia"/>
          <w:lang w:val="en-US" w:eastAsia="zh-CN"/>
        </w:rPr>
      </w:pPr>
      <w:r>
        <w:rPr>
          <w:rFonts w:hint="eastAsia"/>
          <w:lang w:val="en-US" w:eastAsia="zh-CN"/>
        </w:rPr>
        <w:t>（4）换流设备：换流站换流变压器、油浸式平波电抗器、干式平波电抗器、晶闸管换流阀、IGBT换流阀、直流转换开关、直流断路器、直流隔离开关、直流分压器、光电流互感器、零磁通电流互感器、阀内水冷系统、阀外水冷系统、阀外风冷系统、直流穿墙套管、直流滤波器、交流滤波器、直流避雷器、接地极、直流电容器、换流一次电抗器、阀厅空调、直流PLC调谐装置、调相机等（换流站中交流设备赋码范围参考变电站类型执行）</w:t>
      </w:r>
    </w:p>
    <w:p>
      <w:pPr>
        <w:bidi w:val="0"/>
        <w:rPr>
          <w:rFonts w:hint="eastAsia"/>
          <w:lang w:val="en-US" w:eastAsia="zh-CN"/>
        </w:rPr>
      </w:pPr>
      <w:r>
        <w:rPr>
          <w:rFonts w:hint="eastAsia"/>
          <w:lang w:val="en-US" w:eastAsia="zh-CN"/>
        </w:rPr>
        <w:t>（5）输电设备：架空线路、物理（运行）杆塔、电缆段、电缆终端、电缆接头、电缆接地箱、电缆分支箱、交叉互联箱、避雷器</w:t>
      </w:r>
    </w:p>
    <w:p>
      <w:pPr>
        <w:bidi w:val="0"/>
        <w:rPr>
          <w:rFonts w:hint="eastAsia"/>
          <w:lang w:val="en-US" w:eastAsia="zh-CN"/>
        </w:rPr>
      </w:pPr>
      <w:r>
        <w:rPr>
          <w:rFonts w:hint="eastAsia"/>
          <w:lang w:val="en-US" w:eastAsia="zh-CN"/>
        </w:rPr>
        <w:t>（6）配电设备：柱上开关、电缆分支箱、中压电杆</w:t>
      </w:r>
    </w:p>
    <w:p>
      <w:pPr>
        <w:bidi w:val="0"/>
        <w:rPr>
          <w:rFonts w:hint="eastAsia"/>
          <w:lang w:val="en-US" w:eastAsia="zh-CN"/>
        </w:rPr>
      </w:pPr>
      <w:r>
        <w:rPr>
          <w:rFonts w:hint="eastAsia"/>
          <w:lang w:val="en-US" w:eastAsia="zh-CN"/>
        </w:rPr>
        <w:t>（7）信息设备：主机设备、存储设备、网络设备、安全设备、辅助设备5大类26小类。</w:t>
      </w:r>
    </w:p>
    <w:p>
      <w:pPr>
        <w:bidi w:val="0"/>
        <w:rPr>
          <w:rFonts w:hint="eastAsia"/>
          <w:lang w:val="en-US" w:eastAsia="zh-CN"/>
        </w:rPr>
      </w:pPr>
      <w:r>
        <w:rPr>
          <w:rFonts w:hint="eastAsia"/>
          <w:lang w:val="en-US" w:eastAsia="zh-CN"/>
        </w:rPr>
        <w:t>（8）保护设备：继电保护设备、安全自动装置、动态记录装置、故障信息子站、操作箱、电压切换箱、收发信机、光电转换装置、光纤通信接口装置、合并单元、智能终端、合智一体装置、过程层交换机等13类设备</w:t>
      </w:r>
    </w:p>
    <w:p>
      <w:pPr>
        <w:bidi w:val="0"/>
        <w:rPr>
          <w:rFonts w:hint="eastAsia"/>
          <w:lang w:val="en-US" w:eastAsia="zh-CN"/>
        </w:rPr>
      </w:pPr>
      <w:r>
        <w:rPr>
          <w:rFonts w:hint="eastAsia"/>
          <w:lang w:val="en-US" w:eastAsia="zh-CN"/>
        </w:rPr>
        <w:t>（9）通信设备：SDH、OTN两类设备。</w:t>
      </w:r>
    </w:p>
    <w:p>
      <w:pPr>
        <w:bidi w:val="0"/>
        <w:rPr>
          <w:rFonts w:hint="eastAsia"/>
          <w:lang w:val="en-US" w:eastAsia="zh-CN"/>
        </w:rPr>
      </w:pPr>
      <w:r>
        <w:rPr>
          <w:rFonts w:hint="eastAsia"/>
          <w:lang w:val="en-US" w:eastAsia="zh-CN"/>
        </w:rPr>
        <w:t>5.本次采购物资必须符合国网青海省电力公司资产全寿命管理项目实物ID标签贴牌相关要求,设备实物ID标签的制作和安装执行《国网青海省电力公司实物ID电子标签安装规范》</w:t>
      </w:r>
    </w:p>
    <w:p>
      <w:pPr>
        <w:bidi w:val="0"/>
        <w:rPr>
          <w:rFonts w:hint="eastAsia"/>
          <w:lang w:val="en-US" w:eastAsia="zh-CN"/>
        </w:rPr>
      </w:pPr>
      <w:r>
        <w:rPr>
          <w:rFonts w:hint="eastAsia"/>
          <w:lang w:val="en-US" w:eastAsia="zh-CN"/>
        </w:rPr>
        <w:t>10.6档案移交的要求</w:t>
      </w:r>
    </w:p>
    <w:p>
      <w:pPr>
        <w:bidi w:val="0"/>
        <w:rPr>
          <w:rFonts w:hint="eastAsia"/>
          <w:lang w:val="en-US" w:eastAsia="zh-CN"/>
        </w:rPr>
      </w:pPr>
      <w:r>
        <w:rPr>
          <w:rFonts w:hint="eastAsia"/>
          <w:lang w:val="en-US" w:eastAsia="zh-CN"/>
        </w:rPr>
        <w:t>10.6.1中标人应根据国网公司档案管理办法、国网青海省电力公司档案管理有关规定，按照甲方要求，提供项目档案归档所需的厂家资料，并负责或配合项目实施方有关单位完成相关档案资料的整理及归档工作。</w:t>
      </w:r>
    </w:p>
    <w:p>
      <w:pPr>
        <w:bidi w:val="0"/>
        <w:rPr>
          <w:rFonts w:hint="eastAsia"/>
          <w:lang w:val="en-US" w:eastAsia="zh-CN"/>
        </w:rPr>
      </w:pPr>
      <w:r>
        <w:rPr>
          <w:rFonts w:hint="eastAsia"/>
          <w:lang w:val="en-US" w:eastAsia="zh-CN"/>
        </w:rPr>
        <w:t>10.6.2中标人应以档案级光盘或硬磁盘形式提供符合档案要求的电子版，所有文字材料为“双层PDF”格式，各类设备图纸为“DWF矢量图”格式，同时确保电子、纸质文件内容一致。</w:t>
      </w:r>
    </w:p>
    <w:p>
      <w:pPr>
        <w:bidi w:val="0"/>
        <w:rPr>
          <w:rFonts w:hint="eastAsia"/>
          <w:lang w:val="en-US" w:eastAsia="zh-CN"/>
        </w:rPr>
      </w:pPr>
      <w:r>
        <w:rPr>
          <w:rFonts w:hint="eastAsia"/>
          <w:lang w:val="en-US" w:eastAsia="zh-CN"/>
        </w:rPr>
        <w:t>10.6.3根据省公司要求凡涉及330kV、750kV工程项目中标人需补充完整纸质投标文件，所有档案资料要求内容准确、格式规范、齐全完整、字迹清晰、印章齐全有效，符合档案原始记录性、有机联系性和长久保存要求。</w:t>
      </w:r>
    </w:p>
    <w:p>
      <w:pPr>
        <w:pStyle w:val="3"/>
        <w:bidi w:val="0"/>
        <w:ind w:left="0" w:firstLine="320" w:firstLineChars="100"/>
        <w:rPr>
          <w:rFonts w:hint="eastAsia" w:ascii="方正黑体_GBK" w:hAnsi="方正黑体_GBK" w:eastAsia="方正黑体_GBK" w:cs="方正黑体_GBK"/>
          <w:lang w:val="en-US" w:eastAsia="zh-CN"/>
        </w:rPr>
      </w:pPr>
      <w:bookmarkStart w:id="7" w:name="_Toc420509651"/>
      <w:r>
        <w:rPr>
          <w:rFonts w:hint="eastAsia" w:ascii="方正黑体_GBK" w:hAnsi="方正黑体_GBK" w:eastAsia="方正黑体_GBK" w:cs="方正黑体_GBK"/>
          <w:lang w:val="en-US" w:eastAsia="zh-CN"/>
        </w:rPr>
        <w:t>11评标办法</w:t>
      </w:r>
    </w:p>
    <w:p>
      <w:pPr>
        <w:bidi w:val="0"/>
        <w:rPr>
          <w:rFonts w:hint="eastAsia"/>
          <w:lang w:val="en-US" w:eastAsia="zh-CN"/>
        </w:rPr>
      </w:pPr>
      <w:r>
        <w:rPr>
          <w:rFonts w:hint="eastAsia"/>
          <w:lang w:val="en-US" w:eastAsia="zh-CN"/>
        </w:rPr>
        <w:t>11.1评标办法</w:t>
      </w:r>
    </w:p>
    <w:p>
      <w:pPr>
        <w:bidi w:val="0"/>
        <w:rPr>
          <w:rFonts w:hint="eastAsia"/>
          <w:lang w:eastAsia="zh-CN"/>
        </w:rPr>
      </w:pPr>
      <w:r>
        <w:rPr>
          <w:rFonts w:hint="eastAsia"/>
          <w:lang w:val="en-US" w:eastAsia="zh-CN"/>
        </w:rPr>
        <w:t>11</w:t>
      </w:r>
      <w:r>
        <w:rPr>
          <w:rFonts w:hint="eastAsia"/>
          <w:lang w:eastAsia="zh-CN"/>
        </w:rPr>
        <w:t>.1.1采用综合评估法，分技术、商务、价格三个部分分别进行量化评审，每个部分满分均为100分，并按以下权重合计计算最终量化评审得分。</w:t>
      </w:r>
      <w:bookmarkEnd w:id="7"/>
    </w:p>
    <w:p>
      <w:pPr>
        <w:pStyle w:val="2"/>
        <w:rPr>
          <w:rFonts w:hint="eastAsia"/>
          <w:lang w:eastAsia="zh-CN"/>
        </w:rPr>
      </w:pPr>
    </w:p>
    <w:p>
      <w:pPr>
        <w:pStyle w:val="2"/>
        <w:rPr>
          <w:rFonts w:hint="eastAsia"/>
          <w:lang w:eastAsia="zh-CN"/>
        </w:rPr>
      </w:pPr>
    </w:p>
    <w:tbl>
      <w:tblPr>
        <w:tblStyle w:val="34"/>
        <w:tblpPr w:leftFromText="180" w:rightFromText="180" w:vertAnchor="text" w:horzAnchor="page" w:tblpX="1810" w:tblpY="257"/>
        <w:tblOverlap w:val="never"/>
        <w:tblW w:w="8336" w:type="dxa"/>
        <w:tblInd w:w="0" w:type="dxa"/>
        <w:tblLayout w:type="fixed"/>
        <w:tblCellMar>
          <w:top w:w="15" w:type="dxa"/>
          <w:left w:w="15" w:type="dxa"/>
          <w:bottom w:w="15" w:type="dxa"/>
          <w:right w:w="15" w:type="dxa"/>
        </w:tblCellMar>
      </w:tblPr>
      <w:tblGrid>
        <w:gridCol w:w="777"/>
        <w:gridCol w:w="2020"/>
        <w:gridCol w:w="3157"/>
        <w:gridCol w:w="794"/>
        <w:gridCol w:w="794"/>
        <w:gridCol w:w="794"/>
      </w:tblGrid>
      <w:tr>
        <w:tblPrEx>
          <w:tblLayout w:type="fixed"/>
          <w:tblCellMar>
            <w:top w:w="15" w:type="dxa"/>
            <w:left w:w="15" w:type="dxa"/>
            <w:bottom w:w="15" w:type="dxa"/>
            <w:right w:w="15" w:type="dxa"/>
          </w:tblCellMar>
        </w:tblPrEx>
        <w:trPr>
          <w:trHeight w:val="278" w:hRule="atLeast"/>
        </w:trPr>
        <w:tc>
          <w:tcPr>
            <w:tcW w:w="777" w:type="dxa"/>
            <w:vMerge w:val="restart"/>
            <w:tcBorders>
              <w:top w:val="single" w:color="000000" w:sz="4" w:space="0"/>
              <w:left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bCs/>
                <w:sz w:val="20"/>
                <w:szCs w:val="20"/>
                <w:highlight w:val="none"/>
                <w:lang w:eastAsia="zh-CN"/>
              </w:rPr>
            </w:pPr>
            <w:r>
              <w:rPr>
                <w:rFonts w:hint="eastAsia" w:ascii="宋体" w:hAnsi="宋体" w:eastAsia="宋体" w:cs="宋体"/>
                <w:b/>
                <w:bCs/>
                <w:sz w:val="20"/>
                <w:szCs w:val="20"/>
                <w:highlight w:val="none"/>
                <w:lang w:eastAsia="zh-CN"/>
              </w:rPr>
              <w:t>序号</w:t>
            </w:r>
          </w:p>
        </w:tc>
        <w:tc>
          <w:tcPr>
            <w:tcW w:w="2020"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b/>
                <w:bCs/>
                <w:sz w:val="20"/>
                <w:szCs w:val="20"/>
                <w:highlight w:val="none"/>
                <w:lang w:eastAsia="zh-CN"/>
              </w:rPr>
            </w:pPr>
            <w:r>
              <w:rPr>
                <w:rFonts w:hint="eastAsia" w:ascii="宋体" w:hAnsi="宋体" w:eastAsia="宋体" w:cs="宋体"/>
                <w:b/>
                <w:bCs/>
                <w:sz w:val="20"/>
                <w:szCs w:val="20"/>
                <w:highlight w:val="none"/>
                <w:lang w:eastAsia="zh-CN"/>
              </w:rPr>
              <w:t>分标编号</w:t>
            </w:r>
          </w:p>
        </w:tc>
        <w:tc>
          <w:tcPr>
            <w:tcW w:w="3157"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b/>
                <w:bCs/>
                <w:sz w:val="20"/>
                <w:szCs w:val="20"/>
                <w:highlight w:val="none"/>
                <w:lang w:eastAsia="zh-CN"/>
              </w:rPr>
            </w:pPr>
            <w:r>
              <w:rPr>
                <w:rFonts w:hint="eastAsia" w:ascii="宋体" w:hAnsi="宋体" w:eastAsia="宋体" w:cs="宋体"/>
                <w:b/>
                <w:bCs/>
                <w:sz w:val="20"/>
                <w:szCs w:val="20"/>
                <w:highlight w:val="none"/>
                <w:lang w:eastAsia="zh-CN"/>
              </w:rPr>
              <w:t>分标名称</w:t>
            </w:r>
          </w:p>
        </w:tc>
        <w:tc>
          <w:tcPr>
            <w:tcW w:w="2382"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 w:val="20"/>
                <w:szCs w:val="20"/>
                <w:highlight w:val="none"/>
                <w:lang w:eastAsia="zh-CN"/>
              </w:rPr>
            </w:pPr>
            <w:r>
              <w:rPr>
                <w:rFonts w:hint="eastAsia" w:ascii="宋体" w:hAnsi="宋体" w:eastAsia="宋体" w:cs="宋体"/>
                <w:b/>
                <w:bCs/>
                <w:sz w:val="20"/>
                <w:szCs w:val="20"/>
                <w:highlight w:val="none"/>
                <w:lang w:eastAsia="zh-CN"/>
              </w:rPr>
              <w:t>权重设置（%）</w:t>
            </w:r>
          </w:p>
        </w:tc>
      </w:tr>
      <w:tr>
        <w:tblPrEx>
          <w:tblLayout w:type="fixed"/>
          <w:tblCellMar>
            <w:top w:w="15" w:type="dxa"/>
            <w:left w:w="15" w:type="dxa"/>
            <w:bottom w:w="15" w:type="dxa"/>
            <w:right w:w="15" w:type="dxa"/>
          </w:tblCellMar>
        </w:tblPrEx>
        <w:trPr>
          <w:trHeight w:val="254" w:hRule="atLeast"/>
        </w:trPr>
        <w:tc>
          <w:tcPr>
            <w:tcW w:w="777"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 w:val="20"/>
                <w:szCs w:val="20"/>
                <w:highlight w:val="none"/>
                <w:lang w:eastAsia="zh-CN"/>
              </w:rPr>
            </w:pPr>
          </w:p>
        </w:tc>
        <w:tc>
          <w:tcPr>
            <w:tcW w:w="2020"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 w:val="20"/>
                <w:szCs w:val="20"/>
                <w:highlight w:val="none"/>
                <w:lang w:eastAsia="zh-CN"/>
              </w:rPr>
            </w:pPr>
          </w:p>
        </w:tc>
        <w:tc>
          <w:tcPr>
            <w:tcW w:w="3157"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 w:val="20"/>
                <w:szCs w:val="20"/>
                <w:highlight w:val="none"/>
                <w:lang w:eastAsia="zh-CN"/>
              </w:rPr>
            </w:pP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bCs/>
                <w:sz w:val="20"/>
                <w:szCs w:val="20"/>
                <w:highlight w:val="none"/>
                <w:lang w:eastAsia="zh-CN"/>
              </w:rPr>
            </w:pPr>
            <w:r>
              <w:rPr>
                <w:rFonts w:hint="eastAsia" w:ascii="宋体" w:hAnsi="宋体" w:eastAsia="宋体" w:cs="宋体"/>
                <w:b/>
                <w:bCs/>
                <w:sz w:val="20"/>
                <w:szCs w:val="20"/>
                <w:highlight w:val="none"/>
                <w:lang w:eastAsia="zh-CN"/>
              </w:rPr>
              <w:t>技术</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bCs/>
                <w:sz w:val="20"/>
                <w:szCs w:val="20"/>
                <w:highlight w:val="none"/>
                <w:lang w:eastAsia="zh-CN"/>
              </w:rPr>
            </w:pPr>
            <w:r>
              <w:rPr>
                <w:rFonts w:hint="eastAsia" w:ascii="宋体" w:hAnsi="宋体" w:eastAsia="宋体" w:cs="宋体"/>
                <w:b/>
                <w:bCs/>
                <w:sz w:val="20"/>
                <w:szCs w:val="20"/>
                <w:highlight w:val="none"/>
                <w:lang w:eastAsia="zh-CN"/>
              </w:rPr>
              <w:t>商务</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bCs/>
                <w:sz w:val="20"/>
                <w:szCs w:val="20"/>
                <w:highlight w:val="none"/>
                <w:lang w:eastAsia="zh-CN"/>
              </w:rPr>
            </w:pPr>
            <w:r>
              <w:rPr>
                <w:rFonts w:hint="eastAsia" w:ascii="宋体" w:hAnsi="宋体" w:eastAsia="宋体" w:cs="宋体"/>
                <w:b/>
                <w:bCs/>
                <w:sz w:val="20"/>
                <w:szCs w:val="20"/>
                <w:highlight w:val="none"/>
                <w:lang w:eastAsia="zh-CN"/>
              </w:rPr>
              <w:t>价格</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2821AA-1022001-0002</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高压熔断器（喷射式）</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2</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2821AA-1035006-0002</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一二次融合成套柱上断路器（深度融合）</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3</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2821AA-1010001-0002</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10kV三相隔离开关（封闭式）</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4</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default" w:ascii="宋体" w:hAnsi="宋体" w:eastAsia="宋体" w:cs="宋体"/>
                <w:bCs/>
                <w:sz w:val="20"/>
                <w:szCs w:val="20"/>
                <w:lang w:val="en-US" w:eastAsia="zh-CN"/>
              </w:rPr>
              <w:t>2821AA-1016004-9998</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低压开关柜</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5</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default" w:ascii="宋体" w:hAnsi="宋体" w:eastAsia="宋体" w:cs="宋体"/>
                <w:bCs/>
                <w:sz w:val="20"/>
                <w:szCs w:val="20"/>
                <w:lang w:val="en-US" w:eastAsia="zh-CN"/>
              </w:rPr>
              <w:t>2821AA-1107007-0003</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配电终端(TTU)</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6</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default" w:ascii="宋体" w:hAnsi="宋体" w:eastAsia="宋体" w:cs="宋体"/>
                <w:bCs/>
                <w:sz w:val="20"/>
                <w:szCs w:val="20"/>
                <w:lang w:val="en-US" w:eastAsia="zh-CN"/>
              </w:rPr>
              <w:t>2821AA-1410007-9999</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复合绝缘横担</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7</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default" w:ascii="宋体" w:hAnsi="宋体" w:eastAsia="宋体" w:cs="宋体"/>
                <w:bCs/>
                <w:sz w:val="20"/>
                <w:szCs w:val="20"/>
                <w:lang w:val="en-US" w:eastAsia="zh-CN"/>
              </w:rPr>
              <w:t>2821AA-1406030-9999</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接地铁</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8</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default" w:ascii="宋体" w:hAnsi="宋体" w:eastAsia="宋体" w:cs="宋体"/>
                <w:bCs/>
                <w:sz w:val="20"/>
                <w:szCs w:val="20"/>
                <w:lang w:val="en-US" w:eastAsia="zh-CN"/>
              </w:rPr>
              <w:t>2821AA-1502009-9999</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防鸟设备</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9</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default" w:ascii="宋体" w:hAnsi="宋体" w:eastAsia="宋体" w:cs="宋体"/>
                <w:bCs/>
                <w:sz w:val="20"/>
                <w:szCs w:val="20"/>
                <w:lang w:val="en-US" w:eastAsia="zh-CN"/>
              </w:rPr>
              <w:t>2821AA-1401007-9999</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水泥制品</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default" w:ascii="宋体" w:hAnsi="宋体" w:eastAsia="宋体" w:cs="宋体"/>
                <w:bCs/>
                <w:sz w:val="20"/>
                <w:szCs w:val="20"/>
                <w:lang w:val="en-US" w:eastAsia="zh-CN"/>
              </w:rPr>
              <w:t>2821AA-1401014-9999</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超高性能混凝土杆</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11</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default" w:ascii="宋体" w:hAnsi="宋体" w:eastAsia="宋体" w:cs="宋体"/>
                <w:bCs/>
                <w:sz w:val="20"/>
                <w:szCs w:val="20"/>
                <w:lang w:val="en-US" w:eastAsia="zh-CN"/>
              </w:rPr>
              <w:t>2821AA-1405014-9999</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拉紧绝缘子</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45</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12</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2821AA-1307013-0001</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通信单元</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13</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2821AA-1307013-0002</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通信单元</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14</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2821AA-1307013-0003</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通信单元</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15</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2821AA-1307013-0004</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通信单元</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r>
        <w:tblPrEx>
          <w:tblLayout w:type="fixed"/>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default" w:ascii="宋体" w:hAnsi="宋体" w:eastAsia="宋体" w:cs="宋体"/>
                <w:bCs/>
                <w:sz w:val="20"/>
                <w:szCs w:val="20"/>
                <w:lang w:val="en-US" w:eastAsia="zh-CN"/>
              </w:rPr>
            </w:pPr>
            <w:r>
              <w:rPr>
                <w:rFonts w:hint="eastAsia" w:ascii="宋体" w:hAnsi="宋体" w:eastAsia="宋体" w:cs="宋体"/>
                <w:bCs/>
                <w:sz w:val="20"/>
                <w:szCs w:val="20"/>
                <w:lang w:val="en-US" w:eastAsia="zh-CN"/>
              </w:rPr>
              <w:t>16</w:t>
            </w:r>
          </w:p>
        </w:tc>
        <w:tc>
          <w:tcPr>
            <w:tcW w:w="2020"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2821AA-1307013-0005</w:t>
            </w:r>
          </w:p>
        </w:tc>
        <w:tc>
          <w:tcPr>
            <w:tcW w:w="3157"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通信单元</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ind w:left="0" w:leftChars="0" w:firstLine="0" w:firstLineChars="0"/>
              <w:jc w:val="center"/>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t>40</w:t>
            </w:r>
          </w:p>
        </w:tc>
      </w:tr>
    </w:tbl>
    <w:p>
      <w:pPr>
        <w:ind w:firstLine="640" w:firstLineChars="200"/>
        <w:rPr>
          <w:highlight w:val="yellow"/>
          <w:lang w:eastAsia="zh-CN"/>
        </w:rPr>
      </w:pPr>
    </w:p>
    <w:p>
      <w:pPr>
        <w:spacing w:line="360" w:lineRule="auto"/>
        <w:ind w:firstLine="435"/>
        <w:rPr>
          <w:rFonts w:hint="eastAsia" w:asciiTheme="minorEastAsia" w:hAnsiTheme="minorEastAsia" w:eastAsiaTheme="minorEastAsia" w:cstheme="minorEastAsia"/>
          <w:sz w:val="22"/>
          <w:szCs w:val="22"/>
          <w:lang w:eastAsia="zh-CN"/>
        </w:rPr>
      </w:pPr>
    </w:p>
    <w:p>
      <w:pPr>
        <w:bidi w:val="0"/>
        <w:rPr>
          <w:rFonts w:hint="eastAsia"/>
          <w:lang w:eastAsia="zh-CN"/>
        </w:rPr>
      </w:pPr>
      <w:r>
        <w:rPr>
          <w:rFonts w:hint="eastAsia"/>
          <w:lang w:val="en-US" w:eastAsia="zh-CN"/>
        </w:rPr>
        <w:t>11</w:t>
      </w:r>
      <w:r>
        <w:rPr>
          <w:rFonts w:hint="eastAsia"/>
          <w:lang w:eastAsia="zh-CN"/>
        </w:rPr>
        <w:t>.1.2 价格评审办法采用区间平均价浮动法，计算方法详见第三章评标办法</w:t>
      </w:r>
      <w:r>
        <w:rPr>
          <w:rFonts w:hint="eastAsia"/>
          <w:lang w:val="en-US" w:eastAsia="zh-CN"/>
        </w:rPr>
        <w:t>2.2.2条。</w:t>
      </w:r>
    </w:p>
    <w:tbl>
      <w:tblPr>
        <w:tblStyle w:val="34"/>
        <w:tblpPr w:leftFromText="180" w:rightFromText="180" w:vertAnchor="text" w:horzAnchor="page" w:tblpX="1794" w:tblpY="1016"/>
        <w:tblOverlap w:val="never"/>
        <w:tblW w:w="8496" w:type="dxa"/>
        <w:jc w:val="center"/>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937"/>
        <w:gridCol w:w="1850"/>
        <w:gridCol w:w="2373"/>
        <w:gridCol w:w="681"/>
        <w:gridCol w:w="65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Merge w:val="restart"/>
            <w:tcBorders>
              <w:top w:val="double" w:color="auto" w:sz="4" w:space="0"/>
            </w:tcBorders>
            <w:vAlign w:val="center"/>
          </w:tcPr>
          <w:p>
            <w:pPr>
              <w:widowControl/>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lang w:eastAsia="zh-CN"/>
              </w:rPr>
              <w:t>分标</w:t>
            </w:r>
            <w:r>
              <w:rPr>
                <w:rFonts w:hint="eastAsia" w:ascii="宋体" w:hAnsi="宋体" w:eastAsia="宋体" w:cs="宋体"/>
                <w:b/>
                <w:sz w:val="20"/>
                <w:szCs w:val="20"/>
                <w:highlight w:val="none"/>
              </w:rPr>
              <w:t>名称</w:t>
            </w:r>
          </w:p>
        </w:tc>
        <w:tc>
          <w:tcPr>
            <w:tcW w:w="1850" w:type="dxa"/>
            <w:vMerge w:val="restart"/>
            <w:tcBorders>
              <w:top w:val="double" w:color="auto" w:sz="4" w:space="0"/>
            </w:tcBorders>
            <w:vAlign w:val="center"/>
          </w:tcPr>
          <w:p>
            <w:pPr>
              <w:widowControl/>
              <w:ind w:left="0" w:leftChars="0" w:firstLine="0" w:firstLineChars="0"/>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rPr>
              <w:t>价格公式</w:t>
            </w:r>
          </w:p>
        </w:tc>
        <w:tc>
          <w:tcPr>
            <w:tcW w:w="3709" w:type="dxa"/>
            <w:gridSpan w:val="3"/>
            <w:tcBorders>
              <w:top w:val="double" w:color="auto" w:sz="4" w:space="0"/>
            </w:tcBorders>
            <w:vAlign w:val="center"/>
          </w:tcPr>
          <w:p>
            <w:pPr>
              <w:widowControl/>
              <w:jc w:val="center"/>
              <w:rPr>
                <w:rFonts w:hint="eastAsia" w:ascii="宋体" w:hAnsi="宋体" w:eastAsia="宋体" w:cs="宋体"/>
                <w:b/>
                <w:sz w:val="20"/>
                <w:szCs w:val="20"/>
                <w:highlight w:val="none"/>
              </w:rPr>
            </w:pPr>
            <w:r>
              <w:rPr>
                <w:rFonts w:hint="eastAsia" w:ascii="宋体" w:hAnsi="宋体" w:eastAsia="宋体" w:cs="宋体"/>
                <w:b/>
                <w:sz w:val="20"/>
                <w:szCs w:val="20"/>
                <w:highlight w:val="none"/>
              </w:rPr>
              <w:t>参数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Merge w:val="continue"/>
            <w:vAlign w:val="center"/>
          </w:tcPr>
          <w:p>
            <w:pPr>
              <w:widowControl/>
              <w:jc w:val="both"/>
              <w:rPr>
                <w:rFonts w:hint="eastAsia" w:ascii="宋体" w:hAnsi="宋体" w:eastAsia="宋体" w:cs="宋体"/>
                <w:b/>
                <w:sz w:val="20"/>
                <w:szCs w:val="20"/>
                <w:highlight w:val="none"/>
              </w:rPr>
            </w:pPr>
          </w:p>
        </w:tc>
        <w:tc>
          <w:tcPr>
            <w:tcW w:w="1850" w:type="dxa"/>
            <w:vMerge w:val="continue"/>
            <w:vAlign w:val="center"/>
          </w:tcPr>
          <w:p>
            <w:pPr>
              <w:widowControl/>
              <w:jc w:val="both"/>
              <w:rPr>
                <w:rFonts w:hint="eastAsia" w:ascii="宋体" w:hAnsi="宋体" w:eastAsia="宋体" w:cs="宋体"/>
                <w:b/>
                <w:sz w:val="20"/>
                <w:szCs w:val="20"/>
                <w:highlight w:val="none"/>
              </w:rPr>
            </w:pPr>
          </w:p>
        </w:tc>
        <w:tc>
          <w:tcPr>
            <w:tcW w:w="2373" w:type="dxa"/>
            <w:vAlign w:val="center"/>
          </w:tcPr>
          <w:p>
            <w:pPr>
              <w:adjustRightInd w:val="0"/>
              <w:snapToGrid w:val="0"/>
              <w:jc w:val="both"/>
              <w:rPr>
                <w:rFonts w:hint="eastAsia" w:ascii="宋体" w:hAnsi="宋体" w:eastAsia="宋体" w:cs="宋体"/>
                <w:b/>
                <w:sz w:val="20"/>
                <w:szCs w:val="20"/>
                <w:highlight w:val="none"/>
                <w:lang w:eastAsia="zh-CN"/>
              </w:rPr>
            </w:pPr>
            <w:r>
              <w:rPr>
                <w:rFonts w:hint="eastAsia" w:ascii="宋体" w:hAnsi="宋体" w:eastAsia="宋体" w:cs="宋体"/>
                <w:b/>
                <w:sz w:val="20"/>
                <w:szCs w:val="20"/>
                <w:highlight w:val="none"/>
                <w:lang w:eastAsia="zh-CN"/>
              </w:rPr>
              <w:t>C值抽取范围</w:t>
            </w:r>
          </w:p>
          <w:p>
            <w:pPr>
              <w:widowControl/>
              <w:jc w:val="both"/>
              <w:rPr>
                <w:rFonts w:hint="eastAsia" w:ascii="宋体" w:hAnsi="宋体" w:eastAsia="宋体" w:cs="宋体"/>
                <w:b/>
                <w:sz w:val="20"/>
                <w:szCs w:val="20"/>
                <w:highlight w:val="none"/>
                <w:lang w:eastAsia="zh-CN"/>
              </w:rPr>
            </w:pPr>
            <w:r>
              <w:rPr>
                <w:rFonts w:hint="eastAsia" w:ascii="宋体" w:hAnsi="宋体" w:eastAsia="宋体" w:cs="宋体"/>
                <w:b/>
                <w:sz w:val="20"/>
                <w:szCs w:val="20"/>
                <w:highlight w:val="none"/>
                <w:lang w:eastAsia="zh-CN"/>
              </w:rPr>
              <w:t>（级差为</w:t>
            </w:r>
            <w:r>
              <w:rPr>
                <w:rFonts w:hint="eastAsia" w:ascii="宋体" w:hAnsi="宋体" w:eastAsia="宋体" w:cs="宋体"/>
                <w:b/>
                <w:i/>
                <w:sz w:val="20"/>
                <w:szCs w:val="20"/>
                <w:highlight w:val="none"/>
                <w:u w:val="single"/>
                <w:lang w:eastAsia="zh-CN"/>
              </w:rPr>
              <w:t>0.25</w:t>
            </w:r>
            <w:r>
              <w:rPr>
                <w:rFonts w:hint="eastAsia" w:ascii="宋体" w:hAnsi="宋体" w:eastAsia="宋体" w:cs="宋体"/>
                <w:b/>
                <w:i/>
                <w:sz w:val="20"/>
                <w:szCs w:val="20"/>
                <w:highlight w:val="none"/>
                <w:u w:val="single"/>
                <w:lang w:val="en-US" w:eastAsia="zh-CN"/>
              </w:rPr>
              <w:t xml:space="preserve"> </w:t>
            </w:r>
            <w:r>
              <w:rPr>
                <w:rFonts w:hint="eastAsia" w:ascii="宋体" w:hAnsi="宋体" w:eastAsia="宋体" w:cs="宋体"/>
                <w:b/>
                <w:sz w:val="20"/>
                <w:szCs w:val="20"/>
                <w:highlight w:val="none"/>
                <w:lang w:eastAsia="zh-CN"/>
              </w:rPr>
              <w:t>%）</w:t>
            </w:r>
          </w:p>
        </w:tc>
        <w:tc>
          <w:tcPr>
            <w:tcW w:w="681" w:type="dxa"/>
            <w:vAlign w:val="center"/>
          </w:tcPr>
          <w:p>
            <w:pPr>
              <w:widowControl/>
              <w:ind w:left="0" w:leftChars="0" w:firstLine="0" w:firstLineChars="0"/>
              <w:jc w:val="center"/>
              <w:rPr>
                <w:rFonts w:hint="eastAsia" w:ascii="宋体" w:hAnsi="宋体" w:eastAsia="宋体" w:cs="宋体"/>
                <w:b/>
                <w:bCs/>
                <w:sz w:val="20"/>
                <w:szCs w:val="20"/>
                <w:highlight w:val="none"/>
                <w:lang w:val="en-US" w:eastAsia="zh-CN"/>
              </w:rPr>
            </w:pPr>
            <w:r>
              <w:rPr>
                <w:rFonts w:hint="eastAsia" w:ascii="宋体" w:hAnsi="宋体" w:eastAsia="宋体" w:cs="宋体"/>
                <w:b/>
                <w:bCs/>
                <w:sz w:val="20"/>
                <w:szCs w:val="20"/>
                <w:highlight w:val="none"/>
                <w:lang w:val="en-US" w:eastAsia="zh-CN"/>
              </w:rPr>
              <w:t>n1</w:t>
            </w:r>
          </w:p>
        </w:tc>
        <w:tc>
          <w:tcPr>
            <w:tcW w:w="655" w:type="dxa"/>
            <w:vAlign w:val="center"/>
          </w:tcPr>
          <w:p>
            <w:pPr>
              <w:widowControl/>
              <w:ind w:left="0" w:leftChars="0" w:firstLine="0" w:firstLineChars="0"/>
              <w:jc w:val="center"/>
              <w:rPr>
                <w:rFonts w:hint="eastAsia" w:ascii="宋体" w:hAnsi="宋体" w:eastAsia="宋体" w:cs="宋体"/>
                <w:b/>
                <w:bCs/>
                <w:sz w:val="20"/>
                <w:szCs w:val="20"/>
                <w:highlight w:val="none"/>
                <w:lang w:val="en-US" w:eastAsia="zh-CN"/>
              </w:rPr>
            </w:pPr>
            <w:r>
              <w:rPr>
                <w:rFonts w:hint="eastAsia" w:ascii="宋体" w:hAnsi="宋体" w:eastAsia="宋体" w:cs="宋体"/>
                <w:b/>
                <w:bCs/>
                <w:sz w:val="20"/>
                <w:szCs w:val="20"/>
                <w:highlight w:val="none"/>
                <w:lang w:val="en-US" w:eastAsia="zh-CN"/>
              </w:rPr>
              <w:t>n2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高压熔断器（喷射式）</w:t>
            </w:r>
          </w:p>
        </w:tc>
        <w:tc>
          <w:tcPr>
            <w:tcW w:w="1850" w:type="dxa"/>
            <w:vAlign w:val="center"/>
          </w:tcPr>
          <w:p>
            <w:pPr>
              <w:widowControl/>
              <w:ind w:left="0" w:leftChars="0" w:firstLine="0" w:firstLineChars="0"/>
              <w:jc w:val="center"/>
              <w:rPr>
                <w:rFonts w:hint="eastAsia" w:ascii="宋体" w:hAnsi="宋体" w:eastAsia="宋体" w:cs="宋体"/>
                <w:b/>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一二次融合成套柱上断路器（深度融合）</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10kV三相隔离开关（封闭式）</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低压开关柜</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配电终端(TTU)</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复合绝缘横担</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接地铁</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防鸟设备</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水泥制品</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超高性能混凝土杆</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拉紧绝缘子</w:t>
            </w:r>
          </w:p>
        </w:tc>
        <w:tc>
          <w:tcPr>
            <w:tcW w:w="1850"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yellow"/>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yellow"/>
                <w:u w:val="single"/>
                <w:lang w:eastAsia="zh-CN"/>
              </w:rPr>
            </w:pPr>
            <w:r>
              <w:rPr>
                <w:rFonts w:hint="eastAsia" w:ascii="宋体" w:hAnsi="宋体" w:eastAsia="宋体" w:cs="宋体"/>
                <w:sz w:val="20"/>
                <w:szCs w:val="20"/>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通信单元</w:t>
            </w:r>
          </w:p>
        </w:tc>
        <w:tc>
          <w:tcPr>
            <w:tcW w:w="1850" w:type="dxa"/>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20"/>
                <w:szCs w:val="20"/>
                <w:highlight w:val="none"/>
                <w:u w:val="single"/>
                <w:lang w:eastAsia="zh-CN"/>
              </w:rPr>
            </w:pPr>
            <w:r>
              <w:rPr>
                <w:rFonts w:hint="eastAsia" w:ascii="宋体" w:hAnsi="宋体" w:eastAsia="宋体" w:cs="宋体"/>
                <w:sz w:val="20"/>
                <w:szCs w:val="20"/>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20"/>
                <w:szCs w:val="20"/>
                <w:highlight w:val="none"/>
                <w:u w:val="single"/>
                <w:lang w:eastAsia="zh-CN"/>
              </w:rPr>
            </w:pPr>
            <w:r>
              <w:rPr>
                <w:rFonts w:hint="eastAsia" w:ascii="宋体" w:hAnsi="宋体" w:eastAsia="宋体" w:cs="宋体"/>
                <w:sz w:val="20"/>
                <w:szCs w:val="20"/>
                <w:highlight w:val="none"/>
                <w:lang w:val="en-US" w:eastAsia="zh-CN"/>
              </w:rPr>
              <w:t>1</w:t>
            </w:r>
          </w:p>
        </w:tc>
      </w:tr>
    </w:tbl>
    <w:p>
      <w:pPr>
        <w:bidi w:val="0"/>
        <w:rPr>
          <w:rFonts w:hint="eastAsia"/>
          <w:lang w:eastAsia="zh-CN"/>
        </w:rPr>
      </w:pPr>
      <w:r>
        <w:rPr>
          <w:rFonts w:hint="eastAsia"/>
          <w:lang w:val="en-US" w:eastAsia="zh-CN"/>
        </w:rPr>
        <w:t>11</w:t>
      </w:r>
      <w:r>
        <w:rPr>
          <w:rFonts w:hint="eastAsia"/>
          <w:lang w:eastAsia="zh-CN"/>
        </w:rPr>
        <w:t>.1.3区间平均价浮动法参数设置，若公告中评标办法与第三章评标办法前附表之一有差别，以公告为准。</w:t>
      </w:r>
    </w:p>
    <w:p>
      <w:pPr>
        <w:bidi w:val="0"/>
        <w:rPr>
          <w:rFonts w:hint="eastAsia"/>
          <w:lang w:eastAsia="zh-CN"/>
        </w:rPr>
      </w:pPr>
      <w:r>
        <w:rPr>
          <w:rFonts w:hint="eastAsia"/>
          <w:lang w:val="en-US" w:eastAsia="zh-CN"/>
        </w:rPr>
        <w:t>11.</w:t>
      </w:r>
      <w:r>
        <w:rPr>
          <w:rFonts w:hint="eastAsia"/>
          <w:lang w:eastAsia="zh-CN"/>
        </w:rPr>
        <w:t>1.4本次招标项目不设定最高限价。</w:t>
      </w:r>
    </w:p>
    <w:p>
      <w:pPr>
        <w:bidi w:val="0"/>
        <w:rPr>
          <w:rFonts w:hint="eastAsia"/>
          <w:lang w:eastAsia="zh-CN"/>
        </w:rPr>
      </w:pPr>
      <w:r>
        <w:rPr>
          <w:rFonts w:hint="eastAsia"/>
          <w:lang w:val="en-US" w:eastAsia="zh-CN"/>
        </w:rPr>
        <w:t>11</w:t>
      </w:r>
      <w:r>
        <w:rPr>
          <w:rFonts w:hint="eastAsia"/>
          <w:lang w:eastAsia="zh-CN"/>
        </w:rPr>
        <w:t>.1.5授标原则：</w:t>
      </w:r>
    </w:p>
    <w:p>
      <w:pPr>
        <w:bidi w:val="0"/>
        <w:rPr>
          <w:rFonts w:hint="eastAsia"/>
          <w:lang w:eastAsia="zh-CN"/>
        </w:rPr>
      </w:pPr>
      <w:r>
        <w:rPr>
          <w:rFonts w:hint="eastAsia"/>
          <w:lang w:eastAsia="zh-CN"/>
        </w:rPr>
        <w:t>评标委员会推荐中标次序按同一分标下，综合评价得分排序从高到低的投标人顺序进行；综合评分相等时，以技术得分高的优先；技术得分也相等的，以投标报价低的优先；如果投标报价也相等，由招标人自行确定。</w:t>
      </w:r>
    </w:p>
    <w:p>
      <w:pPr>
        <w:bidi w:val="0"/>
        <w:rPr>
          <w:rFonts w:hint="eastAsia" w:ascii="方正仿宋_GBK" w:hAnsi="方正仿宋_GBK" w:eastAsia="方正仿宋_GBK" w:cs="方正仿宋_GBK"/>
          <w:sz w:val="32"/>
          <w:szCs w:val="32"/>
          <w:lang w:eastAsia="zh-CN"/>
        </w:rPr>
      </w:pPr>
      <w:r>
        <w:rPr>
          <w:rFonts w:hint="eastAsia" w:cs="方正仿宋_GBK"/>
          <w:bCs/>
          <w:sz w:val="32"/>
          <w:szCs w:val="32"/>
          <w:lang w:val="en-US" w:eastAsia="zh-CN"/>
        </w:rPr>
        <w:t>11.1.5.1</w:t>
      </w:r>
      <w:r>
        <w:rPr>
          <w:rFonts w:hint="eastAsia" w:ascii="方正仿宋_GBK" w:hAnsi="方正仿宋_GBK" w:eastAsia="方正仿宋_GBK" w:cs="方正仿宋_GBK"/>
          <w:bCs/>
          <w:sz w:val="32"/>
          <w:szCs w:val="32"/>
        </w:rPr>
        <w:t>本次</w:t>
      </w:r>
      <w:r>
        <w:rPr>
          <w:rFonts w:hint="eastAsia" w:ascii="方正仿宋_GBK" w:hAnsi="方正仿宋_GBK" w:eastAsia="方正仿宋_GBK" w:cs="方正仿宋_GBK"/>
          <w:sz w:val="32"/>
          <w:szCs w:val="32"/>
        </w:rPr>
        <w:t>各分标中</w:t>
      </w:r>
      <w:r>
        <w:rPr>
          <w:rFonts w:hint="eastAsia" w:ascii="方正仿宋_GBK" w:hAnsi="方正仿宋_GBK" w:eastAsia="方正仿宋_GBK" w:cs="方正仿宋_GBK"/>
          <w:b/>
          <w:bCs/>
          <w:sz w:val="32"/>
          <w:szCs w:val="32"/>
          <w:lang w:eastAsia="zh-CN"/>
        </w:rPr>
        <w:t>一二次融合成套柱上断路器</w:t>
      </w:r>
      <w:r>
        <w:rPr>
          <w:rFonts w:hint="eastAsia" w:ascii="方正仿宋_GBK" w:hAnsi="方正仿宋_GBK" w:eastAsia="方正仿宋_GBK" w:cs="方正仿宋_GBK"/>
          <w:sz w:val="32"/>
          <w:szCs w:val="32"/>
        </w:rPr>
        <w:t>每个投标人在同一分标中被授予的标包数量总计不超过</w:t>
      </w: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个包</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其他</w:t>
      </w:r>
      <w:r>
        <w:rPr>
          <w:rFonts w:hint="eastAsia" w:ascii="方正仿宋_GBK" w:hAnsi="方正仿宋_GBK" w:eastAsia="方正仿宋_GBK" w:cs="方正仿宋_GBK"/>
          <w:sz w:val="32"/>
          <w:szCs w:val="32"/>
        </w:rPr>
        <w:t>分标中每个投标人在同一分标中被授予的标包数量总计不超过</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rPr>
        <w:t>个包</w:t>
      </w:r>
      <w:r>
        <w:rPr>
          <w:rFonts w:hint="eastAsia" w:ascii="方正仿宋_GBK" w:hAnsi="方正仿宋_GBK" w:eastAsia="方正仿宋_GBK" w:cs="方正仿宋_GBK"/>
          <w:sz w:val="32"/>
          <w:szCs w:val="32"/>
          <w:lang w:eastAsia="zh-CN"/>
        </w:rPr>
        <w:t>。</w:t>
      </w:r>
    </w:p>
    <w:p>
      <w:pPr>
        <w:pStyle w:val="2"/>
        <w:rPr>
          <w:rFonts w:hint="default"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11.1.5.2当某一分标全部进入详评的投标人的中标标包数量超过条款11.1.5.1规定的限额时，该包授予综合得分最高的投标人</w:t>
      </w:r>
      <w:r>
        <w:rPr>
          <w:rFonts w:hint="eastAsia" w:ascii="方正仿宋_GBK" w:hAnsi="方正仿宋_GBK" w:cs="方正仿宋_GBK"/>
          <w:sz w:val="32"/>
          <w:szCs w:val="32"/>
          <w:lang w:val="en-US" w:eastAsia="zh-CN" w:bidi="ar-SA"/>
        </w:rPr>
        <w:t>。</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2</w:t>
      </w:r>
      <w:r>
        <w:rPr>
          <w:rFonts w:hint="eastAsia"/>
          <w:lang w:eastAsia="zh-CN"/>
        </w:rPr>
        <w:t>试验报告审核标准</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2</w:t>
      </w:r>
      <w:r>
        <w:rPr>
          <w:rFonts w:hint="eastAsia"/>
          <w:lang w:eastAsia="zh-CN"/>
        </w:rPr>
        <w:t>.1 投标人应按照资格业绩条件要求提供有效的检测（检验）报告，关于报告出具机构、试验类型、试验项目等具体要求详见各标段相关规定。</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2</w:t>
      </w:r>
      <w:r>
        <w:rPr>
          <w:rFonts w:hint="eastAsia"/>
          <w:lang w:eastAsia="zh-CN"/>
        </w:rPr>
        <w:t>.2 投标文件中《供应商资质能力核实结果证明函件》有试验报告记录且记载数据满足招标文件要求，不需提供材料复印件。</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业绩审核标准</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.1 投标人提供的有效期间内合同业绩数量应满足专用资质条件要求。业绩计算以合同签订时间为准。</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.2 在投标文件中提供有效的《供应商资质能力核实结果证明函件》的投标人，其业绩以《供应商资质能力核实结果证明函件》所载明的数据为准，不需提供支持文件，《供应商资质能力核实结果证明函件》所载明的有效的核实数据作为评审依据。核实时间段内的业绩支撑文件无需编入投标文件，编入的不作评审。</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.3 对于未在投标文件中提供相应产品《供应商资质能力核实结果证明函件》的投标人，为保证其投标文件中供货业绩真实可靠，投标人须取得有效的第三方公证机构出具供货业绩的公证证明，与投标文件同时提交。若投标人未提供有效公证证明，该投标人投标文件将被视为内容不全，该投标人参与本项目的评审将被否决。公证书公证事项：供货合同全部签署主体（单位）（甲乙双方）均予以认可。内容：兹证明XX公司提供的XX《供货合同》全部签署主体（单位）（甲乙双方）均予以认可。公证证明未包含上述事项和内容的视为无效公证证明。</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.4业绩数量按照物资类别计算，具体要求详见各标段相关规定。</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.5 既有业绩合同供货方和实际产品生产方必须均为投标人。</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.6业绩不认可的有（包括但不限于）：</w:t>
      </w:r>
    </w:p>
    <w:p>
      <w:pPr>
        <w:bidi w:val="0"/>
        <w:rPr>
          <w:rFonts w:hint="eastAsia"/>
          <w:lang w:eastAsia="zh-CN"/>
        </w:rPr>
      </w:pPr>
      <w:r>
        <w:rPr>
          <w:rFonts w:hint="eastAsia"/>
          <w:lang w:eastAsia="zh-CN"/>
        </w:rPr>
        <w:t>①与同类产品制造厂之间的业绩；</w:t>
      </w:r>
    </w:p>
    <w:p>
      <w:pPr>
        <w:bidi w:val="0"/>
        <w:rPr>
          <w:rFonts w:hint="eastAsia"/>
          <w:lang w:eastAsia="zh-CN"/>
        </w:rPr>
      </w:pPr>
      <w:r>
        <w:rPr>
          <w:rFonts w:hint="eastAsia"/>
          <w:lang w:eastAsia="zh-CN"/>
        </w:rPr>
        <w:t>②在试验室或试验站的业绩；</w:t>
      </w:r>
    </w:p>
    <w:p>
      <w:pPr>
        <w:bidi w:val="0"/>
        <w:rPr>
          <w:rFonts w:hint="eastAsia"/>
          <w:lang w:eastAsia="zh-CN"/>
        </w:rPr>
      </w:pPr>
      <w:r>
        <w:rPr>
          <w:rFonts w:hint="eastAsia"/>
          <w:lang w:eastAsia="zh-CN"/>
        </w:rPr>
        <w:t>③与代理商之间的业绩；</w:t>
      </w:r>
    </w:p>
    <w:p>
      <w:pPr>
        <w:bidi w:val="0"/>
        <w:rPr>
          <w:rFonts w:hint="eastAsia"/>
          <w:lang w:eastAsia="zh-CN"/>
        </w:rPr>
      </w:pPr>
      <w:r>
        <w:rPr>
          <w:rFonts w:hint="eastAsia"/>
          <w:lang w:eastAsia="zh-CN"/>
        </w:rPr>
        <w:t>④与非最终用户（即业主单位或负责所供货物运行、使用的单位以外的主体）签订的供货合同；</w:t>
      </w:r>
    </w:p>
    <w:p>
      <w:pPr>
        <w:bidi w:val="0"/>
        <w:rPr>
          <w:rFonts w:hint="eastAsia"/>
          <w:lang w:eastAsia="zh-CN"/>
        </w:rPr>
      </w:pPr>
      <w:r>
        <w:rPr>
          <w:rFonts w:hint="eastAsia"/>
          <w:lang w:eastAsia="zh-CN"/>
        </w:rPr>
        <w:t>⑤出口业绩的外贸合同、发票、报关单及对应产品型号等信息资料难以核实或不全的。</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.7 母子公司、兄弟公司、控股公司的业绩不能相互替代。</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.8收购其他企业，被收购企业注销的，收购方可继承被收购方的业绩。</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3</w:t>
      </w:r>
      <w:r>
        <w:rPr>
          <w:rFonts w:hint="eastAsia"/>
          <w:lang w:eastAsia="zh-CN"/>
        </w:rPr>
        <w:t>.9重组改制中涉及企业合并、分立、名称变更的，须提供充足的证明材料，方可继承原企业的业绩。</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4</w:t>
      </w:r>
      <w:r>
        <w:rPr>
          <w:rFonts w:hint="eastAsia"/>
          <w:lang w:eastAsia="zh-CN"/>
        </w:rPr>
        <w:t>生产许可证及其他许可事项审核标准</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4</w:t>
      </w:r>
      <w:r>
        <w:rPr>
          <w:rFonts w:hint="eastAsia"/>
          <w:lang w:eastAsia="zh-CN"/>
        </w:rPr>
        <w:t>.1投标文件中《供应商资质能力核实结果证明函件》函件有生产许可证记录，不需提供材料复印件。在更新材料或没有《供应商资质能力核实结果证明函件》函件的须提供生产许可证复印件。</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4</w:t>
      </w:r>
      <w:r>
        <w:rPr>
          <w:rFonts w:hint="eastAsia"/>
          <w:lang w:eastAsia="zh-CN"/>
        </w:rPr>
        <w:t>.2投标人提供的生产许可证应在有效期内，应与投标产品种类对应。部分标段未要求提供的可不进行审查。</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4</w:t>
      </w:r>
      <w:r>
        <w:rPr>
          <w:rFonts w:hint="eastAsia"/>
          <w:lang w:eastAsia="zh-CN"/>
        </w:rPr>
        <w:t>.3需提供3C认证、入网许可证等其他许可、认定证明文件的，相关文件应覆盖招标物资类别产品，且在有效期内。</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4</w:t>
      </w:r>
      <w:r>
        <w:rPr>
          <w:rFonts w:hint="eastAsia"/>
          <w:lang w:eastAsia="zh-CN"/>
        </w:rPr>
        <w:t>.4关于生产许可证具体要求详见各标段相关规定。</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5</w:t>
      </w:r>
      <w:r>
        <w:rPr>
          <w:rFonts w:hint="eastAsia"/>
          <w:lang w:eastAsia="zh-CN"/>
        </w:rPr>
        <w:t xml:space="preserve">  ISO9000系列认证证书审核标准</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5</w:t>
      </w:r>
      <w:r>
        <w:rPr>
          <w:rFonts w:hint="eastAsia"/>
          <w:lang w:eastAsia="zh-CN"/>
        </w:rPr>
        <w:t>.1投标文件中《供应商资质能力核实结果证明函件》有ISO9000系列认证证书记录，不需提供证书复印件。在更新材料或没有《供应商资质能力核实结果证明函件》的须提供ISO9000系列认证证书复印件。</w:t>
      </w:r>
    </w:p>
    <w:p>
      <w:pPr>
        <w:bidi w:val="0"/>
        <w:rPr>
          <w:rFonts w:hint="eastAsia"/>
          <w:lang w:eastAsia="zh-CN"/>
        </w:rPr>
      </w:pPr>
      <w:r>
        <w:rPr>
          <w:rFonts w:hint="eastAsia"/>
          <w:lang w:val="en-US" w:eastAsia="zh-CN"/>
        </w:rPr>
        <w:t>11</w:t>
      </w:r>
      <w:r>
        <w:rPr>
          <w:rFonts w:hint="eastAsia"/>
          <w:lang w:eastAsia="zh-CN"/>
        </w:rPr>
        <w:t>.</w:t>
      </w:r>
      <w:r>
        <w:rPr>
          <w:rFonts w:hint="eastAsia"/>
          <w:lang w:val="en-US" w:eastAsia="zh-CN"/>
        </w:rPr>
        <w:t>5</w:t>
      </w:r>
      <w:r>
        <w:rPr>
          <w:rFonts w:hint="eastAsia"/>
          <w:lang w:eastAsia="zh-CN"/>
        </w:rPr>
        <w:t>.2  投标人提供的ISO9000系列认证证书应在有效期内。</w:t>
      </w:r>
    </w:p>
    <w:p>
      <w:pPr>
        <w:bidi w:val="0"/>
        <w:rPr>
          <w:rFonts w:hint="eastAsia"/>
          <w:lang w:eastAsia="zh-CN"/>
        </w:rPr>
      </w:pPr>
      <w:r>
        <w:rPr>
          <w:rFonts w:hint="eastAsia"/>
          <w:lang w:val="en-US" w:eastAsia="zh-CN"/>
        </w:rPr>
        <w:t>11.6</w:t>
      </w:r>
      <w:r>
        <w:rPr>
          <w:rFonts w:hint="eastAsia"/>
          <w:lang w:eastAsia="zh-CN"/>
        </w:rPr>
        <w:t>生产试验设备审核标准</w:t>
      </w:r>
    </w:p>
    <w:p>
      <w:pPr>
        <w:bidi w:val="0"/>
        <w:rPr>
          <w:rFonts w:hint="eastAsia"/>
          <w:lang w:eastAsia="zh-CN"/>
        </w:rPr>
      </w:pPr>
      <w:r>
        <w:rPr>
          <w:rFonts w:hint="eastAsia"/>
          <w:lang w:eastAsia="zh-CN"/>
        </w:rPr>
        <w:t>投标文件中《供应商资质能力核实结果证明函件》有生产试验设备记录，不需提供生产试验设备合同和发票等凭证复印件。在更新材料或没有《供应商资质能力核实结果证明函件》的须提供生产试验设备合同和发票等凭证复印件。</w:t>
      </w:r>
    </w:p>
    <w:p>
      <w:pPr>
        <w:pStyle w:val="3"/>
        <w:bidi w:val="0"/>
        <w:ind w:left="0" w:firstLine="320" w:firstLineChars="100"/>
        <w:rPr>
          <w:rFonts w:hint="eastAsia" w:ascii="方正黑体_GBK" w:hAnsi="方正黑体_GBK" w:eastAsia="方正黑体_GBK" w:cs="方正黑体_GBK"/>
          <w:lang w:val="en-US" w:eastAsia="zh-CN"/>
        </w:rPr>
      </w:pPr>
      <w:bookmarkStart w:id="8" w:name="_Toc286333067"/>
      <w:r>
        <w:rPr>
          <w:rFonts w:hint="eastAsia" w:ascii="方正黑体_GBK" w:hAnsi="方正黑体_GBK" w:eastAsia="方正黑体_GBK" w:cs="方正黑体_GBK"/>
          <w:lang w:val="en-US" w:eastAsia="zh-CN"/>
        </w:rPr>
        <w:t>12.联系方式</w:t>
      </w:r>
      <w:bookmarkEnd w:id="8"/>
    </w:p>
    <w:p>
      <w:pPr>
        <w:bidi w:val="0"/>
        <w:rPr>
          <w:rFonts w:hint="eastAsia"/>
          <w:lang w:val="en-US" w:eastAsia="zh-CN"/>
        </w:rPr>
      </w:pPr>
      <w:r>
        <w:rPr>
          <w:rFonts w:hint="eastAsia"/>
          <w:lang w:val="en-US" w:eastAsia="zh-CN"/>
        </w:rPr>
        <w:t>招标代理机构：国网青海电力招标代理有限公司</w:t>
      </w:r>
    </w:p>
    <w:p>
      <w:pPr>
        <w:bidi w:val="0"/>
        <w:rPr>
          <w:rFonts w:hint="eastAsia"/>
          <w:lang w:val="en-US" w:eastAsia="zh-CN"/>
        </w:rPr>
      </w:pPr>
      <w:r>
        <w:rPr>
          <w:rFonts w:hint="eastAsia"/>
          <w:lang w:val="en-US" w:eastAsia="zh-CN"/>
        </w:rPr>
        <w:t>地址：青海省西宁市城北区生物科技产业园经四路12号</w:t>
      </w:r>
    </w:p>
    <w:p>
      <w:pPr>
        <w:bidi w:val="0"/>
        <w:rPr>
          <w:rFonts w:hint="eastAsia"/>
          <w:lang w:val="en-US" w:eastAsia="zh-CN"/>
        </w:rPr>
      </w:pPr>
      <w:r>
        <w:rPr>
          <w:rFonts w:hint="eastAsia"/>
          <w:lang w:val="en-US" w:eastAsia="zh-CN"/>
        </w:rPr>
        <w:t>联系人：沙经理： 0971-6076791   康经理：0971-6076789</w:t>
      </w:r>
    </w:p>
    <w:p>
      <w:pPr>
        <w:bidi w:val="0"/>
        <w:rPr>
          <w:rFonts w:hint="eastAsia"/>
        </w:rPr>
      </w:pPr>
    </w:p>
    <w:p>
      <w:pPr>
        <w:bidi w:val="0"/>
        <w:jc w:val="right"/>
        <w:rPr>
          <w:rFonts w:hint="eastAsia"/>
          <w:lang w:val="en-US" w:eastAsia="zh-CN"/>
        </w:rPr>
      </w:pPr>
      <w:r>
        <w:rPr>
          <w:rFonts w:hint="eastAsia"/>
        </w:rPr>
        <w:t>国网青海电力招标代理有限公司</w:t>
      </w:r>
    </w:p>
    <w:p>
      <w:pPr>
        <w:bidi w:val="0"/>
        <w:jc w:val="right"/>
        <w:rPr>
          <w:rFonts w:hint="eastAsia" w:ascii="Times New Roman" w:hAnsi="Times New Roman" w:cs="Times New Roman"/>
          <w:color w:val="auto"/>
          <w:highlight w:val="none"/>
          <w:lang w:eastAsia="zh-CN"/>
        </w:rPr>
      </w:pPr>
      <w:r>
        <w:rPr>
          <w:rFonts w:hint="eastAsia"/>
          <w:highlight w:val="yellow"/>
          <w:lang w:eastAsia="zh-CN"/>
        </w:rPr>
        <w:t>二〇二一年三月二十</w:t>
      </w:r>
      <w:r>
        <w:rPr>
          <w:rFonts w:hint="eastAsia"/>
          <w:highlight w:val="yellow"/>
          <w:lang w:val="en-US" w:eastAsia="zh-CN"/>
        </w:rPr>
        <w:t>五</w:t>
      </w:r>
      <w:r>
        <w:rPr>
          <w:rFonts w:hint="eastAsia"/>
          <w:highlight w:val="yellow"/>
          <w:lang w:eastAsia="zh-CN"/>
        </w:rPr>
        <w:t>日</w:t>
      </w:r>
    </w:p>
    <w:p>
      <w:pPr>
        <w:jc w:val="center"/>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br w:type="page"/>
      </w:r>
    </w:p>
    <w:p>
      <w:pPr>
        <w:bidi w:val="0"/>
        <w:jc w:val="both"/>
        <w:rPr>
          <w:lang w:eastAsia="zh-CN"/>
        </w:rPr>
      </w:pPr>
      <w:r>
        <w:rPr>
          <w:lang w:eastAsia="zh-CN"/>
        </w:rPr>
        <w:t>本章节内容包含招标公告及投标邀请函两部分。</w:t>
      </w:r>
    </w:p>
    <w:p>
      <w:pPr>
        <w:pStyle w:val="3"/>
        <w:spacing w:beforeLines="50" w:afterLines="50" w:line="564" w:lineRule="exact"/>
        <w:ind w:left="0" w:right="57"/>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第一章招标邀请书</w:t>
      </w:r>
    </w:p>
    <w:p>
      <w:pPr>
        <w:adjustRightInd w:val="0"/>
        <w:snapToGrid w:val="0"/>
        <w:jc w:val="center"/>
        <w:rPr>
          <w:rFonts w:hint="eastAsia" w:ascii="方正小标宋_GBK" w:hAnsi="方正小标宋_GBK" w:eastAsia="方正小标宋_GBK" w:cs="方正小标宋_GBK"/>
          <w:sz w:val="32"/>
          <w:szCs w:val="32"/>
          <w:lang w:eastAsia="zh-CN"/>
        </w:rPr>
      </w:pPr>
      <w:r>
        <w:rPr>
          <w:rFonts w:hint="eastAsia" w:ascii="方正小标宋_GBK" w:hAnsi="方正小标宋_GBK" w:eastAsia="方正小标宋_GBK" w:cs="方正小标宋_GBK"/>
          <w:sz w:val="32"/>
          <w:szCs w:val="32"/>
          <w:lang w:eastAsia="zh-CN"/>
        </w:rPr>
        <w:t>国网青海省电力公司2021年第一次配网物资协议库存招标采购</w:t>
      </w:r>
    </w:p>
    <w:p>
      <w:pPr>
        <w:adjustRightInd w:val="0"/>
        <w:snapToGrid w:val="0"/>
        <w:jc w:val="center"/>
        <w:rPr>
          <w:rFonts w:hint="eastAsia" w:ascii="方正小标宋_GBK" w:hAnsi="方正小标宋_GBK" w:eastAsia="方正小标宋_GBK" w:cs="方正小标宋_GBK"/>
          <w:sz w:val="32"/>
          <w:szCs w:val="32"/>
          <w:lang w:eastAsia="zh-CN"/>
        </w:rPr>
      </w:pPr>
      <w:r>
        <w:rPr>
          <w:rFonts w:hint="eastAsia" w:ascii="方正小标宋_GBK" w:hAnsi="方正小标宋_GBK" w:eastAsia="方正小标宋_GBK" w:cs="方正小标宋_GBK"/>
          <w:sz w:val="32"/>
          <w:szCs w:val="32"/>
          <w:lang w:eastAsia="zh-CN"/>
        </w:rPr>
        <w:t>招标公告</w:t>
      </w:r>
    </w:p>
    <w:p>
      <w:pPr>
        <w:pStyle w:val="3"/>
        <w:spacing w:line="572" w:lineRule="exact"/>
        <w:ind w:left="0" w:right="57"/>
        <w:jc w:val="center"/>
        <w:rPr>
          <w:rFonts w:hint="eastAsia" w:ascii="方正小标宋_GBK" w:hAnsi="方正小标宋_GBK" w:eastAsia="方正小标宋_GBK" w:cs="方正小标宋_GBK"/>
          <w:b w:val="0"/>
          <w:bCs w:val="0"/>
          <w:sz w:val="32"/>
          <w:szCs w:val="32"/>
          <w:lang w:eastAsia="zh-CN"/>
        </w:rPr>
      </w:pPr>
      <w:r>
        <w:rPr>
          <w:rFonts w:hint="eastAsia" w:ascii="方正小标宋_GBK" w:hAnsi="方正小标宋_GBK" w:eastAsia="方正小标宋_GBK" w:cs="方正小标宋_GBK"/>
          <w:sz w:val="32"/>
          <w:szCs w:val="32"/>
          <w:lang w:eastAsia="zh-CN"/>
        </w:rPr>
        <w:t>招标编号：282</w:t>
      </w:r>
      <w:r>
        <w:rPr>
          <w:rFonts w:hint="eastAsia" w:ascii="方正小标宋_GBK" w:hAnsi="方正小标宋_GBK" w:eastAsia="方正小标宋_GBK" w:cs="方正小标宋_GBK"/>
          <w:sz w:val="32"/>
          <w:szCs w:val="32"/>
          <w:lang w:val="en-US" w:eastAsia="zh-CN"/>
        </w:rPr>
        <w:t>1</w:t>
      </w:r>
      <w:r>
        <w:rPr>
          <w:rFonts w:hint="eastAsia" w:ascii="方正小标宋_GBK" w:hAnsi="方正小标宋_GBK" w:eastAsia="方正小标宋_GBK" w:cs="方正小标宋_GBK"/>
          <w:sz w:val="32"/>
          <w:szCs w:val="32"/>
          <w:lang w:eastAsia="zh-CN"/>
        </w:rPr>
        <w:t>A</w:t>
      </w:r>
      <w:r>
        <w:rPr>
          <w:rFonts w:hint="eastAsia" w:ascii="方正小标宋_GBK" w:hAnsi="方正小标宋_GBK" w:eastAsia="方正小标宋_GBK" w:cs="方正小标宋_GBK"/>
          <w:sz w:val="32"/>
          <w:szCs w:val="32"/>
          <w:lang w:val="en-US" w:eastAsia="zh-CN"/>
        </w:rPr>
        <w:t>A</w:t>
      </w:r>
    </w:p>
    <w:p>
      <w:pPr>
        <w:tabs>
          <w:tab w:val="left" w:pos="1118"/>
        </w:tabs>
        <w:spacing w:before="372"/>
        <w:ind w:right="56"/>
        <w:jc w:val="center"/>
        <w:rPr>
          <w:rFonts w:ascii="宋体" w:cs="宋体"/>
          <w:b/>
          <w:sz w:val="32"/>
          <w:szCs w:val="28"/>
          <w:lang w:eastAsia="zh-CN"/>
        </w:rPr>
      </w:pPr>
      <w:r>
        <w:rPr>
          <w:rFonts w:hint="eastAsia" w:ascii="宋体" w:hAnsi="宋体"/>
          <w:b/>
          <w:sz w:val="32"/>
          <w:szCs w:val="28"/>
          <w:lang w:eastAsia="zh-CN"/>
        </w:rPr>
        <w:t>（适用于资格预审）</w:t>
      </w:r>
    </w:p>
    <w:p>
      <w:pPr>
        <w:spacing w:before="10"/>
        <w:rPr>
          <w:rFonts w:ascii="宋体" w:cs="宋体"/>
          <w:sz w:val="19"/>
          <w:szCs w:val="19"/>
          <w:lang w:eastAsia="zh-CN"/>
        </w:rPr>
      </w:pPr>
    </w:p>
    <w:p>
      <w:pPr>
        <w:pStyle w:val="3"/>
        <w:bidi w:val="0"/>
        <w:ind w:left="0" w:firstLine="320" w:firstLineChars="100"/>
        <w:rPr>
          <w:rFonts w:hint="eastAsia" w:ascii="方正黑体_GBK" w:hAnsi="方正黑体_GBK" w:eastAsia="方正黑体_GBK" w:cs="方正黑体_GBK"/>
          <w:lang w:val="en-US" w:eastAsia="zh-CN"/>
        </w:rPr>
      </w:pPr>
      <w:bookmarkStart w:id="9" w:name="_bookmark10"/>
      <w:bookmarkEnd w:id="9"/>
      <w:r>
        <w:rPr>
          <w:rFonts w:hint="eastAsia" w:ascii="方正黑体_GBK" w:hAnsi="方正黑体_GBK" w:eastAsia="方正黑体_GBK" w:cs="方正黑体_GBK"/>
          <w:lang w:val="en-US" w:eastAsia="zh-CN"/>
        </w:rPr>
        <w:t>1. 招标条件</w:t>
      </w:r>
    </w:p>
    <w:p>
      <w:pPr>
        <w:spacing w:before="15"/>
        <w:rPr>
          <w:rFonts w:ascii="Microsoft JhengHei" w:hAnsi="Microsoft JhengHei" w:eastAsia="Microsoft JhengHei" w:cs="Microsoft JhengHei"/>
          <w:b/>
          <w:bCs/>
          <w:sz w:val="19"/>
          <w:szCs w:val="19"/>
          <w:lang w:eastAsia="zh-CN"/>
        </w:rPr>
      </w:pPr>
    </w:p>
    <w:p>
      <w:pPr>
        <w:bidi w:val="0"/>
        <w:rPr>
          <w:rFonts w:hint="eastAsia"/>
          <w:lang w:eastAsia="zh-CN"/>
        </w:rPr>
      </w:pPr>
      <w:r>
        <w:rPr>
          <w:rFonts w:hint="eastAsia"/>
          <w:lang w:eastAsia="zh-CN"/>
        </w:rPr>
        <w:t>本招标项目招标人为国网青海省电力公司，招标项目资金来自项目单位自筹、银行贷款，出资比例为100%。该项目已具备招标条件，现对该项目采购进行公开招标。</w:t>
      </w:r>
    </w:p>
    <w:p>
      <w:pPr>
        <w:bidi w:val="0"/>
        <w:rPr>
          <w:rFonts w:hint="eastAsia"/>
          <w:lang w:eastAsia="zh-CN"/>
        </w:rPr>
      </w:pPr>
      <w:r>
        <w:rPr>
          <w:rFonts w:hint="eastAsia"/>
          <w:lang w:eastAsia="zh-CN"/>
        </w:rPr>
        <w:t>招标人委托国网青海电力招标代理有限公司（以下简称“招标代理机构”），采用公开招标方式邀请有兴趣的合格投标人（以下简称“投标人”）就国网青海省电力公司2021年第一次配网物资协议库存招标采购项目的供货和服务提交密封的有竞争性的投标文件。</w:t>
      </w:r>
    </w:p>
    <w:p>
      <w:pPr>
        <w:spacing w:before="3"/>
        <w:rPr>
          <w:rFonts w:ascii="宋体" w:cs="宋体"/>
          <w:color w:val="auto"/>
          <w:sz w:val="12"/>
          <w:szCs w:val="12"/>
          <w:lang w:eastAsia="zh-CN"/>
        </w:rPr>
      </w:pPr>
    </w:p>
    <w:p>
      <w:pPr>
        <w:pStyle w:val="3"/>
        <w:bidi w:val="0"/>
        <w:ind w:left="0" w:firstLine="320" w:firstLineChars="100"/>
        <w:rPr>
          <w:rFonts w:hint="eastAsia" w:ascii="方正黑体_GBK" w:hAnsi="方正黑体_GBK" w:eastAsia="方正黑体_GBK" w:cs="方正黑体_GBK"/>
          <w:lang w:val="en-US" w:eastAsia="zh-CN"/>
        </w:rPr>
      </w:pPr>
      <w:bookmarkStart w:id="10" w:name="_bookmark11"/>
      <w:bookmarkEnd w:id="10"/>
      <w:r>
        <w:rPr>
          <w:rFonts w:hint="eastAsia" w:ascii="方正黑体_GBK" w:hAnsi="方正黑体_GBK" w:eastAsia="方正黑体_GBK" w:cs="方正黑体_GBK"/>
          <w:lang w:val="en-US" w:eastAsia="zh-CN"/>
        </w:rPr>
        <w:t>2. 项目概况与招标范围</w:t>
      </w:r>
    </w:p>
    <w:tbl>
      <w:tblPr>
        <w:tblStyle w:val="34"/>
        <w:tblpPr w:leftFromText="180" w:rightFromText="180" w:vertAnchor="text" w:horzAnchor="page" w:tblpX="1167" w:tblpY="460"/>
        <w:tblOverlap w:val="never"/>
        <w:tblW w:w="9846"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27"/>
        <w:gridCol w:w="2264"/>
        <w:gridCol w:w="621"/>
        <w:gridCol w:w="1092"/>
        <w:gridCol w:w="624"/>
        <w:gridCol w:w="1209"/>
        <w:gridCol w:w="240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blHeader/>
        </w:trPr>
        <w:tc>
          <w:tcPr>
            <w:tcW w:w="1627" w:type="dxa"/>
            <w:vMerge w:val="restart"/>
            <w:tcBorders>
              <w:top w:val="double" w:color="auto" w:sz="4"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20"/>
                <w:szCs w:val="20"/>
              </w:rPr>
            </w:pPr>
            <w:bookmarkStart w:id="11" w:name="_bookmark12"/>
            <w:bookmarkEnd w:id="11"/>
            <w:r>
              <w:rPr>
                <w:rFonts w:hint="eastAsia" w:asciiTheme="minorEastAsia" w:hAnsiTheme="minorEastAsia" w:eastAsiaTheme="minorEastAsia" w:cstheme="minorEastAsia"/>
                <w:b/>
                <w:sz w:val="20"/>
                <w:szCs w:val="20"/>
              </w:rPr>
              <w:t>分标编号</w:t>
            </w:r>
          </w:p>
        </w:tc>
        <w:tc>
          <w:tcPr>
            <w:tcW w:w="2264" w:type="dxa"/>
            <w:vMerge w:val="restart"/>
            <w:tcBorders>
              <w:top w:val="double" w:color="auto" w:sz="4" w:space="0"/>
              <w:left w:val="single" w:color="auto" w:sz="2"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货物名称</w:t>
            </w:r>
          </w:p>
        </w:tc>
        <w:tc>
          <w:tcPr>
            <w:tcW w:w="621" w:type="dxa"/>
            <w:vMerge w:val="restart"/>
            <w:tcBorders>
              <w:top w:val="double" w:color="auto" w:sz="4" w:space="0"/>
              <w:left w:val="single" w:color="auto" w:sz="2"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单位</w:t>
            </w:r>
          </w:p>
        </w:tc>
        <w:tc>
          <w:tcPr>
            <w:tcW w:w="1092" w:type="dxa"/>
            <w:vMerge w:val="restart"/>
            <w:tcBorders>
              <w:top w:val="double" w:color="auto" w:sz="4" w:space="0"/>
              <w:left w:val="single" w:color="auto" w:sz="2"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数量</w:t>
            </w:r>
          </w:p>
        </w:tc>
        <w:tc>
          <w:tcPr>
            <w:tcW w:w="1833" w:type="dxa"/>
            <w:gridSpan w:val="2"/>
            <w:tcBorders>
              <w:top w:val="double" w:color="auto" w:sz="4" w:space="0"/>
              <w:left w:val="single" w:color="auto" w:sz="2" w:space="0"/>
              <w:bottom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合同包</w:t>
            </w:r>
          </w:p>
        </w:tc>
        <w:tc>
          <w:tcPr>
            <w:tcW w:w="2409" w:type="dxa"/>
            <w:vMerge w:val="restart"/>
            <w:tcBorders>
              <w:top w:val="double" w:color="auto" w:sz="4" w:space="0"/>
              <w:lef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20"/>
                <w:szCs w:val="20"/>
                <w:lang w:eastAsia="zh-CN"/>
              </w:rPr>
            </w:pPr>
            <w:r>
              <w:rPr>
                <w:rFonts w:hint="eastAsia" w:asciiTheme="minorEastAsia" w:hAnsiTheme="minorEastAsia" w:eastAsiaTheme="minorEastAsia" w:cstheme="minorEastAsia"/>
                <w:b/>
                <w:sz w:val="20"/>
                <w:szCs w:val="20"/>
                <w:lang w:eastAsia="zh-CN"/>
              </w:rPr>
              <w:t>自买方发出《供货单》后要求的交货期</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blHeader/>
        </w:trPr>
        <w:tc>
          <w:tcPr>
            <w:tcW w:w="1627" w:type="dxa"/>
            <w:vMerge w:val="continue"/>
            <w:tcBorders>
              <w:bottom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b/>
                <w:sz w:val="20"/>
                <w:szCs w:val="20"/>
                <w:lang w:eastAsia="zh-CN"/>
              </w:rPr>
            </w:pPr>
          </w:p>
        </w:tc>
        <w:tc>
          <w:tcPr>
            <w:tcW w:w="2264" w:type="dxa"/>
            <w:vMerge w:val="continue"/>
            <w:tcBorders>
              <w:left w:val="single" w:color="auto" w:sz="2" w:space="0"/>
              <w:bottom w:val="single" w:color="auto" w:sz="2" w:space="0"/>
              <w:right w:val="single" w:color="auto" w:sz="2" w:space="0"/>
            </w:tcBorders>
            <w:vAlign w:val="bottom"/>
          </w:tcPr>
          <w:p>
            <w:pPr>
              <w:adjustRightInd w:val="0"/>
              <w:snapToGrid w:val="0"/>
              <w:ind w:left="0" w:leftChars="0" w:firstLine="0" w:firstLineChars="0"/>
              <w:jc w:val="center"/>
              <w:rPr>
                <w:rFonts w:hint="eastAsia" w:asciiTheme="minorEastAsia" w:hAnsiTheme="minorEastAsia" w:eastAsiaTheme="minorEastAsia" w:cstheme="minorEastAsia"/>
                <w:b/>
                <w:sz w:val="20"/>
                <w:szCs w:val="20"/>
                <w:lang w:eastAsia="zh-CN"/>
              </w:rPr>
            </w:pPr>
          </w:p>
        </w:tc>
        <w:tc>
          <w:tcPr>
            <w:tcW w:w="621" w:type="dxa"/>
            <w:vMerge w:val="continue"/>
            <w:tcBorders>
              <w:left w:val="single" w:color="auto" w:sz="2" w:space="0"/>
              <w:bottom w:val="single" w:color="auto" w:sz="2" w:space="0"/>
              <w:right w:val="single" w:color="auto" w:sz="2" w:space="0"/>
            </w:tcBorders>
            <w:vAlign w:val="bottom"/>
          </w:tcPr>
          <w:p>
            <w:pPr>
              <w:adjustRightInd w:val="0"/>
              <w:snapToGrid w:val="0"/>
              <w:ind w:left="0" w:leftChars="0" w:firstLine="0" w:firstLineChars="0"/>
              <w:jc w:val="center"/>
              <w:rPr>
                <w:rFonts w:hint="eastAsia" w:asciiTheme="minorEastAsia" w:hAnsiTheme="minorEastAsia" w:eastAsiaTheme="minorEastAsia" w:cstheme="minorEastAsia"/>
                <w:b/>
                <w:sz w:val="20"/>
                <w:szCs w:val="20"/>
                <w:lang w:eastAsia="zh-CN"/>
              </w:rPr>
            </w:pPr>
          </w:p>
        </w:tc>
        <w:tc>
          <w:tcPr>
            <w:tcW w:w="1092" w:type="dxa"/>
            <w:vMerge w:val="continue"/>
            <w:tcBorders>
              <w:left w:val="single" w:color="auto" w:sz="2" w:space="0"/>
              <w:bottom w:val="single" w:color="auto" w:sz="2" w:space="0"/>
              <w:right w:val="single" w:color="auto" w:sz="2" w:space="0"/>
            </w:tcBorders>
            <w:vAlign w:val="bottom"/>
          </w:tcPr>
          <w:p>
            <w:pPr>
              <w:adjustRightInd w:val="0"/>
              <w:snapToGrid w:val="0"/>
              <w:ind w:left="0" w:leftChars="0" w:firstLine="0" w:firstLineChars="0"/>
              <w:jc w:val="center"/>
              <w:rPr>
                <w:rFonts w:hint="eastAsia" w:asciiTheme="minorEastAsia" w:hAnsiTheme="minorEastAsia" w:eastAsiaTheme="minorEastAsia" w:cstheme="minorEastAsia"/>
                <w:b/>
                <w:sz w:val="20"/>
                <w:szCs w:val="20"/>
                <w:lang w:eastAsia="zh-CN"/>
              </w:rPr>
            </w:pPr>
          </w:p>
        </w:tc>
        <w:tc>
          <w:tcPr>
            <w:tcW w:w="624" w:type="dxa"/>
            <w:tcBorders>
              <w:left w:val="single" w:color="auto" w:sz="2" w:space="0"/>
              <w:bottom w:val="single" w:color="auto" w:sz="2"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个数</w:t>
            </w:r>
          </w:p>
        </w:tc>
        <w:tc>
          <w:tcPr>
            <w:tcW w:w="1209" w:type="dxa"/>
            <w:tcBorders>
              <w:left w:val="single" w:color="auto" w:sz="2" w:space="0"/>
              <w:bottom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20"/>
                <w:szCs w:val="20"/>
                <w:lang w:eastAsia="zh-CN"/>
              </w:rPr>
            </w:pPr>
            <w:r>
              <w:rPr>
                <w:rFonts w:hint="eastAsia" w:asciiTheme="minorEastAsia" w:hAnsiTheme="minorEastAsia" w:eastAsiaTheme="minorEastAsia" w:cstheme="minorEastAsia"/>
                <w:b/>
                <w:sz w:val="20"/>
                <w:szCs w:val="20"/>
                <w:lang w:eastAsia="zh-CN"/>
              </w:rPr>
              <w:t>包号</w:t>
            </w:r>
          </w:p>
        </w:tc>
        <w:tc>
          <w:tcPr>
            <w:tcW w:w="2409" w:type="dxa"/>
            <w:vMerge w:val="continue"/>
            <w:tcBorders>
              <w:left w:val="single" w:color="auto" w:sz="2" w:space="0"/>
              <w:bottom w:val="single" w:color="auto" w:sz="2" w:space="0"/>
            </w:tcBorders>
          </w:tcPr>
          <w:p>
            <w:pPr>
              <w:adjustRightInd w:val="0"/>
              <w:snapToGrid w:val="0"/>
              <w:jc w:val="center"/>
              <w:rPr>
                <w:rFonts w:hint="eastAsia" w:asciiTheme="minorEastAsia" w:hAnsiTheme="minorEastAsia" w:eastAsiaTheme="minorEastAsia" w:cstheme="minorEastAsia"/>
                <w:b/>
                <w:sz w:val="20"/>
                <w:szCs w:val="20"/>
                <w:lang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2821AA-1001002-9999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10kV变压器</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台</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15</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2821AA-1001012-0001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10kV箱式变电站（欧式）</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2821AA-1001012-0002</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10kV箱式变电站（美式）</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2821AA-1020001-9999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交流避雷器</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台</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14036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2821AA-1022001-0001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高压熔断器（跌落式）</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4974</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2821AA-1035001-9999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10kV柱上变压器台成套设备</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518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2821AA-1035004-0001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一二次融合成套环网箱（SF6）</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105</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2821AA-1035004-0002</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一二次融合成套环网箱（固体）</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2821AA-1035006-0001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一二次融合成套柱上断路器（常规）</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1693</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6</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包1~包6</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2821AA-1010001-0001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10kV三相隔离开关（常规式）</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组</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3428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2821AA-1016001-9998</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高压开关柜</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面</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80</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2821AA-1408007-9999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电缆分支箱</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1328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2821AA-1016008-9999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配电箱</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9544</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包1~包13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2821AA-1106018-9999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电能计量箱</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34791</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包1~包5</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2821AA-1304049-0001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接地短路故障指示器</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台</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2948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2821AA-1402001-9999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钢芯铝绞线</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吨</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427.439</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2821AA-1402005-0001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10kV架空绝缘导线</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千米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6594.062</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6</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包1~包6</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2821AA-1402005-0002</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1kV架空绝缘导线</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千米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4067.943</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2821AA-1404001-9999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电力电缆</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千米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166.222</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包1~包4</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2821AA-1404002-9999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低压电力电缆</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千米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8067.368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9</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包1~包9</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2821AA-1404003-9999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控制电缆</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687780</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2821AA-1408000-9999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电缆附件</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16553</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2821AA-1406032-9999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铁构件</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吨</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7995.805</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8</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包1~包8</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2821AA-1407000-9999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金具</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付</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1439446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2821AA-1401001-9999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钢管杆（桩）</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吨</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2591.912</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2821AA-1401002-0001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锥形水泥杆（非预应力）</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根</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53912</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包1~包12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2821AA-1401002-0002</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锥形水泥杆（部分预应力）</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根</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960</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2821AA-1405015-9999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蝶式绝缘子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150210</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2821AA-1405022-9999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针式瓷绝缘子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110224</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2821AA-1405025-9999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交流盘形悬式瓷绝缘子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片</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51489</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2821AA-1405033-9999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交流棒形悬式复合绝缘子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支</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65947</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2821AA-1405037-9999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线路柱式瓷绝缘子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108640</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以采购供货单为准</w:t>
            </w:r>
          </w:p>
        </w:tc>
      </w:tr>
    </w:tbl>
    <w:p>
      <w:pPr>
        <w:adjustRightInd w:val="0"/>
        <w:snapToGrid w:val="0"/>
        <w:ind w:firstLine="315" w:firstLineChars="98"/>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t>招标货物及其数量、合同包个数</w:t>
      </w:r>
    </w:p>
    <w:p>
      <w:pPr>
        <w:adjustRightInd w:val="0"/>
        <w:snapToGrid w:val="0"/>
        <w:rPr>
          <w:b/>
          <w:sz w:val="21"/>
          <w:szCs w:val="21"/>
          <w:lang w:eastAsia="zh-CN"/>
        </w:rPr>
      </w:pPr>
    </w:p>
    <w:p>
      <w:pPr>
        <w:bidi w:val="0"/>
        <w:rPr>
          <w:lang w:eastAsia="zh-CN"/>
        </w:rPr>
      </w:pPr>
      <w:r>
        <w:rPr>
          <w:rFonts w:hint="eastAsia"/>
          <w:lang w:eastAsia="zh-CN"/>
        </w:rPr>
        <w:t>货物清单单独成册，是本邀请书附件。</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3. 投标人资格要求</w:t>
      </w:r>
    </w:p>
    <w:p>
      <w:pPr>
        <w:bidi w:val="0"/>
        <w:rPr>
          <w:rFonts w:hint="eastAsia"/>
          <w:lang w:eastAsia="zh-CN"/>
        </w:rPr>
      </w:pPr>
      <w:r>
        <w:rPr>
          <w:rFonts w:hint="eastAsia"/>
          <w:lang w:eastAsia="zh-CN"/>
        </w:rPr>
        <w:t>本次招标要求投标人须为中华人民共和国境内依法注册的法人或其他组织，须具备相应货物的制造能力，并在人员、设备、资金等方面具有保障如期交货等承担招标项目的能力。除特别注明外，这些资格、资质、业绩均系投标人本企业所拥有的权利权益。</w:t>
      </w:r>
    </w:p>
    <w:p>
      <w:pPr>
        <w:pStyle w:val="4"/>
        <w:bidi w:val="0"/>
        <w:rPr>
          <w:rFonts w:hint="eastAsia"/>
          <w:lang w:eastAsia="zh-CN"/>
        </w:rPr>
      </w:pPr>
      <w:r>
        <w:rPr>
          <w:rFonts w:hint="eastAsia"/>
          <w:lang w:eastAsia="zh-CN"/>
        </w:rPr>
        <w:t>3.1通用资格要求：</w:t>
      </w:r>
    </w:p>
    <w:p>
      <w:pPr>
        <w:bidi w:val="0"/>
        <w:rPr>
          <w:rFonts w:hint="eastAsia"/>
          <w:lang w:eastAsia="zh-CN"/>
        </w:rPr>
      </w:pPr>
      <w:bookmarkStart w:id="12" w:name="_bookmark13"/>
      <w:bookmarkEnd w:id="12"/>
      <w:r>
        <w:rPr>
          <w:rFonts w:hint="eastAsia"/>
          <w:lang w:eastAsia="zh-CN"/>
        </w:rPr>
        <w:t>（1）必须具有生产投标产品所需的生产场地、生产设备、生产人员、产品及元器件检测能力。这些制造、检测能力应当分别相等或者优于《2021年版配（农）网物资供应商资质能力核实标准》（国家电网公司电子商务平台公开发布）提出的制造、检测设备。</w:t>
      </w:r>
    </w:p>
    <w:p>
      <w:pPr>
        <w:bidi w:val="0"/>
        <w:rPr>
          <w:rFonts w:hint="eastAsia"/>
          <w:lang w:eastAsia="zh-CN"/>
        </w:rPr>
      </w:pPr>
      <w:r>
        <w:rPr>
          <w:rFonts w:hint="eastAsia"/>
          <w:lang w:eastAsia="zh-CN"/>
        </w:rPr>
        <w:t>（2）设计制造过与投标产品相同结构、相同型式、同等或以上技术规格的产品。在与规范相同或较规范更严格的条件下，该产品的投运数量及其成功运行时间或者合同数量满足要求。如同一包内存在不同类别的设备，则投标人须分别满足包内各类别设备的资格要求。</w:t>
      </w:r>
    </w:p>
    <w:p>
      <w:pPr>
        <w:bidi w:val="0"/>
        <w:rPr>
          <w:rFonts w:hint="eastAsia"/>
          <w:lang w:eastAsia="zh-CN"/>
        </w:rPr>
      </w:pPr>
      <w:r>
        <w:rPr>
          <w:rFonts w:hint="eastAsia"/>
          <w:lang w:eastAsia="zh-CN"/>
        </w:rPr>
        <w:t>（3）投标产品以及专门资格条件接受外购外协的产品、组件，取得国际专业权威机构或者国家级专业检验检测机构出具的产品有效试验报告，且试验报告检测项目、结果数据、检测有效期符合相应产品最新国家、行业标准以及本次招标技术规范的规定：</w:t>
      </w:r>
    </w:p>
    <w:p>
      <w:pPr>
        <w:bidi w:val="0"/>
        <w:rPr>
          <w:rFonts w:hint="eastAsia"/>
          <w:lang w:eastAsia="zh-CN"/>
        </w:rPr>
      </w:pPr>
      <w:r>
        <w:rPr>
          <w:rFonts w:hint="eastAsia"/>
          <w:lang w:eastAsia="zh-CN"/>
        </w:rPr>
        <w:t>国家、行业已经发布相应产品标准的，投标人须取得国家级权威检验检测机构出具的型式试验报告；</w:t>
      </w:r>
    </w:p>
    <w:p>
      <w:pPr>
        <w:bidi w:val="0"/>
        <w:rPr>
          <w:rFonts w:hint="eastAsia"/>
          <w:lang w:eastAsia="zh-CN"/>
        </w:rPr>
      </w:pPr>
      <w:r>
        <w:rPr>
          <w:rFonts w:hint="eastAsia"/>
          <w:lang w:eastAsia="zh-CN"/>
        </w:rPr>
        <w:t>国家、行业尚未发布相应产品标准的，投标人须取得国家级权威检验检测机构出具的专业检测报告。专业检测是指国家电网公司新技术产品或者根据现场运行需要，委托国家级检验检测机构公开邀请进行的专门检测活动。</w:t>
      </w:r>
    </w:p>
    <w:p>
      <w:pPr>
        <w:bidi w:val="0"/>
        <w:rPr>
          <w:rFonts w:hint="eastAsia"/>
          <w:lang w:eastAsia="zh-CN"/>
        </w:rPr>
      </w:pPr>
      <w:r>
        <w:rPr>
          <w:rFonts w:hint="eastAsia"/>
          <w:lang w:eastAsia="zh-CN"/>
        </w:rPr>
        <w:t>各类试验报告均系针对具体型式规格产品的试验报告。</w:t>
      </w:r>
    </w:p>
    <w:p>
      <w:pPr>
        <w:bidi w:val="0"/>
        <w:rPr>
          <w:rFonts w:hint="eastAsia"/>
          <w:lang w:eastAsia="zh-CN"/>
        </w:rPr>
      </w:pPr>
      <w:r>
        <w:rPr>
          <w:rFonts w:hint="eastAsia"/>
          <w:lang w:eastAsia="zh-CN"/>
        </w:rPr>
        <w:t>（4）取得国家法律、法规、部门规章规定的有效许可证件。</w:t>
      </w:r>
    </w:p>
    <w:p>
      <w:pPr>
        <w:bidi w:val="0"/>
        <w:rPr>
          <w:rFonts w:hint="eastAsia"/>
          <w:lang w:eastAsia="zh-CN"/>
        </w:rPr>
      </w:pPr>
      <w:r>
        <w:rPr>
          <w:rFonts w:hint="eastAsia"/>
          <w:lang w:eastAsia="zh-CN"/>
        </w:rPr>
        <w:t>（5）投标人取得有效的ISO9000系列质量保证体系认证书。</w:t>
      </w:r>
    </w:p>
    <w:p>
      <w:pPr>
        <w:bidi w:val="0"/>
        <w:rPr>
          <w:rFonts w:hint="eastAsia"/>
          <w:lang w:eastAsia="zh-CN"/>
        </w:rPr>
      </w:pPr>
      <w:r>
        <w:rPr>
          <w:rFonts w:hint="eastAsia"/>
          <w:lang w:eastAsia="zh-CN"/>
        </w:rPr>
        <w:t>（6）取得招标文件要求的有效认证证书。</w:t>
      </w:r>
    </w:p>
    <w:p>
      <w:pPr>
        <w:bidi w:val="0"/>
        <w:rPr>
          <w:rFonts w:hint="eastAsia"/>
          <w:lang w:eastAsia="zh-CN"/>
        </w:rPr>
      </w:pPr>
      <w:r>
        <w:rPr>
          <w:rFonts w:hint="eastAsia"/>
          <w:lang w:eastAsia="zh-CN"/>
        </w:rPr>
        <w:t>（7）法定代表人或单位负责人为同一人或者存在控股、管理关系的不同单位，不得参加同一标包投标或者未划分标包的同一招标项目投标。</w:t>
      </w:r>
    </w:p>
    <w:p>
      <w:pPr>
        <w:bidi w:val="0"/>
        <w:rPr>
          <w:rFonts w:hint="eastAsia"/>
          <w:lang w:eastAsia="zh-CN"/>
        </w:rPr>
      </w:pPr>
      <w:r>
        <w:rPr>
          <w:rFonts w:hint="eastAsia"/>
          <w:lang w:eastAsia="zh-CN"/>
        </w:rPr>
        <w:t>（8）应有良好的财务状况，具体要求详见招标文件第2章投标人须知第3.5.2规定。</w:t>
      </w:r>
    </w:p>
    <w:p>
      <w:pPr>
        <w:bidi w:val="0"/>
        <w:rPr>
          <w:rFonts w:hint="eastAsia"/>
          <w:lang w:eastAsia="zh-CN"/>
        </w:rPr>
      </w:pPr>
      <w:r>
        <w:rPr>
          <w:rFonts w:hint="eastAsia"/>
          <w:lang w:eastAsia="zh-CN"/>
        </w:rPr>
        <w:t>（9）本招标活动不接受贴牌代工的投标以及其他任何分包行为的投标。</w:t>
      </w:r>
    </w:p>
    <w:p>
      <w:pPr>
        <w:bidi w:val="0"/>
        <w:rPr>
          <w:rFonts w:hint="eastAsia"/>
          <w:lang w:eastAsia="zh-CN"/>
        </w:rPr>
      </w:pPr>
      <w:r>
        <w:rPr>
          <w:rFonts w:hint="eastAsia"/>
          <w:lang w:eastAsia="zh-CN"/>
        </w:rPr>
        <w:t>（10）投标产品不得选配缺陷责任期（自设备投运之日起两年内）发生产品质量问题（接续、接触机械电气性能，支撑、封闭绝缘性能，以及电力电子性能下降、老化、毁损、丧失）导致设备停运检修的组件材料制造商的产品。</w:t>
      </w:r>
    </w:p>
    <w:p>
      <w:pPr>
        <w:bidi w:val="0"/>
        <w:rPr>
          <w:rFonts w:hint="eastAsia"/>
          <w:lang w:eastAsia="zh-CN"/>
        </w:rPr>
      </w:pPr>
      <w:r>
        <w:rPr>
          <w:rFonts w:hint="eastAsia"/>
          <w:lang w:eastAsia="zh-CN"/>
        </w:rPr>
        <w:t>（11）提供的同类材料未因该材料原因出现过质量问题（或出现过质量问题，但已采取了有效的整改措施及善后处理，并通过国家电网公司或所在省公司的验收。</w:t>
      </w:r>
    </w:p>
    <w:p>
      <w:pPr>
        <w:bidi w:val="0"/>
        <w:rPr>
          <w:rFonts w:hint="eastAsia"/>
          <w:lang w:eastAsia="zh-CN"/>
        </w:rPr>
      </w:pPr>
      <w:r>
        <w:rPr>
          <w:rFonts w:hint="eastAsia"/>
          <w:lang w:eastAsia="zh-CN"/>
        </w:rPr>
        <w:t>（12）在国内材料销售合同执行过程中，未因严重质量问题而造成批量退货（退货量占合同金额10%及以上）或严重影响施工，或出现过其它重大问题，但已采取了有效的整改措施及善后处理，并通过国家电网公司或所在省公司的验收。</w:t>
      </w:r>
    </w:p>
    <w:p>
      <w:pPr>
        <w:bidi w:val="0"/>
        <w:rPr>
          <w:rFonts w:hint="eastAsia"/>
          <w:lang w:eastAsia="zh-CN"/>
        </w:rPr>
      </w:pPr>
      <w:r>
        <w:rPr>
          <w:rFonts w:hint="eastAsia"/>
          <w:lang w:eastAsia="zh-CN"/>
        </w:rPr>
        <w:t>（13）在国内材料销售合同执行过程中，未因货物和/或投标人图纸的交付拖延问题而严重影响施工和工程进度，或出现过其它重大问题，但已采取了有效的整改措施及善后处理，并通过国家电网公司或所在国网省级电力公司的验收。</w:t>
      </w:r>
    </w:p>
    <w:p>
      <w:pPr>
        <w:bidi w:val="0"/>
        <w:rPr>
          <w:rFonts w:hint="eastAsia"/>
          <w:lang w:eastAsia="zh-CN"/>
        </w:rPr>
      </w:pPr>
      <w:r>
        <w:rPr>
          <w:rFonts w:hint="eastAsia"/>
          <w:lang w:eastAsia="zh-CN"/>
        </w:rPr>
        <w:t>（14）按照《国家电网公司供应商不良行为处理管理细则》规定，未存在因不良行为导致本批次暂停、取消或永久取消中标资格的。</w:t>
      </w:r>
    </w:p>
    <w:p>
      <w:pPr>
        <w:bidi w:val="0"/>
        <w:rPr>
          <w:rFonts w:hint="eastAsia"/>
          <w:lang w:eastAsia="zh-CN"/>
        </w:rPr>
      </w:pPr>
      <w:r>
        <w:rPr>
          <w:rFonts w:hint="eastAsia"/>
          <w:lang w:eastAsia="zh-CN"/>
        </w:rPr>
        <w:t>（15）投标人不得选配国家电网公司《关于供应商不良行为处理情况的通报》和××省电力公司《关于供应商不良行为处理的通报/公告》（此名称应与各单位在ECP平台中发布的不良行为处理公告名称保持一致）中正在接受暂停中标资格、取消中标资格的制造商或外购外协供应商或代理（集成服务）原厂商的相应处理范围内的产品。</w:t>
      </w:r>
    </w:p>
    <w:p>
      <w:pPr>
        <w:bidi w:val="0"/>
        <w:rPr>
          <w:rFonts w:hint="eastAsia"/>
          <w:lang w:val="en-US" w:eastAsia="zh-CN"/>
        </w:rPr>
      </w:pPr>
      <w:r>
        <w:rPr>
          <w:rFonts w:hint="eastAsia"/>
          <w:lang w:val="en-US" w:eastAsia="zh-CN"/>
        </w:rPr>
        <w:t>（16）根据《企业信息公示暂行条例》，投标人不得被工商行政管理机关在国家企业信用信息公示系统中列入“经营异常名录”或者“严重违法失信企业名单”。（查询日期应在投标截止日前20天内，查询结果应为网站自动生成的PDF文件），未提供有效国家企业信用信息公示系统（www.gsxt.gov.cn）查询结果的，其投标文件作否决投标处理。</w:t>
      </w:r>
    </w:p>
    <w:p>
      <w:pPr>
        <w:bidi w:val="0"/>
        <w:rPr>
          <w:rFonts w:hint="eastAsia"/>
          <w:lang w:eastAsia="zh-CN"/>
        </w:rPr>
      </w:pPr>
      <w:r>
        <w:rPr>
          <w:rFonts w:hint="eastAsia"/>
          <w:lang w:val="en-US" w:eastAsia="zh-CN"/>
        </w:rPr>
        <w:t>（17）根据最高人民法院、国家发展改革委、国家铁路局等九部门联合印发的《关于在招标投标活动中对失信被执行人实施联合惩戒的通知》（法〔2016〕285号），投标人不得存在违法失信行为，不得被“信用中国”网站（www.creditchina.gov.cn）列入“黑名单”（查询日期应在投标截止日前20天内，查询结果应为网站自动生成的信用信息报告PDF文件），未提供有效“信用中国”网站（www.creditchina.gov.cn）查询结果的，其投标文件作否决投标处理。</w:t>
      </w:r>
    </w:p>
    <w:p>
      <w:pPr>
        <w:bidi w:val="0"/>
        <w:rPr>
          <w:rFonts w:hint="eastAsia"/>
          <w:b/>
          <w:bCs/>
          <w:lang w:eastAsia="zh-CN"/>
        </w:rPr>
      </w:pPr>
      <w:r>
        <w:rPr>
          <w:rFonts w:hint="eastAsia"/>
          <w:b/>
          <w:bCs/>
          <w:lang w:eastAsia="zh-CN"/>
        </w:rPr>
        <w:t>3.2各类货物专门具体资质业绩要求事项及其数据、状态分别如下：</w:t>
      </w:r>
    </w:p>
    <w:tbl>
      <w:tblPr>
        <w:tblStyle w:val="34"/>
        <w:tblW w:w="102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299"/>
        <w:gridCol w:w="1731"/>
        <w:gridCol w:w="7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332" w:hRule="atLeast"/>
          <w:tblHeader/>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b/>
                <w:bCs/>
                <w:sz w:val="18"/>
                <w:szCs w:val="18"/>
                <w:lang w:eastAsia="zh-CN"/>
              </w:rPr>
            </w:pPr>
            <w:r>
              <w:rPr>
                <w:rFonts w:hint="eastAsia" w:asciiTheme="minorEastAsia" w:hAnsiTheme="minorEastAsia" w:eastAsiaTheme="minorEastAsia" w:cstheme="minorEastAsia"/>
                <w:b/>
                <w:bCs/>
                <w:sz w:val="18"/>
                <w:szCs w:val="18"/>
                <w:lang w:eastAsia="zh-CN"/>
              </w:rPr>
              <w:t>分标名称</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b/>
                <w:bCs/>
                <w:sz w:val="18"/>
                <w:szCs w:val="18"/>
                <w:lang w:eastAsia="zh-CN"/>
              </w:rPr>
            </w:pPr>
            <w:r>
              <w:rPr>
                <w:rFonts w:hint="eastAsia" w:asciiTheme="minorEastAsia" w:hAnsiTheme="minorEastAsia" w:eastAsiaTheme="minorEastAsia" w:cstheme="minorEastAsia"/>
                <w:b/>
                <w:bCs/>
                <w:sz w:val="18"/>
                <w:szCs w:val="18"/>
                <w:lang w:eastAsia="zh-CN"/>
              </w:rPr>
              <w:t>业绩要求</w:t>
            </w:r>
          </w:p>
        </w:tc>
        <w:tc>
          <w:tcPr>
            <w:tcW w:w="7214" w:type="dxa"/>
            <w:shd w:val="clear" w:color="auto" w:fill="FFFFFF" w:themeFill="background1"/>
            <w:vAlign w:val="center"/>
          </w:tcPr>
          <w:p>
            <w:pPr>
              <w:spacing w:after="0" w:line="240" w:lineRule="auto"/>
              <w:ind w:left="0" w:leftChars="0" w:right="-205" w:rightChars="-64" w:firstLine="0" w:firstLineChars="0"/>
              <w:jc w:val="center"/>
              <w:rPr>
                <w:rFonts w:hint="eastAsia"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资格预审要求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582"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10kV变压器</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近三年累计销售业绩不少于5000台</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国家电网有限公司2020年配网变压器协议库存招标联合资格预审（预审编号：GWXY-ZGYS-2001-BYQ）项目中“10kV变压器（硅钢片干式）， 630-1000kVA”、“10kV变压器（硅钢片干式）,1250-2500kVA”标段预审同时合格。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582"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10kV箱式变电站（欧式）</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近三年累计销售业绩不少于200套</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国家电网有限公司2020年配网箱式变电站协议库存招标联合资格预审（预审编号：GWXY-ZGYS-2001-XB）项目中“10kV箱式变电站（欧式，硅钢片）”标段预审合格。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10"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10kV箱式变电站（美式）</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近三年累计销售业绩不少于100套</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国家电网有限公司2020年配网箱式变电站协议库存招标联合资格预审（预审编号：GWXY-ZGYS-2001-XB）项目中“10kV箱式变电站（美式，硅钢片）”标段预审合格。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378"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交流避雷器</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近三年累计销售业绩不少于50000台</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国家电网有限公司2020年配网避雷器、电缆保护管协议库存招标联合资格预审（GWXY-ZGYS-2002-BD）项目中“10kV交流避雷器”标段预审合格。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227"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高压熔断器（跌落式）</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近三年累计销售业绩不少于20000只</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国家电网有限公司2020年配网高压熔断器协议库存招标联合资格预审（预审编号：GWXY-ZGYS-2001-RDQ）项目中“高压熔断器”标段预审同时合格。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10kV柱上变压器台成套设备</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近三年累计销售业绩不少于5000套</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国家电网有限公司2020年配网配电变台成套化设备协议库存招标联合资格预审(预审编号：GWXY-ZGYS-2001-PDBTCT)项目中“10kV柱上变压器台成套设备”标段预审合格。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555"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一二次融合成套环网箱（SF6）</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近三年累计销售业绩不少于500套</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国家电网有限公司2020年配网一二次融合成套环网箱协议库存招标联合资格预审(预审编号：GWXY-ZGYS-2001-CTHWX)项目中“一二次融合成套环网箱（SF6绝缘）”标段预审合格。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64"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一二次融合成套环网箱（固体）</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近三年累计销售业绩不少于500套</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国家电网有限公司2020年配网一二次融合成套环网箱协议库存招标联合资格预审(预审编号：GWXY-ZGYS-2001-CTHWX)项目中“一二次融合成套环网箱（固体绝缘）”标段预审合格。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91"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一二次融合成套柱上断路器（常规）</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近三年累计销售业绩不少于2000套</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w:t>
            </w:r>
            <w:r>
              <w:rPr>
                <w:rFonts w:hint="eastAsia" w:asciiTheme="minorEastAsia" w:hAnsiTheme="minorEastAsia" w:eastAsiaTheme="minorEastAsia" w:cstheme="minorEastAsia"/>
                <w:sz w:val="18"/>
                <w:szCs w:val="18"/>
                <w:lang w:val="en-US" w:eastAsia="zh-CN"/>
              </w:rPr>
              <w:t>0</w:t>
            </w:r>
            <w:r>
              <w:rPr>
                <w:rFonts w:hint="eastAsia" w:asciiTheme="minorEastAsia" w:hAnsiTheme="minorEastAsia" w:eastAsiaTheme="minorEastAsia" w:cstheme="minorEastAsia"/>
                <w:sz w:val="18"/>
                <w:szCs w:val="18"/>
                <w:lang w:val="zh-CN" w:eastAsia="zh-CN"/>
              </w:rPr>
              <w:t>年配网一二次融合成套柱上断路器协议库存招标联合资格预审(预审编号：GWXY-ZGYS-2001-CTHDLQ)项目中“一二次融合成套柱上断路器”标段预审合格。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933"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10kV三相隔离开关（常规式）</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近三年累计销售业绩不少于5000组</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国家电网有限公司2020年配网负荷开关、交流隔离开关协议库存招标联合资格预审(预审编号：GWXY-ZGYS-2001-KG)</w:t>
            </w:r>
            <w:r>
              <w:rPr>
                <w:rFonts w:hint="eastAsia" w:asciiTheme="minorEastAsia" w:hAnsiTheme="minorEastAsia" w:eastAsiaTheme="minorEastAsia" w:cstheme="minorEastAsia"/>
                <w:sz w:val="18"/>
                <w:szCs w:val="18"/>
                <w:lang w:val="en-US" w:eastAsia="zh-CN"/>
              </w:rPr>
              <w:t>或国家电网有限公司2020年配网环网柜、环网箱、开关柜、交流隔离开关、负荷开关协议库存招标第二次联合资格预审(预审编号：GWXY-ZGYS-2002-HE)</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10kV三相隔离开关</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3"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高压开关柜</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近三年累计销售业绩不少于500面</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国家电网有限公司2020年配网开关柜协议库存招标联合资格预审(预审编号：GWXY-ZGYS-2001-KGG)</w:t>
            </w:r>
            <w:r>
              <w:rPr>
                <w:rFonts w:hint="eastAsia" w:asciiTheme="minorEastAsia" w:hAnsiTheme="minorEastAsia" w:eastAsiaTheme="minorEastAsia" w:cstheme="minorEastAsia"/>
                <w:sz w:val="18"/>
                <w:szCs w:val="18"/>
                <w:lang w:val="en-US" w:eastAsia="zh-CN"/>
              </w:rPr>
              <w:t>或国家电网有限公司2020年配网环网柜、环网箱、开关柜、交流隔离开关、负荷开关协议库存招标第二次联合资格预审(预审编号：GWXY-ZGYS-2002</w:t>
            </w:r>
            <w:r>
              <w:rPr>
                <w:rFonts w:hint="eastAsia" w:asciiTheme="minorEastAsia" w:hAnsiTheme="minorEastAsia" w:eastAsiaTheme="minorEastAsia" w:cstheme="minorEastAsia"/>
                <w:sz w:val="18"/>
                <w:szCs w:val="18"/>
                <w:lang w:val="zh-CN" w:eastAsia="zh-CN"/>
              </w:rPr>
              <w:t>-HE)项目中“10kV高压开关柜”标段预审合格。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电缆分支箱</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近三年累计销售业绩不少于800只</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w:t>
            </w:r>
            <w:r>
              <w:rPr>
                <w:rFonts w:hint="eastAsia" w:asciiTheme="minorEastAsia" w:hAnsiTheme="minorEastAsia" w:eastAsiaTheme="minorEastAsia" w:cstheme="minorEastAsia"/>
                <w:sz w:val="18"/>
                <w:szCs w:val="18"/>
                <w:lang w:val="en-US" w:eastAsia="zh-CN"/>
              </w:rPr>
              <w:t>0</w:t>
            </w:r>
            <w:r>
              <w:rPr>
                <w:rFonts w:hint="eastAsia" w:asciiTheme="minorEastAsia" w:hAnsiTheme="minorEastAsia" w:eastAsiaTheme="minorEastAsia" w:cstheme="minorEastAsia"/>
                <w:sz w:val="18"/>
                <w:szCs w:val="18"/>
                <w:lang w:val="zh-CN" w:eastAsia="zh-CN"/>
              </w:rPr>
              <w:t>年配网电缆分支箱协议库存招标联合资格预审(预审编号：</w:t>
            </w:r>
            <w:r>
              <w:rPr>
                <w:rFonts w:hint="eastAsia" w:asciiTheme="minorEastAsia" w:hAnsiTheme="minorEastAsia" w:eastAsiaTheme="minorEastAsia" w:cstheme="minorEastAsia"/>
                <w:sz w:val="18"/>
                <w:szCs w:val="18"/>
                <w:lang w:val="en-US" w:eastAsia="zh-CN"/>
              </w:rPr>
              <w:t>GWXY-ZGYS-2002-DLFZX</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电缆分支箱</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542"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配电箱</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近三年累计销售业绩不少于600个</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国家电网有限公司2020年配网电能计量箱、配电箱（JP柜）协议库存招标联合资格预审(预审编号：</w:t>
            </w:r>
            <w:r>
              <w:rPr>
                <w:rFonts w:hint="eastAsia" w:asciiTheme="minorEastAsia" w:hAnsiTheme="minorEastAsia" w:eastAsiaTheme="minorEastAsia" w:cstheme="minorEastAsia"/>
                <w:sz w:val="18"/>
                <w:szCs w:val="18"/>
                <w:lang w:val="en-US" w:eastAsia="zh-CN"/>
              </w:rPr>
              <w:t>GWXY-ZGYS-2001-JLXPDX</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配电箱（JP柜）</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432"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电能计量箱</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近三年累计销售业绩不少于20000只</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国家电网有限公司2020年配网电能计量箱、配电箱（JP柜）协议库存招标联合资格预审(预审编号：</w:t>
            </w:r>
            <w:r>
              <w:rPr>
                <w:rFonts w:hint="eastAsia" w:asciiTheme="minorEastAsia" w:hAnsiTheme="minorEastAsia" w:eastAsiaTheme="minorEastAsia" w:cstheme="minorEastAsia"/>
                <w:sz w:val="18"/>
                <w:szCs w:val="18"/>
                <w:lang w:val="en-US" w:eastAsia="zh-CN"/>
              </w:rPr>
              <w:t>GWXY-ZGYS-2001-JLXPDX</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电能计量箱</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3"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接地短路故障指示器</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近三年累计销售业绩不少于3000套（组）</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配网配电终端、接地短路故障指示器协议库存招标联合资格预审(预审编号：GWXY-ZGYS-2001-PG)或国家电网有限公司2020年配网杆塔类、电缆保护管、配电终端、接地短路故障指示器协议库存招标第二次联合资格预审（预审编号：GWXY-ZGYS-2001Z-SD）项目中“架空外施信号远传故障指示器”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钢芯铝绞线</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近三年累计销售业绩不少于1000吨</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国家电网有限公司2020年度配网导、地线协议库存招标联合资格预审（预审编号：GWXY-ZGYS-2019-DDX）项目中“钢芯铝绞线”标段预审合格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37"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10kV架空绝缘导线</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近三年累计销售业绩不少于10000千米</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国家电网有限公司2020年度配网电缆、电缆附件、绝缘导线协议库存招标联合资格预审（预审编号：GWXY-ZGYS-2001-XL）项目中“10kV架空绝缘导线”标段预审同时合格。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6"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1kV架空绝缘导线</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近三年累计销售业绩不少于10000千米</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国家电网有限公司2020年度配网电缆、电缆附件、绝缘导线协议库存招标联合资格预审（预审编号：GWXY-ZGYS-2001-XL）项目中“1kV架空绝缘导线”标段预审同时合格。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23"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电力电缆</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近三年累计销售业绩不少于1000千米</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国家电网有限公司2020年度配网电缆、电缆附件、绝缘导线协议库存招标联合资格预审（预审编号：GWXY-ZGYS-2001-XL）项目中“10kV电力电缆”标段预审合格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446"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低压电力电缆</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近三年累计销售业绩不少于10000千米</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国家电网有限公司2020年度配网电缆、电缆附件、绝缘导线协议库存招标联合资格预审（预审编号：GWXY-ZGYS-2001-XL）项目中“低压电力电缆”标段预审合格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527"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控制电缆</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近三年累计销售业绩不少于100000米</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国家电网有限公司2020年度配网电缆、电缆附件、绝缘导线协议库存招标联合资格预审（预审编号：GWXY-ZGYS-2001-XL）项目中“控制电缆”标段预审合格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7"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电缆附件</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近三年累计销售业绩不少于50000套</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国家电网有限公司2020年度配网电缆、电缆附件、绝缘导线协议库存招标联合资格预审（预审编号：GWXY-ZGYS-2001-XL）项目中“电缆附件”标段预审合格。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9"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铁构件</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近三年累计销售业绩不少于5000万元</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w:t>
            </w:r>
            <w:r>
              <w:rPr>
                <w:rFonts w:hint="eastAsia" w:asciiTheme="minorEastAsia" w:hAnsiTheme="minorEastAsia" w:eastAsiaTheme="minorEastAsia" w:cstheme="minorEastAsia"/>
                <w:sz w:val="18"/>
                <w:szCs w:val="18"/>
                <w:lang w:val="en-US" w:eastAsia="zh-CN"/>
              </w:rPr>
              <w:t>0</w:t>
            </w:r>
            <w:r>
              <w:rPr>
                <w:rFonts w:hint="eastAsia" w:asciiTheme="minorEastAsia" w:hAnsiTheme="minorEastAsia" w:eastAsiaTheme="minorEastAsia" w:cstheme="minorEastAsia"/>
                <w:sz w:val="18"/>
                <w:szCs w:val="18"/>
                <w:lang w:val="zh-CN" w:eastAsia="zh-CN"/>
              </w:rPr>
              <w:t>年配网10kV及以下金具、铁附件类协议库存招标联合资格预审(预审编号：</w:t>
            </w:r>
            <w:r>
              <w:rPr>
                <w:rFonts w:hint="eastAsia" w:asciiTheme="minorEastAsia" w:hAnsiTheme="minorEastAsia" w:eastAsiaTheme="minorEastAsia" w:cstheme="minorEastAsia"/>
                <w:sz w:val="18"/>
                <w:szCs w:val="18"/>
                <w:lang w:val="en-US" w:eastAsia="zh-CN"/>
              </w:rPr>
              <w:t>GWXY-ZGYS-2001-JJTFJ</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铁构件</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498"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金具</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近三年累计销售业绩不少于300万元</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w:t>
            </w:r>
            <w:r>
              <w:rPr>
                <w:rFonts w:hint="eastAsia" w:asciiTheme="minorEastAsia" w:hAnsiTheme="minorEastAsia" w:eastAsiaTheme="minorEastAsia" w:cstheme="minorEastAsia"/>
                <w:sz w:val="18"/>
                <w:szCs w:val="18"/>
                <w:lang w:val="en-US" w:eastAsia="zh-CN"/>
              </w:rPr>
              <w:t>0</w:t>
            </w:r>
            <w:r>
              <w:rPr>
                <w:rFonts w:hint="eastAsia" w:asciiTheme="minorEastAsia" w:hAnsiTheme="minorEastAsia" w:eastAsiaTheme="minorEastAsia" w:cstheme="minorEastAsia"/>
                <w:sz w:val="18"/>
                <w:szCs w:val="18"/>
                <w:lang w:val="zh-CN" w:eastAsia="zh-CN"/>
              </w:rPr>
              <w:t>年配网10kV及以下金具、铁附件类协议库存招标联合资格预审(预审编号：</w:t>
            </w:r>
            <w:r>
              <w:rPr>
                <w:rFonts w:hint="eastAsia" w:asciiTheme="minorEastAsia" w:hAnsiTheme="minorEastAsia" w:eastAsiaTheme="minorEastAsia" w:cstheme="minorEastAsia"/>
                <w:sz w:val="18"/>
                <w:szCs w:val="18"/>
                <w:lang w:val="en-US" w:eastAsia="zh-CN"/>
              </w:rPr>
              <w:t>GWXY-ZGYS-2001-JJTFJ</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金具</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405"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钢管杆（桩）</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近三年累计销售业绩不少于10000吨</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w:t>
            </w:r>
            <w:r>
              <w:rPr>
                <w:rFonts w:hint="eastAsia" w:asciiTheme="minorEastAsia" w:hAnsiTheme="minorEastAsia" w:eastAsiaTheme="minorEastAsia" w:cstheme="minorEastAsia"/>
                <w:sz w:val="18"/>
                <w:szCs w:val="18"/>
                <w:lang w:val="en-US" w:eastAsia="zh-CN"/>
              </w:rPr>
              <w:t>0</w:t>
            </w:r>
            <w:r>
              <w:rPr>
                <w:rFonts w:hint="eastAsia" w:asciiTheme="minorEastAsia" w:hAnsiTheme="minorEastAsia" w:eastAsiaTheme="minorEastAsia" w:cstheme="minorEastAsia"/>
                <w:sz w:val="18"/>
                <w:szCs w:val="18"/>
                <w:lang w:val="zh-CN" w:eastAsia="zh-CN"/>
              </w:rPr>
              <w:t>年配网杆塔类协议库存招标联合资格预审(预审编号：</w:t>
            </w:r>
            <w:r>
              <w:rPr>
                <w:rFonts w:hint="eastAsia" w:asciiTheme="minorEastAsia" w:hAnsiTheme="minorEastAsia" w:eastAsiaTheme="minorEastAsia" w:cstheme="minorEastAsia"/>
                <w:sz w:val="18"/>
                <w:szCs w:val="18"/>
                <w:lang w:val="en-US" w:eastAsia="zh-CN"/>
              </w:rPr>
              <w:t>GWXY-ZGYS-2003-GT</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钢管杆（桩）</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23"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锥形水泥杆（非预应力）</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近三年累计销售业绩不少于30000根</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w:t>
            </w:r>
            <w:r>
              <w:rPr>
                <w:rFonts w:hint="eastAsia" w:asciiTheme="minorEastAsia" w:hAnsiTheme="minorEastAsia" w:eastAsiaTheme="minorEastAsia" w:cstheme="minorEastAsia"/>
                <w:sz w:val="18"/>
                <w:szCs w:val="18"/>
                <w:lang w:val="en-US" w:eastAsia="zh-CN"/>
              </w:rPr>
              <w:t>0</w:t>
            </w:r>
            <w:r>
              <w:rPr>
                <w:rFonts w:hint="eastAsia" w:asciiTheme="minorEastAsia" w:hAnsiTheme="minorEastAsia" w:eastAsiaTheme="minorEastAsia" w:cstheme="minorEastAsia"/>
                <w:sz w:val="18"/>
                <w:szCs w:val="18"/>
                <w:lang w:val="zh-CN" w:eastAsia="zh-CN"/>
              </w:rPr>
              <w:t>年配网杆塔类协议库存招标联合资格预审(预审编号：</w:t>
            </w:r>
            <w:r>
              <w:rPr>
                <w:rFonts w:hint="eastAsia" w:asciiTheme="minorEastAsia" w:hAnsiTheme="minorEastAsia" w:eastAsiaTheme="minorEastAsia" w:cstheme="minorEastAsia"/>
                <w:sz w:val="18"/>
                <w:szCs w:val="18"/>
                <w:lang w:val="en-US" w:eastAsia="zh-CN"/>
              </w:rPr>
              <w:t>GWXY-ZGYS-2003-GT</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非预应力锥形水泥杆</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23"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锥形水泥杆（部分预应力）</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近三年累计销售业绩不少于30000根</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eastAsia="zh-CN"/>
              </w:rPr>
              <w:t>国家电网有限公司202</w:t>
            </w:r>
            <w:r>
              <w:rPr>
                <w:rFonts w:hint="eastAsia" w:asciiTheme="minorEastAsia" w:hAnsiTheme="minorEastAsia" w:eastAsiaTheme="minorEastAsia" w:cstheme="minorEastAsia"/>
                <w:sz w:val="18"/>
                <w:szCs w:val="18"/>
                <w:lang w:val="en-US" w:eastAsia="zh-CN"/>
              </w:rPr>
              <w:t>0</w:t>
            </w:r>
            <w:r>
              <w:rPr>
                <w:rFonts w:hint="eastAsia" w:asciiTheme="minorEastAsia" w:hAnsiTheme="minorEastAsia" w:eastAsiaTheme="minorEastAsia" w:cstheme="minorEastAsia"/>
                <w:sz w:val="18"/>
                <w:szCs w:val="18"/>
                <w:lang w:val="zh-CN" w:eastAsia="zh-CN"/>
              </w:rPr>
              <w:t>年配网杆塔类协议库存招标联合资格预审(预审编号：</w:t>
            </w:r>
            <w:r>
              <w:rPr>
                <w:rFonts w:hint="eastAsia" w:asciiTheme="minorEastAsia" w:hAnsiTheme="minorEastAsia" w:eastAsiaTheme="minorEastAsia" w:cstheme="minorEastAsia"/>
                <w:sz w:val="18"/>
                <w:szCs w:val="18"/>
                <w:lang w:val="en-US" w:eastAsia="zh-CN"/>
              </w:rPr>
              <w:t>GWXY-ZGYS-2003-GT</w:t>
            </w:r>
            <w:r>
              <w:rPr>
                <w:rFonts w:hint="eastAsia" w:asciiTheme="minorEastAsia" w:hAnsiTheme="minorEastAsia" w:eastAsiaTheme="minorEastAsia" w:cstheme="minorEastAsia"/>
                <w:sz w:val="18"/>
                <w:szCs w:val="18"/>
                <w:lang w:val="zh-CN" w:eastAsia="zh-CN"/>
              </w:rPr>
              <w:t>)项目中“</w:t>
            </w:r>
            <w:r>
              <w:rPr>
                <w:rFonts w:hint="eastAsia" w:asciiTheme="minorEastAsia" w:hAnsiTheme="minorEastAsia" w:eastAsiaTheme="minorEastAsia" w:cstheme="minorEastAsia"/>
                <w:sz w:val="18"/>
                <w:szCs w:val="18"/>
                <w:lang w:val="en-US" w:eastAsia="zh-CN"/>
              </w:rPr>
              <w:t>部分预应力锥形水泥杆</w:t>
            </w:r>
            <w:r>
              <w:rPr>
                <w:rFonts w:hint="eastAsia" w:asciiTheme="minorEastAsia" w:hAnsiTheme="minorEastAsia" w:eastAsiaTheme="minorEastAsia" w:cstheme="minorEastAsia"/>
                <w:sz w:val="18"/>
                <w:szCs w:val="18"/>
                <w:lang w:val="zh-CN" w:eastAsia="zh-CN"/>
              </w:rPr>
              <w:t>”标段预审合格。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蝶式绝缘子</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近三年累计销售业绩不少于500000只</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国家电网有限公司2020年度配网瓷绝缘子、复合绝缘子、电缆保护管协议库存招标联合资格预审（预审编号：GWXY-ZGYS-2001-CFB） 项目中“蝶式绝缘子”标段预审合格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针式瓷绝缘子</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近三年累计销售业绩不少于300000只</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国家电网有限公司2020年度配网瓷绝缘子、复合绝缘子、电缆保护管协议库存招标联合资格预审（预审编号：GWXY-ZGYS-2001-CFB） 项目中“针式瓷绝缘子”标段预审合格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36"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交流盘形悬式瓷绝缘子</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近三年累计销售业绩不少于500000片</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国家电网有限公司2020年度配网瓷绝缘子、复合绝缘子、电缆保护管协议库存招标联合资格预审（预审编号：GWXY-ZGYS-2001-CFB） 项目中“交流盘形悬式瓷绝缘子”标段预审合格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7"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交流棒形悬式复合绝缘子</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近三年累计销售业绩不少于100000支</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国家电网有限公司2020年度配网瓷绝缘子、复合绝缘子、电缆保护管协议库存招标联合资格预审（预审编号：GWXY-ZGYS-2001-CFB） 项目中“交流棒形悬式复合绝缘子”标段预审合格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Ex>
        <w:trPr>
          <w:trHeight w:val="647" w:hRule="atLeast"/>
        </w:trPr>
        <w:tc>
          <w:tcPr>
            <w:tcW w:w="1299"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线路柱式瓷绝缘子</w:t>
            </w:r>
          </w:p>
        </w:tc>
        <w:tc>
          <w:tcPr>
            <w:tcW w:w="1731"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近三年累计销售业绩不少于400000只</w:t>
            </w:r>
          </w:p>
        </w:tc>
        <w:tc>
          <w:tcPr>
            <w:tcW w:w="7214" w:type="dxa"/>
            <w:shd w:val="clear" w:color="auto" w:fill="FFFFFF" w:themeFill="background1"/>
            <w:vAlign w:val="center"/>
          </w:tcPr>
          <w:p>
            <w:pPr>
              <w:spacing w:after="0" w:line="240" w:lineRule="auto"/>
              <w:ind w:left="0" w:leftChars="0" w:firstLine="0" w:firstLineChars="0"/>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国家电网有限公司2020年度配网瓷绝缘子、复合绝缘子、电缆保护管协议库存招标联合资格预审（预审编号：GWXY-ZGYS-2001-CFB） 项目中“线路柱式瓷绝缘子”标段预审合格</w:t>
            </w:r>
          </w:p>
        </w:tc>
      </w:tr>
    </w:tbl>
    <w:p>
      <w:pPr>
        <w:bidi w:val="0"/>
        <w:rPr>
          <w:rFonts w:hint="default"/>
          <w:b/>
          <w:bCs/>
          <w:lang w:val="en-US" w:eastAsia="zh-CN"/>
        </w:rPr>
      </w:pPr>
      <w:r>
        <w:rPr>
          <w:rFonts w:hint="eastAsia"/>
          <w:b/>
          <w:bCs/>
          <w:lang w:val="en-US" w:eastAsia="zh-CN"/>
        </w:rPr>
        <w:t>注：10kV变压器和10kV柱上变压器台成套设备业绩可相互通用。</w:t>
      </w:r>
    </w:p>
    <w:p>
      <w:pPr>
        <w:pStyle w:val="4"/>
        <w:bidi w:val="0"/>
        <w:rPr>
          <w:rFonts w:hint="eastAsia"/>
          <w:lang w:eastAsia="zh-CN"/>
        </w:rPr>
      </w:pPr>
      <w:r>
        <w:rPr>
          <w:rFonts w:hint="eastAsia"/>
          <w:lang w:eastAsia="zh-CN"/>
        </w:rPr>
        <w:t>3.3本次招标不接受联合体投标。</w:t>
      </w:r>
    </w:p>
    <w:p>
      <w:pPr>
        <w:pStyle w:val="4"/>
        <w:bidi w:val="0"/>
        <w:rPr>
          <w:rFonts w:hint="eastAsia"/>
          <w:lang w:eastAsia="zh-CN"/>
        </w:rPr>
      </w:pPr>
      <w:r>
        <w:rPr>
          <w:rFonts w:hint="eastAsia"/>
          <w:lang w:eastAsia="zh-CN"/>
        </w:rPr>
        <w:t>3.4本次招标不接受代理商投标。</w:t>
      </w:r>
    </w:p>
    <w:p>
      <w:pPr>
        <w:pStyle w:val="4"/>
        <w:bidi w:val="0"/>
        <w:rPr>
          <w:rFonts w:hint="eastAsia"/>
          <w:lang w:eastAsia="zh-CN"/>
        </w:rPr>
      </w:pPr>
      <w:r>
        <w:rPr>
          <w:rFonts w:hint="eastAsia"/>
          <w:lang w:eastAsia="zh-CN"/>
        </w:rPr>
        <w:t>3.5本次招标仅接受资格预审合格投标人购买招标文件、参与投标，不接受资格预审未合格或者未参加资格预审的投标人投标。</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4. 招标文件的获取</w:t>
      </w:r>
    </w:p>
    <w:p>
      <w:pPr>
        <w:bidi w:val="0"/>
        <w:rPr>
          <w:rFonts w:hint="eastAsia"/>
          <w:lang w:eastAsia="zh-CN"/>
        </w:rPr>
      </w:pPr>
      <w:r>
        <w:rPr>
          <w:rFonts w:hint="eastAsia"/>
          <w:lang w:eastAsia="zh-CN"/>
        </w:rPr>
        <w:t>4.1本次实行网上发售电子版招标文件，不再出售纸质招标文件。凡有意参加投标者，请于</w:t>
      </w:r>
      <w:r>
        <w:rPr>
          <w:rFonts w:hint="eastAsia"/>
          <w:highlight w:val="yellow"/>
          <w:lang w:eastAsia="zh-CN"/>
        </w:rPr>
        <w:t>2021年</w:t>
      </w:r>
      <w:r>
        <w:rPr>
          <w:rFonts w:hint="eastAsia"/>
          <w:highlight w:val="yellow"/>
          <w:lang w:val="en-US" w:eastAsia="zh-CN"/>
        </w:rPr>
        <w:t>3</w:t>
      </w:r>
      <w:r>
        <w:rPr>
          <w:rFonts w:hint="eastAsia"/>
          <w:highlight w:val="yellow"/>
          <w:lang w:eastAsia="zh-CN"/>
        </w:rPr>
        <w:t>月</w:t>
      </w:r>
      <w:r>
        <w:rPr>
          <w:rFonts w:hint="eastAsia"/>
          <w:highlight w:val="yellow"/>
          <w:lang w:val="en-US" w:eastAsia="zh-CN"/>
        </w:rPr>
        <w:t>25</w:t>
      </w:r>
      <w:r>
        <w:rPr>
          <w:rFonts w:hint="eastAsia"/>
          <w:highlight w:val="yellow"/>
          <w:lang w:eastAsia="zh-CN"/>
        </w:rPr>
        <w:t>日至2021年</w:t>
      </w:r>
      <w:r>
        <w:rPr>
          <w:rFonts w:hint="eastAsia"/>
          <w:highlight w:val="yellow"/>
          <w:lang w:val="en-US" w:eastAsia="zh-CN"/>
        </w:rPr>
        <w:t>3</w:t>
      </w:r>
      <w:r>
        <w:rPr>
          <w:rFonts w:hint="eastAsia"/>
          <w:highlight w:val="yellow"/>
          <w:lang w:eastAsia="zh-CN"/>
        </w:rPr>
        <w:t>月</w:t>
      </w:r>
      <w:r>
        <w:rPr>
          <w:rFonts w:hint="eastAsia"/>
          <w:highlight w:val="yellow"/>
          <w:lang w:val="en-US" w:eastAsia="zh-CN"/>
        </w:rPr>
        <w:t>30</w:t>
      </w:r>
      <w:r>
        <w:rPr>
          <w:rFonts w:hint="eastAsia"/>
          <w:highlight w:val="yellow"/>
          <w:lang w:eastAsia="zh-CN"/>
        </w:rPr>
        <w:t>日下午17:30时</w:t>
      </w:r>
      <w:r>
        <w:rPr>
          <w:rFonts w:hint="eastAsia"/>
          <w:lang w:eastAsia="zh-CN"/>
        </w:rPr>
        <w:t>前（北京时间），登陆招标人招投标信息系统（国家电网公司新一代电子商务平台：</w:t>
      </w:r>
      <w:r>
        <w:rPr>
          <w:rFonts w:hint="eastAsia"/>
          <w:lang w:eastAsia="zh-CN"/>
        </w:rPr>
        <w:fldChar w:fldCharType="begin"/>
      </w:r>
      <w:r>
        <w:rPr>
          <w:rFonts w:hint="eastAsia"/>
          <w:lang w:eastAsia="zh-CN"/>
        </w:rPr>
        <w:instrText xml:space="preserve"> HYPERLINK "https://ecp.sgcc.com.cn/ecp2.0/portal/）凭企业CA证书电子钥匙报名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 </w:instrText>
      </w:r>
      <w:r>
        <w:rPr>
          <w:rFonts w:hint="eastAsia"/>
          <w:lang w:eastAsia="zh-CN"/>
        </w:rPr>
        <w:fldChar w:fldCharType="separate"/>
      </w:r>
      <w:r>
        <w:rPr>
          <w:rFonts w:hint="eastAsia"/>
          <w:lang w:eastAsia="zh-CN"/>
        </w:rPr>
        <w:t>https://ecp.sgcc.com.cn/ecp2.0/portal/）凭企业CA证书电子钥匙</w:t>
      </w:r>
      <w:r>
        <w:rPr>
          <w:rFonts w:hint="eastAsia"/>
          <w:lang w:val="en-US" w:eastAsia="zh-CN"/>
        </w:rPr>
        <w:t>报名</w:t>
      </w:r>
      <w:r>
        <w:rPr>
          <w:rFonts w:hint="eastAsia"/>
          <w:lang w:eastAsia="zh-CN"/>
        </w:rPr>
        <w:t>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w:t>
      </w:r>
      <w:r>
        <w:rPr>
          <w:rFonts w:hint="eastAsia"/>
          <w:lang w:eastAsia="zh-CN"/>
        </w:rPr>
        <w:fldChar w:fldCharType="end"/>
      </w:r>
    </w:p>
    <w:p>
      <w:pPr>
        <w:bidi w:val="0"/>
        <w:rPr>
          <w:rFonts w:hint="eastAsia"/>
          <w:lang w:eastAsia="zh-CN"/>
        </w:rPr>
      </w:pPr>
      <w:r>
        <w:rPr>
          <w:rFonts w:hint="eastAsia"/>
          <w:lang w:val="en-US" w:eastAsia="zh-CN"/>
        </w:rPr>
        <w:t>4</w:t>
      </w:r>
      <w:r>
        <w:rPr>
          <w:rFonts w:hint="eastAsia"/>
          <w:lang w:eastAsia="zh-CN"/>
        </w:rPr>
        <w:t>.2招标文件（电子文件）免费获取，各潜在投标人无需支付获取招标文件款项。</w:t>
      </w:r>
    </w:p>
    <w:p>
      <w:pPr>
        <w:bidi w:val="0"/>
        <w:rPr>
          <w:rFonts w:hint="eastAsia"/>
          <w:lang w:eastAsia="zh-CN"/>
        </w:rPr>
      </w:pPr>
      <w:r>
        <w:rPr>
          <w:rFonts w:hint="eastAsia"/>
          <w:lang w:val="en-US" w:eastAsia="zh-CN"/>
        </w:rPr>
        <w:t>4</w:t>
      </w:r>
      <w:r>
        <w:rPr>
          <w:rFonts w:hint="eastAsia"/>
          <w:lang w:eastAsia="zh-CN"/>
        </w:rPr>
        <w:t>.3</w:t>
      </w:r>
      <w:r>
        <w:rPr>
          <w:rFonts w:hint="eastAsia"/>
          <w:lang w:val="en-US" w:eastAsia="zh-CN"/>
        </w:rPr>
        <w:t>关于国家电网新一代电子商务平台的具体操作详见国家电网新一代电子商务平台首页（https://ecp.sgcc.com.cn/ecp2.0/portal/）的新手指南</w:t>
      </w:r>
      <w:r>
        <w:rPr>
          <w:rFonts w:hint="eastAsia"/>
          <w:lang w:eastAsia="zh-CN"/>
        </w:rPr>
        <w:t>。</w:t>
      </w:r>
      <w:r>
        <w:rPr>
          <w:rFonts w:hint="eastAsia"/>
          <w:lang w:val="en-US" w:eastAsia="zh-CN"/>
        </w:rPr>
        <w:t>技术</w:t>
      </w:r>
      <w:r>
        <w:rPr>
          <w:rFonts w:hint="eastAsia"/>
          <w:lang w:eastAsia="zh-CN"/>
        </w:rPr>
        <w:t>支持</w:t>
      </w:r>
      <w:r>
        <w:rPr>
          <w:rFonts w:hint="eastAsia"/>
          <w:lang w:val="en-US" w:eastAsia="zh-CN"/>
        </w:rPr>
        <w:t>服务热线</w:t>
      </w:r>
      <w:r>
        <w:rPr>
          <w:rFonts w:hint="eastAsia"/>
          <w:lang w:eastAsia="zh-CN"/>
        </w:rPr>
        <w:t>：010-63411000。</w:t>
      </w:r>
    </w:p>
    <w:p>
      <w:pPr>
        <w:bidi w:val="0"/>
        <w:rPr>
          <w:rFonts w:hint="eastAsia"/>
          <w:lang w:eastAsia="zh-CN"/>
        </w:rPr>
      </w:pPr>
      <w:r>
        <w:rPr>
          <w:rFonts w:hint="eastAsia"/>
          <w:lang w:val="en-US" w:eastAsia="zh-CN"/>
        </w:rPr>
        <w:t>4</w:t>
      </w:r>
      <w:r>
        <w:rPr>
          <w:rFonts w:hint="eastAsia"/>
          <w:lang w:eastAsia="zh-CN"/>
        </w:rPr>
        <w:t>.4</w:t>
      </w:r>
      <w:r>
        <w:rPr>
          <w:rFonts w:hint="eastAsia"/>
          <w:lang w:val="en-US" w:eastAsia="zh-CN"/>
        </w:rPr>
        <w:t>投标</w:t>
      </w:r>
      <w:r>
        <w:rPr>
          <w:rFonts w:hint="eastAsia"/>
          <w:lang w:eastAsia="zh-CN"/>
        </w:rPr>
        <w:t>保证金</w:t>
      </w:r>
    </w:p>
    <w:p>
      <w:pPr>
        <w:bidi w:val="0"/>
        <w:rPr>
          <w:rFonts w:hint="eastAsia"/>
          <w:lang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投标人</w:t>
      </w:r>
      <w:r>
        <w:rPr>
          <w:rFonts w:hint="eastAsia"/>
          <w:lang w:eastAsia="zh-CN"/>
        </w:rPr>
        <w:t>应以所报价的标为单位提交</w:t>
      </w:r>
      <w:r>
        <w:rPr>
          <w:rFonts w:hint="eastAsia"/>
          <w:lang w:val="en-US" w:eastAsia="zh-CN"/>
        </w:rPr>
        <w:t>投标</w:t>
      </w:r>
      <w:r>
        <w:rPr>
          <w:rFonts w:hint="eastAsia"/>
          <w:lang w:eastAsia="zh-CN"/>
        </w:rPr>
        <w:t>保证金，作为</w:t>
      </w:r>
      <w:r>
        <w:rPr>
          <w:rFonts w:hint="eastAsia"/>
          <w:lang w:val="en-US" w:eastAsia="zh-CN"/>
        </w:rPr>
        <w:t>投标</w:t>
      </w:r>
      <w:r>
        <w:rPr>
          <w:rFonts w:hint="eastAsia"/>
          <w:lang w:eastAsia="zh-CN"/>
        </w:rPr>
        <w:t>文件的组成部分之一。</w:t>
      </w:r>
      <w:r>
        <w:rPr>
          <w:rFonts w:hint="eastAsia"/>
          <w:lang w:val="en-US" w:eastAsia="zh-CN"/>
        </w:rPr>
        <w:t>投标</w:t>
      </w:r>
      <w:r>
        <w:rPr>
          <w:rFonts w:hint="eastAsia"/>
          <w:lang w:eastAsia="zh-CN"/>
        </w:rPr>
        <w:t>保证金有效期与</w:t>
      </w:r>
      <w:r>
        <w:rPr>
          <w:rFonts w:hint="eastAsia"/>
          <w:lang w:val="en-US" w:eastAsia="zh-CN"/>
        </w:rPr>
        <w:t>投标</w:t>
      </w:r>
      <w:r>
        <w:rPr>
          <w:rFonts w:hint="eastAsia"/>
          <w:lang w:eastAsia="zh-CN"/>
        </w:rPr>
        <w:t>文件有效期一致。</w:t>
      </w:r>
    </w:p>
    <w:p>
      <w:pPr>
        <w:bidi w:val="0"/>
        <w:rPr>
          <w:rFonts w:hint="eastAsia"/>
          <w:lang w:eastAsia="zh-CN"/>
        </w:rPr>
      </w:pPr>
      <w:r>
        <w:rPr>
          <w:rFonts w:hint="eastAsia"/>
          <w:lang w:val="en-US" w:eastAsia="zh-CN"/>
        </w:rPr>
        <w:t>（2）投标保证金的递交：投标保证金以分标为单位提交，且仅需提交所投分标中投标报价最高包的投标保证金。如投标人提交的投标保证金不足，则该分标中投标保证金不足包的投标将被否决。请投标人在递交投标保证金时务必注明所担保的分标名称，如未注明，则按照其所投分标的序号顺序从小到大依次核</w:t>
      </w:r>
      <w:r>
        <w:rPr>
          <w:rFonts w:hint="eastAsia"/>
          <w:lang w:eastAsia="zh-CN"/>
        </w:rPr>
        <w:t>定。</w:t>
      </w:r>
    </w:p>
    <w:tbl>
      <w:tblPr>
        <w:tblStyle w:val="34"/>
        <w:tblW w:w="8430" w:type="dxa"/>
        <w:jc w:val="center"/>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58"/>
        <w:gridCol w:w="407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包的投标价格</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包的投标保证金（元）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20万以下（不含20万）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可免于提交投标保证金</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20万－50万（含20万）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2,000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50万－100万（含50万）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5,000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100万－200万（含100万）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200万－300万（含200万）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300万－500万（含300万）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30,000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500万－700万（含500万）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50,000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700万－1000万（含700万）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70,000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1000万－2000万（含1000万）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2000万－3000万（含2000万）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3000万－4000万（含3000万）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300,000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4000万-6000万（含4000万）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6000万及以上（含6000万）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800,000</w:t>
            </w:r>
          </w:p>
        </w:tc>
      </w:tr>
    </w:tbl>
    <w:p>
      <w:pPr>
        <w:tabs>
          <w:tab w:val="left" w:pos="620"/>
        </w:tabs>
        <w:spacing w:line="391" w:lineRule="exact"/>
        <w:ind w:firstLine="640" w:firstLineChars="200"/>
        <w:rPr>
          <w:rFonts w:hint="eastAsia" w:ascii="宋体" w:hAnsi="宋体" w:cs="宋体"/>
          <w:color w:val="auto"/>
          <w:szCs w:val="21"/>
          <w:highlight w:val="none"/>
        </w:rPr>
      </w:pPr>
    </w:p>
    <w:p>
      <w:pPr>
        <w:bidi w:val="0"/>
        <w:rPr>
          <w:rFonts w:hint="eastAsia"/>
          <w:lang w:val="en-US" w:eastAsia="zh-CN"/>
        </w:rPr>
      </w:pPr>
      <w:r>
        <w:rPr>
          <w:rFonts w:hint="eastAsia"/>
          <w:lang w:val="en-US" w:eastAsia="zh-CN"/>
        </w:rPr>
        <w:t>A.以银行电汇形式提交的投标保证金，通过潜在投标人“基本账户”对公转账或汇款，不接受个人汇款。</w:t>
      </w:r>
    </w:p>
    <w:p>
      <w:pPr>
        <w:bidi w:val="0"/>
        <w:rPr>
          <w:rFonts w:hint="eastAsia"/>
          <w:lang w:val="en-US" w:eastAsia="zh-CN"/>
        </w:rPr>
      </w:pPr>
      <w:r>
        <w:rPr>
          <w:rFonts w:hint="eastAsia"/>
          <w:lang w:val="en-US" w:eastAsia="zh-CN"/>
        </w:rPr>
        <w:t>B.以银行保函形式提交的投标保证金，由信誉良好的具备开具保函资格的地市级及以上银行分行开出，有效期应与投标有效期一致。</w:t>
      </w:r>
    </w:p>
    <w:p>
      <w:pPr>
        <w:bidi w:val="0"/>
        <w:rPr>
          <w:rFonts w:hint="eastAsia"/>
          <w:lang w:val="en-US" w:eastAsia="zh-CN"/>
        </w:rPr>
      </w:pPr>
      <w:r>
        <w:rPr>
          <w:rFonts w:hint="eastAsia"/>
          <w:lang w:val="en-US" w:eastAsia="zh-CN"/>
        </w:rPr>
        <w:t>C.以保险形式提交的保证金，保险责任需满足招标人的要求，投标保证保险单作为有效的投标文件依据，由有经营该业务资格的省级保险公司开出。保险公司承担投标人投标违约行为的一切赔偿。</w:t>
      </w:r>
    </w:p>
    <w:p>
      <w:pPr>
        <w:bidi w:val="0"/>
        <w:rPr>
          <w:rFonts w:hint="eastAsia"/>
          <w:lang w:val="en-US" w:eastAsia="zh-CN"/>
        </w:rPr>
      </w:pPr>
      <w:r>
        <w:rPr>
          <w:rFonts w:hint="eastAsia"/>
          <w:lang w:val="en-US" w:eastAsia="zh-CN"/>
        </w:rPr>
        <w:t>D.投标保证金以保险、银行电汇或银行保函方式提交的，在付款用途栏（或摘要、备注、附言）写明（如：2821AA-1001002-9999 10kV变压器保证金），并确保投标保证金在投标截止时间之前到账，投标人在递交投标文件的同时提供加盖公章的“基本账户银行开户许可证”（如已提交给过我公司财务并无变更的，可不提供）。</w:t>
      </w:r>
    </w:p>
    <w:p>
      <w:pPr>
        <w:bidi w:val="0"/>
        <w:rPr>
          <w:rFonts w:hint="eastAsia"/>
          <w:lang w:val="en-US" w:eastAsia="zh-CN"/>
        </w:rPr>
      </w:pPr>
      <w:r>
        <w:rPr>
          <w:rFonts w:hint="eastAsia"/>
          <w:lang w:val="en-US" w:eastAsia="zh-CN"/>
        </w:rPr>
        <w:t>收款单位：国网青海电力招标代理有限公司</w:t>
      </w:r>
    </w:p>
    <w:p>
      <w:pPr>
        <w:bidi w:val="0"/>
        <w:rPr>
          <w:rFonts w:hint="eastAsia"/>
          <w:lang w:val="en-US" w:eastAsia="zh-CN"/>
        </w:rPr>
      </w:pPr>
      <w:r>
        <w:rPr>
          <w:rFonts w:hint="eastAsia"/>
          <w:lang w:val="en-US" w:eastAsia="zh-CN"/>
        </w:rPr>
        <w:t>开户行：中国工商银行股份有限公司西宁宁新支行</w:t>
      </w:r>
    </w:p>
    <w:p>
      <w:pPr>
        <w:bidi w:val="0"/>
        <w:rPr>
          <w:rFonts w:hint="eastAsia"/>
          <w:lang w:val="en-US" w:eastAsia="zh-CN"/>
        </w:rPr>
      </w:pPr>
      <w:r>
        <w:rPr>
          <w:rFonts w:hint="eastAsia"/>
          <w:lang w:val="en-US" w:eastAsia="zh-CN"/>
        </w:rPr>
        <w:t>银行帐号：2806026809100002525</w:t>
      </w:r>
    </w:p>
    <w:p>
      <w:pPr>
        <w:bidi w:val="0"/>
        <w:rPr>
          <w:rFonts w:hint="eastAsia"/>
          <w:lang w:val="en-US" w:eastAsia="zh-CN"/>
        </w:rPr>
      </w:pPr>
      <w:r>
        <w:rPr>
          <w:rFonts w:hint="eastAsia"/>
          <w:lang w:val="en-US" w:eastAsia="zh-CN"/>
        </w:rPr>
        <w:t>投标人应提供证明其基本账户的开户许可证复印件并加盖公章，投标保证金应从其基本账户办理。投标人基本账户发生变化应及时通知招标人，因未及时通知而造成的一切责任自负。</w:t>
      </w:r>
    </w:p>
    <w:p>
      <w:pPr>
        <w:bidi w:val="0"/>
        <w:rPr>
          <w:rFonts w:hint="eastAsia"/>
          <w:lang w:val="en-US" w:eastAsia="zh-CN"/>
        </w:rPr>
      </w:pPr>
      <w:r>
        <w:rPr>
          <w:rFonts w:hint="eastAsia"/>
          <w:lang w:val="en-US" w:eastAsia="zh-CN"/>
        </w:rPr>
        <w:t>投标保证金联系人：石女士          联系电话：0971-6076855</w:t>
      </w:r>
    </w:p>
    <w:p>
      <w:pPr>
        <w:bidi w:val="0"/>
        <w:rPr>
          <w:rFonts w:hint="eastAsia"/>
          <w:lang w:val="en-US" w:eastAsia="zh-CN"/>
        </w:rPr>
      </w:pPr>
      <w:r>
        <w:rPr>
          <w:rFonts w:hint="eastAsia"/>
          <w:lang w:val="en-US" w:eastAsia="zh-CN"/>
        </w:rPr>
        <w:t>退还投标保证金请联系：韩经理      联系电话：0971-6076719</w:t>
      </w:r>
    </w:p>
    <w:p>
      <w:pPr>
        <w:bidi w:val="0"/>
        <w:rPr>
          <w:rFonts w:hint="eastAsia"/>
          <w:lang w:eastAsia="zh-CN"/>
        </w:rPr>
      </w:pPr>
      <w:r>
        <w:rPr>
          <w:rFonts w:hint="eastAsia"/>
          <w:lang w:val="en-US" w:eastAsia="zh-CN"/>
        </w:rPr>
        <w:t>4.5缴纳投标保证金的扫描件请附在商务标书中，以备查！</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5.投标文件的递交</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5.1投标文件递交的截止时间（投标截止时间）为：</w:t>
      </w:r>
      <w:r>
        <w:rPr>
          <w:rFonts w:hint="eastAsia" w:ascii="方正仿宋_GBK" w:hAnsi="方正仿宋_GBK" w:eastAsia="方正仿宋_GBK" w:cs="方正仿宋_GBK"/>
          <w:sz w:val="32"/>
          <w:szCs w:val="32"/>
          <w:highlight w:val="yellow"/>
          <w:lang w:val="en-US" w:eastAsia="zh-CN"/>
        </w:rPr>
        <w:t>202</w:t>
      </w:r>
      <w:r>
        <w:rPr>
          <w:rFonts w:hint="eastAsia" w:cs="方正仿宋_GBK"/>
          <w:sz w:val="32"/>
          <w:szCs w:val="32"/>
          <w:highlight w:val="yellow"/>
          <w:lang w:val="en-US" w:eastAsia="zh-CN"/>
        </w:rPr>
        <w:t>1</w:t>
      </w:r>
      <w:r>
        <w:rPr>
          <w:rFonts w:hint="eastAsia" w:ascii="方正仿宋_GBK" w:hAnsi="方正仿宋_GBK" w:eastAsia="方正仿宋_GBK" w:cs="方正仿宋_GBK"/>
          <w:sz w:val="32"/>
          <w:szCs w:val="32"/>
          <w:highlight w:val="yellow"/>
          <w:lang w:val="en-US" w:eastAsia="zh-CN"/>
        </w:rPr>
        <w:t>年</w:t>
      </w:r>
      <w:r>
        <w:rPr>
          <w:rFonts w:hint="eastAsia" w:cs="方正仿宋_GBK"/>
          <w:sz w:val="32"/>
          <w:szCs w:val="32"/>
          <w:highlight w:val="yellow"/>
          <w:lang w:val="en-US" w:eastAsia="zh-CN"/>
        </w:rPr>
        <w:t>4</w:t>
      </w:r>
      <w:r>
        <w:rPr>
          <w:rFonts w:hint="eastAsia" w:ascii="方正仿宋_GBK" w:hAnsi="方正仿宋_GBK" w:eastAsia="方正仿宋_GBK" w:cs="方正仿宋_GBK"/>
          <w:sz w:val="32"/>
          <w:szCs w:val="32"/>
          <w:highlight w:val="yellow"/>
          <w:lang w:val="en-US" w:eastAsia="zh-CN"/>
        </w:rPr>
        <w:t>月</w:t>
      </w:r>
      <w:r>
        <w:rPr>
          <w:rFonts w:hint="eastAsia" w:cs="方正仿宋_GBK"/>
          <w:sz w:val="32"/>
          <w:szCs w:val="32"/>
          <w:highlight w:val="yellow"/>
          <w:lang w:val="en-US" w:eastAsia="zh-CN"/>
        </w:rPr>
        <w:t>14</w:t>
      </w:r>
      <w:r>
        <w:rPr>
          <w:rFonts w:hint="eastAsia" w:ascii="方正仿宋_GBK" w:hAnsi="方正仿宋_GBK" w:eastAsia="方正仿宋_GBK" w:cs="方正仿宋_GBK"/>
          <w:sz w:val="32"/>
          <w:szCs w:val="32"/>
          <w:highlight w:val="yellow"/>
          <w:lang w:val="en-US" w:eastAsia="zh-CN"/>
        </w:rPr>
        <w:t>日</w:t>
      </w:r>
      <w:r>
        <w:rPr>
          <w:rFonts w:hint="eastAsia" w:cs="方正仿宋_GBK"/>
          <w:sz w:val="32"/>
          <w:szCs w:val="32"/>
          <w:highlight w:val="yellow"/>
          <w:lang w:val="en-US" w:eastAsia="zh-CN"/>
        </w:rPr>
        <w:t>14</w:t>
      </w:r>
      <w:r>
        <w:rPr>
          <w:rFonts w:hint="eastAsia" w:ascii="方正仿宋_GBK" w:hAnsi="方正仿宋_GBK" w:eastAsia="方正仿宋_GBK" w:cs="方正仿宋_GBK"/>
          <w:sz w:val="32"/>
          <w:szCs w:val="32"/>
          <w:highlight w:val="yellow"/>
          <w:lang w:val="en-US" w:eastAsia="zh-CN"/>
        </w:rPr>
        <w:t>:00</w:t>
      </w:r>
      <w:r>
        <w:rPr>
          <w:rFonts w:hint="eastAsia" w:ascii="方正仿宋_GBK" w:hAnsi="方正仿宋_GBK" w:eastAsia="方正仿宋_GBK" w:cs="方正仿宋_GBK"/>
          <w:sz w:val="32"/>
          <w:szCs w:val="32"/>
          <w:lang w:val="en-US" w:eastAsia="zh-CN"/>
        </w:rPr>
        <w:t>（北京时间），电子投标文件提交招标人招投标信息系统（电子商务平台）的截止时间同上。</w:t>
      </w:r>
    </w:p>
    <w:p>
      <w:pPr>
        <w:bidi w:val="0"/>
        <w:rPr>
          <w:rFonts w:hint="eastAsia"/>
          <w:lang w:val="en-US" w:eastAsia="zh-CN"/>
        </w:rPr>
      </w:pPr>
      <w:r>
        <w:rPr>
          <w:rFonts w:hint="eastAsia" w:ascii="方正仿宋_GBK" w:hAnsi="方正仿宋_GBK" w:eastAsia="方正仿宋_GBK" w:cs="方正仿宋_GBK"/>
          <w:sz w:val="32"/>
          <w:szCs w:val="32"/>
          <w:lang w:val="en-US" w:eastAsia="zh-CN"/>
        </w:rPr>
        <w:t>5.2投标文件的递交时间：</w:t>
      </w:r>
      <w:r>
        <w:rPr>
          <w:rFonts w:hint="eastAsia" w:ascii="方正仿宋_GBK" w:hAnsi="方正仿宋_GBK" w:eastAsia="方正仿宋_GBK" w:cs="方正仿宋_GBK"/>
          <w:sz w:val="32"/>
          <w:szCs w:val="32"/>
          <w:highlight w:val="yellow"/>
          <w:lang w:val="en-US" w:eastAsia="zh-CN"/>
        </w:rPr>
        <w:t>202</w:t>
      </w:r>
      <w:r>
        <w:rPr>
          <w:rFonts w:hint="eastAsia" w:cs="方正仿宋_GBK"/>
          <w:sz w:val="32"/>
          <w:szCs w:val="32"/>
          <w:highlight w:val="yellow"/>
          <w:lang w:val="en-US" w:eastAsia="zh-CN"/>
        </w:rPr>
        <w:t>1</w:t>
      </w:r>
      <w:r>
        <w:rPr>
          <w:rFonts w:hint="eastAsia" w:ascii="方正仿宋_GBK" w:hAnsi="方正仿宋_GBK" w:eastAsia="方正仿宋_GBK" w:cs="方正仿宋_GBK"/>
          <w:sz w:val="32"/>
          <w:szCs w:val="32"/>
          <w:highlight w:val="yellow"/>
          <w:lang w:val="en-US" w:eastAsia="zh-CN"/>
        </w:rPr>
        <w:t>年</w:t>
      </w:r>
      <w:r>
        <w:rPr>
          <w:rFonts w:hint="eastAsia" w:cs="方正仿宋_GBK"/>
          <w:sz w:val="32"/>
          <w:szCs w:val="32"/>
          <w:highlight w:val="yellow"/>
          <w:lang w:val="en-US" w:eastAsia="zh-CN"/>
        </w:rPr>
        <w:t>4</w:t>
      </w:r>
      <w:r>
        <w:rPr>
          <w:rFonts w:hint="eastAsia" w:ascii="方正仿宋_GBK" w:hAnsi="方正仿宋_GBK" w:eastAsia="方正仿宋_GBK" w:cs="方正仿宋_GBK"/>
          <w:sz w:val="32"/>
          <w:szCs w:val="32"/>
          <w:highlight w:val="yellow"/>
          <w:lang w:val="en-US" w:eastAsia="zh-CN"/>
        </w:rPr>
        <w:t>月1</w:t>
      </w:r>
      <w:r>
        <w:rPr>
          <w:rFonts w:hint="eastAsia" w:cs="方正仿宋_GBK"/>
          <w:sz w:val="32"/>
          <w:szCs w:val="32"/>
          <w:highlight w:val="yellow"/>
          <w:lang w:val="en-US" w:eastAsia="zh-CN"/>
        </w:rPr>
        <w:t>4</w:t>
      </w:r>
      <w:r>
        <w:rPr>
          <w:rFonts w:hint="eastAsia" w:ascii="方正仿宋_GBK" w:hAnsi="方正仿宋_GBK" w:eastAsia="方正仿宋_GBK" w:cs="方正仿宋_GBK"/>
          <w:sz w:val="32"/>
          <w:szCs w:val="32"/>
          <w:highlight w:val="yellow"/>
          <w:lang w:val="en-US" w:eastAsia="zh-CN"/>
        </w:rPr>
        <w:t>日</w:t>
      </w:r>
      <w:r>
        <w:rPr>
          <w:rFonts w:hint="eastAsia" w:cs="方正仿宋_GBK"/>
          <w:sz w:val="32"/>
          <w:szCs w:val="32"/>
          <w:highlight w:val="yellow"/>
          <w:lang w:val="en-US" w:eastAsia="zh-CN"/>
        </w:rPr>
        <w:t>9</w:t>
      </w:r>
      <w:r>
        <w:rPr>
          <w:rFonts w:hint="eastAsia" w:ascii="方正仿宋_GBK" w:hAnsi="方正仿宋_GBK" w:eastAsia="方正仿宋_GBK" w:cs="方正仿宋_GBK"/>
          <w:sz w:val="32"/>
          <w:szCs w:val="32"/>
          <w:highlight w:val="yellow"/>
          <w:lang w:val="en-US" w:eastAsia="zh-CN"/>
        </w:rPr>
        <w:t>:</w:t>
      </w:r>
      <w:r>
        <w:rPr>
          <w:rFonts w:hint="eastAsia" w:cs="方正仿宋_GBK"/>
          <w:sz w:val="32"/>
          <w:szCs w:val="32"/>
          <w:highlight w:val="yellow"/>
          <w:lang w:val="en-US" w:eastAsia="zh-CN"/>
        </w:rPr>
        <w:t>0</w:t>
      </w:r>
      <w:r>
        <w:rPr>
          <w:rFonts w:hint="eastAsia" w:ascii="方正仿宋_GBK" w:hAnsi="方正仿宋_GBK" w:eastAsia="方正仿宋_GBK" w:cs="方正仿宋_GBK"/>
          <w:sz w:val="32"/>
          <w:szCs w:val="32"/>
          <w:highlight w:val="yellow"/>
          <w:lang w:val="en-US" w:eastAsia="zh-CN"/>
        </w:rPr>
        <w:t>0-1</w:t>
      </w:r>
      <w:r>
        <w:rPr>
          <w:rFonts w:hint="eastAsia" w:cs="方正仿宋_GBK"/>
          <w:sz w:val="32"/>
          <w:szCs w:val="32"/>
          <w:highlight w:val="yellow"/>
          <w:lang w:val="en-US" w:eastAsia="zh-CN"/>
        </w:rPr>
        <w:t>1</w:t>
      </w:r>
      <w:r>
        <w:rPr>
          <w:rFonts w:hint="eastAsia" w:ascii="方正仿宋_GBK" w:hAnsi="方正仿宋_GBK" w:eastAsia="方正仿宋_GBK" w:cs="方正仿宋_GBK"/>
          <w:sz w:val="32"/>
          <w:szCs w:val="32"/>
          <w:highlight w:val="yellow"/>
          <w:lang w:val="en-US" w:eastAsia="zh-CN"/>
        </w:rPr>
        <w:t>:</w:t>
      </w:r>
      <w:r>
        <w:rPr>
          <w:rFonts w:hint="eastAsia" w:cs="方正仿宋_GBK"/>
          <w:sz w:val="32"/>
          <w:szCs w:val="32"/>
          <w:highlight w:val="yellow"/>
          <w:lang w:val="en-US" w:eastAsia="zh-CN"/>
        </w:rPr>
        <w:t>3</w:t>
      </w:r>
      <w:r>
        <w:rPr>
          <w:rFonts w:hint="eastAsia" w:ascii="方正仿宋_GBK" w:hAnsi="方正仿宋_GBK" w:eastAsia="方正仿宋_GBK" w:cs="方正仿宋_GBK"/>
          <w:sz w:val="32"/>
          <w:szCs w:val="32"/>
          <w:highlight w:val="yellow"/>
          <w:lang w:val="en-US" w:eastAsia="zh-CN"/>
        </w:rPr>
        <w:t>0</w:t>
      </w:r>
      <w:r>
        <w:rPr>
          <w:rFonts w:hint="eastAsia" w:cs="方正仿宋_GBK"/>
          <w:sz w:val="32"/>
          <w:szCs w:val="32"/>
          <w:highlight w:val="yellow"/>
          <w:lang w:val="en-US" w:eastAsia="zh-CN"/>
        </w:rPr>
        <w:t>、12</w:t>
      </w:r>
      <w:r>
        <w:rPr>
          <w:rFonts w:hint="eastAsia" w:ascii="方正仿宋_GBK" w:hAnsi="方正仿宋_GBK" w:eastAsia="方正仿宋_GBK" w:cs="方正仿宋_GBK"/>
          <w:sz w:val="32"/>
          <w:szCs w:val="32"/>
          <w:highlight w:val="yellow"/>
          <w:lang w:val="en-US" w:eastAsia="zh-CN"/>
        </w:rPr>
        <w:t>:</w:t>
      </w:r>
      <w:r>
        <w:rPr>
          <w:rFonts w:hint="eastAsia" w:cs="方正仿宋_GBK"/>
          <w:sz w:val="32"/>
          <w:szCs w:val="32"/>
          <w:highlight w:val="yellow"/>
          <w:lang w:val="en-US" w:eastAsia="zh-CN"/>
        </w:rPr>
        <w:t>3</w:t>
      </w:r>
      <w:r>
        <w:rPr>
          <w:rFonts w:hint="eastAsia" w:ascii="方正仿宋_GBK" w:hAnsi="方正仿宋_GBK" w:eastAsia="方正仿宋_GBK" w:cs="方正仿宋_GBK"/>
          <w:sz w:val="32"/>
          <w:szCs w:val="32"/>
          <w:highlight w:val="yellow"/>
          <w:lang w:val="en-US" w:eastAsia="zh-CN"/>
        </w:rPr>
        <w:t>0-1</w:t>
      </w:r>
      <w:r>
        <w:rPr>
          <w:rFonts w:hint="eastAsia" w:cs="方正仿宋_GBK"/>
          <w:sz w:val="32"/>
          <w:szCs w:val="32"/>
          <w:highlight w:val="yellow"/>
          <w:lang w:val="en-US" w:eastAsia="zh-CN"/>
        </w:rPr>
        <w:t>4</w:t>
      </w:r>
      <w:r>
        <w:rPr>
          <w:rFonts w:hint="eastAsia" w:ascii="方正仿宋_GBK" w:hAnsi="方正仿宋_GBK" w:eastAsia="方正仿宋_GBK" w:cs="方正仿宋_GBK"/>
          <w:sz w:val="32"/>
          <w:szCs w:val="32"/>
          <w:highlight w:val="yellow"/>
          <w:lang w:val="en-US" w:eastAsia="zh-CN"/>
        </w:rPr>
        <w:t>:</w:t>
      </w:r>
      <w:r>
        <w:rPr>
          <w:rFonts w:hint="eastAsia" w:cs="方正仿宋_GBK"/>
          <w:sz w:val="32"/>
          <w:szCs w:val="32"/>
          <w:highlight w:val="yellow"/>
          <w:lang w:val="en-US" w:eastAsia="zh-CN"/>
        </w:rPr>
        <w:t>0</w:t>
      </w:r>
      <w:r>
        <w:rPr>
          <w:rFonts w:hint="eastAsia" w:ascii="方正仿宋_GBK" w:hAnsi="方正仿宋_GBK" w:eastAsia="方正仿宋_GBK" w:cs="方正仿宋_GBK"/>
          <w:sz w:val="32"/>
          <w:szCs w:val="32"/>
          <w:highlight w:val="yellow"/>
          <w:lang w:val="en-US" w:eastAsia="zh-CN"/>
        </w:rPr>
        <w:t>0</w:t>
      </w:r>
      <w:r>
        <w:rPr>
          <w:rFonts w:hint="eastAsia" w:cs="方正仿宋_GBK"/>
          <w:sz w:val="32"/>
          <w:szCs w:val="32"/>
          <w:highlight w:val="yellow"/>
          <w:lang w:val="en-US" w:eastAsia="zh-CN"/>
        </w:rPr>
        <w:t>。</w:t>
      </w:r>
    </w:p>
    <w:p>
      <w:pPr>
        <w:bidi w:val="0"/>
        <w:rPr>
          <w:rFonts w:hint="eastAsia"/>
          <w:lang w:val="en-US" w:eastAsia="zh-CN"/>
        </w:rPr>
      </w:pPr>
      <w:r>
        <w:rPr>
          <w:rFonts w:hint="eastAsia"/>
          <w:lang w:val="en-US" w:eastAsia="zh-CN"/>
        </w:rPr>
        <w:t>5.3投标文件的递交地点：西宁市生物科技产业园经四路12号国网青海电力招标代理有限公司一楼开标大厅。</w:t>
      </w:r>
    </w:p>
    <w:p>
      <w:pPr>
        <w:bidi w:val="0"/>
        <w:rPr>
          <w:rFonts w:hint="eastAsia"/>
          <w:lang w:val="en-US" w:eastAsia="zh-CN"/>
        </w:rPr>
      </w:pPr>
      <w:r>
        <w:rPr>
          <w:rFonts w:hint="eastAsia"/>
          <w:lang w:val="en-US" w:eastAsia="zh-CN"/>
        </w:rPr>
        <w:t>5.4投标人在完成标书制作后，需要在项目截标之前，在国家电网新一代电子商务平台，网址（https://ecp.sgcc.com.cn/ecp2.0/portal/）公共信息中下载国网青海省电力公司投标信息“二维码”软件（含操作手册），填写投标人相关信息及所投标包等内容并生成相应投标信息二维码图标(横版打印)，打印该二维码图标（该页无需封装），递交标书时现场扫描。投标人没有按时递交投标信息二维码文件或因投标人误填此文件引起的不一致或误解，将视为对招标文件的响应存在重要偏差，责任由投标人承担。请以</w:t>
      </w:r>
      <w:r>
        <w:rPr>
          <w:rFonts w:hint="eastAsia"/>
          <w:highlight w:val="none"/>
          <w:lang w:val="en-US" w:eastAsia="zh-CN"/>
        </w:rPr>
        <w:t>2021年3月24日发</w:t>
      </w:r>
      <w:r>
        <w:rPr>
          <w:rFonts w:hint="eastAsia"/>
          <w:lang w:val="en-US" w:eastAsia="zh-CN"/>
        </w:rPr>
        <w:t>布的为准。</w:t>
      </w:r>
    </w:p>
    <w:p>
      <w:pPr>
        <w:bidi w:val="0"/>
        <w:rPr>
          <w:rFonts w:hint="eastAsia"/>
          <w:lang w:val="en-US" w:eastAsia="zh-CN"/>
        </w:rPr>
      </w:pPr>
      <w:r>
        <w:rPr>
          <w:rFonts w:hint="eastAsia"/>
          <w:lang w:val="en-US" w:eastAsia="zh-CN"/>
        </w:rPr>
        <w:t>（注：编制二维码文件时需填写的分标编号、分标名称、包号等信息要求按照本公告附表“采购需求一览表”中对应的字段内容规范填写。）</w:t>
      </w:r>
    </w:p>
    <w:p>
      <w:pPr>
        <w:bidi w:val="0"/>
        <w:rPr>
          <w:rFonts w:hint="eastAsia"/>
          <w:lang w:val="en-US" w:eastAsia="zh-CN"/>
        </w:rPr>
      </w:pPr>
      <w:r>
        <w:rPr>
          <w:rFonts w:hint="eastAsia"/>
          <w:lang w:val="en-US" w:eastAsia="zh-CN"/>
        </w:rPr>
        <w:t>5.5特别提示：投标截止时间之前，逾期送达的投标文件，招标人不予受理。不接受邮寄方式提交投标文件及投标文件的修改文件；不接受未按规定封装的投标文件及投标文件的修改文件。</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6.开标时间及地点</w:t>
      </w:r>
    </w:p>
    <w:p>
      <w:pPr>
        <w:tabs>
          <w:tab w:val="left" w:pos="620"/>
        </w:tabs>
        <w:spacing w:line="391"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lang w:val="en-US" w:eastAsia="zh-CN"/>
        </w:rPr>
        <w:t>6</w:t>
      </w:r>
      <w:r>
        <w:rPr>
          <w:rFonts w:hint="eastAsia" w:ascii="方正仿宋_GBK" w:hAnsi="方正仿宋_GBK" w:eastAsia="方正仿宋_GBK" w:cs="方正仿宋_GBK"/>
          <w:color w:val="000000"/>
          <w:kern w:val="0"/>
          <w:sz w:val="32"/>
          <w:szCs w:val="32"/>
        </w:rPr>
        <w:t>.1开标时间：</w:t>
      </w:r>
      <w:r>
        <w:rPr>
          <w:rFonts w:hint="eastAsia" w:ascii="方正仿宋_GBK" w:hAnsi="方正仿宋_GBK" w:eastAsia="方正仿宋_GBK" w:cs="方正仿宋_GBK"/>
          <w:color w:val="000000"/>
          <w:kern w:val="0"/>
          <w:sz w:val="32"/>
          <w:szCs w:val="32"/>
          <w:highlight w:val="yellow"/>
        </w:rPr>
        <w:t>202</w:t>
      </w:r>
      <w:r>
        <w:rPr>
          <w:rFonts w:hint="eastAsia" w:cs="方正仿宋_GBK"/>
          <w:color w:val="000000"/>
          <w:kern w:val="0"/>
          <w:sz w:val="32"/>
          <w:szCs w:val="32"/>
          <w:highlight w:val="yellow"/>
          <w:lang w:val="en-US" w:eastAsia="zh-CN"/>
        </w:rPr>
        <w:t>1</w:t>
      </w:r>
      <w:r>
        <w:rPr>
          <w:rFonts w:hint="eastAsia" w:ascii="方正仿宋_GBK" w:hAnsi="方正仿宋_GBK" w:eastAsia="方正仿宋_GBK" w:cs="方正仿宋_GBK"/>
          <w:color w:val="000000"/>
          <w:kern w:val="0"/>
          <w:sz w:val="32"/>
          <w:szCs w:val="32"/>
          <w:highlight w:val="yellow"/>
        </w:rPr>
        <w:t>年</w:t>
      </w:r>
      <w:r>
        <w:rPr>
          <w:rFonts w:hint="eastAsia" w:cs="方正仿宋_GBK"/>
          <w:color w:val="000000"/>
          <w:kern w:val="0"/>
          <w:sz w:val="32"/>
          <w:szCs w:val="32"/>
          <w:highlight w:val="yellow"/>
          <w:lang w:val="en-US" w:eastAsia="zh-CN"/>
        </w:rPr>
        <w:t>4</w:t>
      </w:r>
      <w:r>
        <w:rPr>
          <w:rFonts w:hint="eastAsia" w:ascii="方正仿宋_GBK" w:hAnsi="方正仿宋_GBK" w:eastAsia="方正仿宋_GBK" w:cs="方正仿宋_GBK"/>
          <w:color w:val="000000"/>
          <w:kern w:val="0"/>
          <w:sz w:val="32"/>
          <w:szCs w:val="32"/>
          <w:highlight w:val="yellow"/>
        </w:rPr>
        <w:t>月1</w:t>
      </w:r>
      <w:r>
        <w:rPr>
          <w:rFonts w:hint="eastAsia" w:cs="方正仿宋_GBK"/>
          <w:color w:val="000000"/>
          <w:kern w:val="0"/>
          <w:sz w:val="32"/>
          <w:szCs w:val="32"/>
          <w:highlight w:val="yellow"/>
          <w:lang w:val="en-US" w:eastAsia="zh-CN"/>
        </w:rPr>
        <w:t>4</w:t>
      </w:r>
      <w:r>
        <w:rPr>
          <w:rFonts w:hint="eastAsia" w:ascii="方正仿宋_GBK" w:hAnsi="方正仿宋_GBK" w:eastAsia="方正仿宋_GBK" w:cs="方正仿宋_GBK"/>
          <w:color w:val="000000"/>
          <w:kern w:val="0"/>
          <w:sz w:val="32"/>
          <w:szCs w:val="32"/>
          <w:highlight w:val="yellow"/>
        </w:rPr>
        <w:t>日</w:t>
      </w:r>
      <w:r>
        <w:rPr>
          <w:rFonts w:hint="eastAsia" w:cs="方正仿宋_GBK"/>
          <w:color w:val="000000"/>
          <w:kern w:val="0"/>
          <w:sz w:val="32"/>
          <w:szCs w:val="32"/>
          <w:highlight w:val="yellow"/>
          <w:lang w:val="en-US" w:eastAsia="zh-CN"/>
        </w:rPr>
        <w:t>14</w:t>
      </w:r>
      <w:r>
        <w:rPr>
          <w:rFonts w:hint="eastAsia" w:ascii="方正仿宋_GBK" w:hAnsi="方正仿宋_GBK" w:eastAsia="方正仿宋_GBK" w:cs="方正仿宋_GBK"/>
          <w:color w:val="000000"/>
          <w:kern w:val="0"/>
          <w:sz w:val="32"/>
          <w:szCs w:val="32"/>
          <w:highlight w:val="yellow"/>
        </w:rPr>
        <w:t>:00</w:t>
      </w:r>
      <w:r>
        <w:rPr>
          <w:rFonts w:hint="eastAsia" w:ascii="方正仿宋_GBK" w:hAnsi="方正仿宋_GBK" w:eastAsia="方正仿宋_GBK" w:cs="方正仿宋_GBK"/>
          <w:color w:val="000000"/>
          <w:kern w:val="0"/>
          <w:sz w:val="32"/>
          <w:szCs w:val="32"/>
        </w:rPr>
        <w:t>时整（北京时间）。</w:t>
      </w:r>
    </w:p>
    <w:p>
      <w:pPr>
        <w:tabs>
          <w:tab w:val="left" w:pos="620"/>
        </w:tabs>
        <w:spacing w:line="391"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lang w:val="en-US" w:eastAsia="zh-CN"/>
        </w:rPr>
        <w:t>6</w:t>
      </w:r>
      <w:r>
        <w:rPr>
          <w:rFonts w:hint="eastAsia" w:ascii="方正仿宋_GBK" w:hAnsi="方正仿宋_GBK" w:eastAsia="方正仿宋_GBK" w:cs="方正仿宋_GBK"/>
          <w:color w:val="000000"/>
          <w:kern w:val="0"/>
          <w:sz w:val="32"/>
          <w:szCs w:val="32"/>
        </w:rPr>
        <w:t>.2开标地点：青海省西宁市生物科技产业园经四路12号国网青海电力招标代理有限公司五楼会议室。</w:t>
      </w:r>
    </w:p>
    <w:p>
      <w:pPr>
        <w:bidi w:val="0"/>
        <w:rPr>
          <w:rFonts w:hint="eastAsia"/>
          <w:lang w:eastAsia="zh-CN"/>
        </w:rPr>
      </w:pPr>
      <w:r>
        <w:rPr>
          <w:rFonts w:hint="eastAsia" w:ascii="方正仿宋_GBK" w:hAnsi="方正仿宋_GBK" w:eastAsia="方正仿宋_GBK" w:cs="方正仿宋_GBK"/>
          <w:color w:val="000000"/>
          <w:kern w:val="0"/>
          <w:sz w:val="32"/>
          <w:szCs w:val="32"/>
          <w:lang w:val="en-US" w:eastAsia="zh-CN"/>
        </w:rPr>
        <w:t>6</w:t>
      </w:r>
      <w:r>
        <w:rPr>
          <w:rFonts w:hint="eastAsia" w:ascii="方正仿宋_GBK" w:hAnsi="方正仿宋_GBK" w:eastAsia="方正仿宋_GBK" w:cs="方正仿宋_GBK"/>
          <w:color w:val="000000"/>
          <w:kern w:val="0"/>
          <w:sz w:val="32"/>
          <w:szCs w:val="32"/>
        </w:rPr>
        <w:t>.3开标方式：采用网络直播方式进行开标（投标人代表无须现场参加开标会议，使用钉钉APP观看网络直播开标，开标会议二维码如下：</w:t>
      </w:r>
    </w:p>
    <w:p>
      <w:pPr>
        <w:pStyle w:val="12"/>
        <w:jc w:val="center"/>
        <w:rPr>
          <w:rFonts w:hint="eastAsia"/>
          <w:lang w:val="en-US" w:eastAsia="zh-CN"/>
        </w:rPr>
      </w:pPr>
      <w:r>
        <w:rPr>
          <w:rFonts w:hint="eastAsia"/>
          <w:sz w:val="20"/>
          <w:lang w:eastAsia="zh-CN"/>
        </w:rPr>
        <w:drawing>
          <wp:inline distT="0" distB="0" distL="114300" distR="114300">
            <wp:extent cx="1628775" cy="1743075"/>
            <wp:effectExtent l="0" t="0" r="1905" b="9525"/>
            <wp:docPr id="5" name="图片 5"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无标题"/>
                    <pic:cNvPicPr>
                      <a:picLocks noChangeAspect="1"/>
                    </pic:cNvPicPr>
                  </pic:nvPicPr>
                  <pic:blipFill>
                    <a:blip r:embed="rId7"/>
                    <a:stretch>
                      <a:fillRect/>
                    </a:stretch>
                  </pic:blipFill>
                  <pic:spPr>
                    <a:xfrm>
                      <a:off x="0" y="0"/>
                      <a:ext cx="1628775" cy="1743075"/>
                    </a:xfrm>
                    <a:prstGeom prst="rect">
                      <a:avLst/>
                    </a:prstGeom>
                  </pic:spPr>
                </pic:pic>
              </a:graphicData>
            </a:graphic>
          </wp:inline>
        </w:drawing>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7.发布公告的媒介</w:t>
      </w:r>
    </w:p>
    <w:p>
      <w:pPr>
        <w:bidi w:val="0"/>
        <w:rPr>
          <w:rFonts w:hint="eastAsia"/>
          <w:lang w:val="en-US" w:eastAsia="zh-CN"/>
        </w:rPr>
      </w:pPr>
      <w:r>
        <w:rPr>
          <w:rFonts w:hint="eastAsia"/>
          <w:lang w:val="en-US" w:eastAsia="zh-CN"/>
        </w:rPr>
        <w:t>“中国招标投标公共服务平台”(http://www.cebpubservice.com/)、“国家电网公司新一代电子商务平台”(https://ecp.sgcc.com.cn/ecp2.0/portal/)、“青海项目信息网（</w:t>
      </w:r>
      <w:r>
        <w:rPr>
          <w:rFonts w:hint="eastAsia"/>
          <w:lang w:val="en-US" w:eastAsia="zh-CN"/>
        </w:rPr>
        <w:fldChar w:fldCharType="begin"/>
      </w:r>
      <w:r>
        <w:rPr>
          <w:rFonts w:hint="eastAsia"/>
          <w:lang w:val="en-US" w:eastAsia="zh-CN"/>
        </w:rPr>
        <w:instrText xml:space="preserve"> HYPERLINK "http://www.qhei.gov/" </w:instrText>
      </w:r>
      <w:r>
        <w:rPr>
          <w:rFonts w:hint="eastAsia"/>
          <w:lang w:val="en-US" w:eastAsia="zh-CN"/>
        </w:rPr>
        <w:fldChar w:fldCharType="separate"/>
      </w:r>
      <w:r>
        <w:rPr>
          <w:rFonts w:hint="eastAsia"/>
          <w:lang w:val="en-US" w:eastAsia="zh-CN"/>
        </w:rPr>
        <w:t>www.qhei.net.c</w:t>
      </w:r>
      <w:r>
        <w:rPr>
          <w:rFonts w:hint="eastAsia"/>
          <w:lang w:val="en-US" w:eastAsia="zh-CN"/>
        </w:rPr>
        <w:fldChar w:fldCharType="end"/>
      </w:r>
      <w:r>
        <w:rPr>
          <w:rFonts w:hint="eastAsia"/>
          <w:lang w:val="en-US" w:eastAsia="zh-CN"/>
        </w:rPr>
        <w:t>n）”上发布招标公告，招标公告将明确对投标人的资格要求、发售招标文件的日期和地点、投标、开标等事宜。</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8.招标人、招标代理机构及投标人关于招标代理服务费的三方约定</w:t>
      </w:r>
    </w:p>
    <w:p>
      <w:pPr>
        <w:bidi w:val="0"/>
        <w:rPr>
          <w:rFonts w:hint="eastAsia"/>
          <w:lang w:val="en-US" w:eastAsia="zh-CN"/>
        </w:rPr>
      </w:pPr>
      <w:r>
        <w:rPr>
          <w:rFonts w:hint="eastAsia"/>
          <w:lang w:val="en-US" w:eastAsia="zh-CN"/>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投标人如果投标即视为同意此约定。投标人要严格按照附件3提供的“三方约定”内容进行签订并提供在商务投标文件中。</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9.合规声明</w:t>
      </w:r>
    </w:p>
    <w:p>
      <w:pPr>
        <w:bidi w:val="0"/>
        <w:rPr>
          <w:rFonts w:hint="eastAsia"/>
          <w:lang w:val="en-US" w:eastAsia="zh-CN"/>
        </w:rPr>
      </w:pPr>
      <w:r>
        <w:rPr>
          <w:rFonts w:hint="eastAsia"/>
          <w:lang w:val="en-US" w:eastAsia="zh-CN"/>
        </w:rPr>
        <w:t>招标文件如果发生可能与法律条规、国家标准不相一致、不相符合的条款表述，其不一致、不符合之处一律无效，并以国家相应规定为准。</w:t>
      </w:r>
    </w:p>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10.其他事项</w:t>
      </w:r>
    </w:p>
    <w:p>
      <w:pPr>
        <w:bidi w:val="0"/>
        <w:rPr>
          <w:rFonts w:hint="eastAsia"/>
          <w:lang w:val="en-US" w:eastAsia="zh-CN"/>
        </w:rPr>
      </w:pPr>
      <w:r>
        <w:rPr>
          <w:rFonts w:hint="eastAsia"/>
          <w:lang w:val="en-US" w:eastAsia="zh-CN"/>
        </w:rPr>
        <w:t>10.1</w:t>
      </w:r>
      <w:r>
        <w:rPr>
          <w:rFonts w:hint="eastAsia"/>
          <w:lang w:eastAsia="zh-CN"/>
        </w:rPr>
        <w:t>如</w:t>
      </w:r>
      <w:r>
        <w:rPr>
          <w:rFonts w:hint="eastAsia"/>
          <w:lang w:val="en-US" w:eastAsia="zh-CN"/>
        </w:rPr>
        <w:t>招标文件中其他章节内容与本章内容有不一致的，以本章内容为准。</w:t>
      </w:r>
    </w:p>
    <w:p>
      <w:pPr>
        <w:bidi w:val="0"/>
        <w:rPr>
          <w:rFonts w:hint="eastAsia"/>
          <w:lang w:val="en-US" w:eastAsia="zh-CN"/>
        </w:rPr>
      </w:pPr>
      <w:r>
        <w:rPr>
          <w:rFonts w:hint="eastAsia"/>
          <w:lang w:val="en-US" w:eastAsia="zh-CN"/>
        </w:rPr>
        <w:t>10.2由于青海地区对海拔有特殊要求，海拔及其他特殊要求，详见附件1:2820AB海拔修正及其他特殊要求和附件2的要求。</w:t>
      </w:r>
    </w:p>
    <w:p>
      <w:pPr>
        <w:bidi w:val="0"/>
        <w:rPr>
          <w:rFonts w:hint="eastAsia"/>
          <w:lang w:eastAsia="zh-CN"/>
        </w:rPr>
      </w:pPr>
      <w:r>
        <w:rPr>
          <w:rFonts w:hint="eastAsia"/>
          <w:lang w:val="en-US" w:eastAsia="zh-CN"/>
        </w:rPr>
        <w:t>10</w:t>
      </w:r>
      <w:r>
        <w:rPr>
          <w:rFonts w:hint="eastAsia"/>
          <w:lang w:eastAsia="zh-CN"/>
        </w:rPr>
        <w:t>.</w:t>
      </w:r>
      <w:r>
        <w:rPr>
          <w:rFonts w:hint="eastAsia"/>
          <w:lang w:val="en-US" w:eastAsia="zh-CN"/>
        </w:rPr>
        <w:t>3</w:t>
      </w:r>
      <w:r>
        <w:rPr>
          <w:rFonts w:hint="eastAsia"/>
          <w:lang w:eastAsia="zh-CN"/>
        </w:rPr>
        <w:t xml:space="preserve"> 同一包内同型号货物的投标单价应一致，否则其投标将被否决。</w:t>
      </w:r>
    </w:p>
    <w:p>
      <w:pPr>
        <w:bidi w:val="0"/>
        <w:rPr>
          <w:rFonts w:hint="eastAsia"/>
          <w:lang w:eastAsia="zh-CN"/>
        </w:rPr>
      </w:pPr>
      <w:r>
        <w:rPr>
          <w:rFonts w:hint="eastAsia"/>
          <w:lang w:val="en-US" w:eastAsia="zh-CN"/>
        </w:rPr>
        <w:t>10</w:t>
      </w:r>
      <w:r>
        <w:rPr>
          <w:rFonts w:hint="eastAsia"/>
          <w:lang w:eastAsia="zh-CN"/>
        </w:rPr>
        <w:t>.</w:t>
      </w:r>
      <w:r>
        <w:rPr>
          <w:rFonts w:hint="eastAsia"/>
          <w:lang w:val="en-US" w:eastAsia="zh-CN"/>
        </w:rPr>
        <w:t>4</w:t>
      </w:r>
      <w:r>
        <w:rPr>
          <w:rFonts w:hint="eastAsia"/>
          <w:lang w:eastAsia="zh-CN"/>
        </w:rPr>
        <w:t>本批协议库存均按数量（金额）划分标包，本次招标的协议库存需求为全省范围内预估需求计划，标包的项目地区不代表最终协议库存订单执行的地区，最终以订单执行实际下达的项目地区为准。报价中的运距由供应商根据青海实际地域情况自行测算。</w:t>
      </w:r>
    </w:p>
    <w:p>
      <w:pPr>
        <w:bidi w:val="0"/>
        <w:rPr>
          <w:rFonts w:hint="eastAsia"/>
          <w:lang w:val="en-US" w:eastAsia="zh-CN"/>
        </w:rPr>
      </w:pPr>
      <w:r>
        <w:rPr>
          <w:rFonts w:hint="eastAsia"/>
          <w:lang w:val="en-US" w:eastAsia="zh-CN"/>
        </w:rPr>
        <w:t>10.5青海公司将针对本批次采购的物资开展“实物ID”工作，合同签订环节增量设备标签安装相关要求如下：</w:t>
      </w:r>
    </w:p>
    <w:p>
      <w:pPr>
        <w:bidi w:val="0"/>
        <w:rPr>
          <w:rFonts w:hint="eastAsia"/>
          <w:lang w:val="en-US" w:eastAsia="zh-CN"/>
        </w:rPr>
      </w:pPr>
      <w:r>
        <w:rPr>
          <w:rFonts w:hint="eastAsia"/>
          <w:lang w:val="en-US" w:eastAsia="zh-CN"/>
        </w:rPr>
        <w:t>根据《电网资产统一身份编码建设推广实施总体工作方案》相关工作要求，为进一步推进电网资产统一身份编码推广实施工作，国网物资部及省级物资部门在合同签订环节需对供应商安装增量设备二维码标签和RFID标签明确以下要求：</w:t>
      </w:r>
    </w:p>
    <w:p>
      <w:pPr>
        <w:bidi w:val="0"/>
        <w:rPr>
          <w:rFonts w:hint="eastAsia"/>
          <w:lang w:val="en-US" w:eastAsia="zh-CN"/>
        </w:rPr>
      </w:pPr>
      <w:r>
        <w:rPr>
          <w:rFonts w:hint="eastAsia"/>
          <w:lang w:val="en-US" w:eastAsia="zh-CN"/>
        </w:rPr>
        <w:t>1.在采购合同中要求供应商使用“供应商获取实物ID编码及标签制作规范”微应用获取实物“ID”、二维码图案、《电网资产统一身份编码技术规范》（Q/GDW 11712—2017）、《电网资产统一身份编码物联网标签制作安装指导手册（增量分册）》，并按照规范进行设备铭牌一体化二维码标签的制作、安装，同时安装RFID标签。</w:t>
      </w:r>
    </w:p>
    <w:p>
      <w:pPr>
        <w:bidi w:val="0"/>
        <w:rPr>
          <w:rFonts w:hint="eastAsia"/>
          <w:lang w:val="en-US" w:eastAsia="zh-CN"/>
        </w:rPr>
      </w:pPr>
      <w:r>
        <w:rPr>
          <w:rFonts w:hint="eastAsia"/>
          <w:lang w:val="en-US" w:eastAsia="zh-CN"/>
        </w:rPr>
        <w:t>2.在采购合同中要求供应商使用“物资技术参数维护管理”微应用，进行设备技术参数维护。</w:t>
      </w:r>
    </w:p>
    <w:p>
      <w:pPr>
        <w:bidi w:val="0"/>
        <w:rPr>
          <w:rFonts w:hint="eastAsia"/>
          <w:lang w:val="en-US" w:eastAsia="zh-CN"/>
        </w:rPr>
      </w:pPr>
      <w:r>
        <w:rPr>
          <w:rFonts w:hint="eastAsia"/>
          <w:lang w:val="en-US" w:eastAsia="zh-CN"/>
        </w:rPr>
        <w:t>3. 根据国家电网公司信息安全相关管理规定，RFID电子标签须使用国密算法和国家电网公司安全秘钥。</w:t>
      </w:r>
    </w:p>
    <w:p>
      <w:pPr>
        <w:bidi w:val="0"/>
        <w:rPr>
          <w:rFonts w:hint="eastAsia"/>
          <w:lang w:val="en-US" w:eastAsia="zh-CN"/>
        </w:rPr>
      </w:pPr>
      <w:r>
        <w:rPr>
          <w:rFonts w:hint="eastAsia"/>
          <w:lang w:val="en-US" w:eastAsia="zh-CN"/>
        </w:rPr>
        <w:t>4.涉及的设备种类如下：</w:t>
      </w:r>
    </w:p>
    <w:p>
      <w:pPr>
        <w:bidi w:val="0"/>
        <w:rPr>
          <w:rFonts w:hint="eastAsia"/>
          <w:lang w:val="en-US" w:eastAsia="zh-CN"/>
        </w:rPr>
      </w:pPr>
      <w:r>
        <w:rPr>
          <w:rFonts w:hint="eastAsia"/>
          <w:lang w:val="en-US" w:eastAsia="zh-CN"/>
        </w:rPr>
        <w:t>（1）主网14类设备：主变压器、断路器、组合电器、隔离开关、电流互感器、电压互感器、电抗器、电力电容器、耦合电容器、接地变、站用变、开关柜、避雷器、消弧线圈。</w:t>
      </w:r>
    </w:p>
    <w:p>
      <w:pPr>
        <w:bidi w:val="0"/>
        <w:rPr>
          <w:rFonts w:hint="eastAsia"/>
          <w:lang w:val="en-US" w:eastAsia="zh-CN"/>
        </w:rPr>
      </w:pPr>
      <w:r>
        <w:rPr>
          <w:rFonts w:hint="eastAsia"/>
          <w:lang w:val="en-US" w:eastAsia="zh-CN"/>
        </w:rPr>
        <w:t>（2）配网2类设备：配电变压器、环网柜。</w:t>
      </w:r>
    </w:p>
    <w:p>
      <w:pPr>
        <w:bidi w:val="0"/>
        <w:rPr>
          <w:rFonts w:hint="eastAsia"/>
          <w:lang w:val="en-US" w:eastAsia="zh-CN"/>
        </w:rPr>
      </w:pPr>
      <w:r>
        <w:rPr>
          <w:rFonts w:hint="eastAsia"/>
          <w:lang w:val="en-US" w:eastAsia="zh-CN"/>
        </w:rPr>
        <w:t>（3）交流设备：充气柜、高压熔断器、消防系统（主变灭火装置）、串联补偿装置、母线、避雷针、接地网、穿墙套管</w:t>
      </w:r>
    </w:p>
    <w:p>
      <w:pPr>
        <w:bidi w:val="0"/>
        <w:rPr>
          <w:rFonts w:hint="eastAsia"/>
          <w:lang w:val="en-US" w:eastAsia="zh-CN"/>
        </w:rPr>
      </w:pPr>
      <w:r>
        <w:rPr>
          <w:rFonts w:hint="eastAsia"/>
          <w:lang w:val="en-US" w:eastAsia="zh-CN"/>
        </w:rPr>
        <w:t>（4）换流设备：换流站换流变压器、油浸式平波电抗器、干式平波电抗器、晶闸管换流阀、IGBT换流阀、直流转换开关、直流断路器、直流隔离开关、直流分压器、光电流互感器、零磁通电流互感器、阀内水冷系统、阀外水冷系统、阀外风冷系统、直流穿墙套管、直流滤波器、交流滤波器、直流避雷器、接地极、直流电容器、换流一次电抗器、阀厅空调、直流PLC调谐装置、调相机等（换流站中交流设备赋码范围参考变电站类型执行）</w:t>
      </w:r>
    </w:p>
    <w:p>
      <w:pPr>
        <w:bidi w:val="0"/>
        <w:rPr>
          <w:rFonts w:hint="eastAsia"/>
          <w:lang w:val="en-US" w:eastAsia="zh-CN"/>
        </w:rPr>
      </w:pPr>
      <w:r>
        <w:rPr>
          <w:rFonts w:hint="eastAsia"/>
          <w:lang w:val="en-US" w:eastAsia="zh-CN"/>
        </w:rPr>
        <w:t>（5）输电设备：架空线路、物理（运行）杆塔、电缆段、电缆终端、电缆接头、电缆接地箱、电缆分支箱、交叉互联箱、避雷器</w:t>
      </w:r>
    </w:p>
    <w:p>
      <w:pPr>
        <w:bidi w:val="0"/>
        <w:rPr>
          <w:rFonts w:hint="eastAsia"/>
          <w:lang w:val="en-US" w:eastAsia="zh-CN"/>
        </w:rPr>
      </w:pPr>
      <w:r>
        <w:rPr>
          <w:rFonts w:hint="eastAsia"/>
          <w:lang w:val="en-US" w:eastAsia="zh-CN"/>
        </w:rPr>
        <w:t>（6）配电设备：柱上开关、电缆分支箱、中压电杆</w:t>
      </w:r>
    </w:p>
    <w:p>
      <w:pPr>
        <w:bidi w:val="0"/>
        <w:rPr>
          <w:rFonts w:hint="eastAsia"/>
          <w:lang w:val="en-US" w:eastAsia="zh-CN"/>
        </w:rPr>
      </w:pPr>
      <w:r>
        <w:rPr>
          <w:rFonts w:hint="eastAsia"/>
          <w:lang w:val="en-US" w:eastAsia="zh-CN"/>
        </w:rPr>
        <w:t>（7）信息设备：主机设备、存储设备、网络设备、安全设备、辅助设备5大类26小类。</w:t>
      </w:r>
    </w:p>
    <w:p>
      <w:pPr>
        <w:bidi w:val="0"/>
        <w:rPr>
          <w:rFonts w:hint="eastAsia"/>
          <w:lang w:val="en-US" w:eastAsia="zh-CN"/>
        </w:rPr>
      </w:pPr>
      <w:r>
        <w:rPr>
          <w:rFonts w:hint="eastAsia"/>
          <w:lang w:val="en-US" w:eastAsia="zh-CN"/>
        </w:rPr>
        <w:t>（8）保护设备：继电保护设备、安全自动装置、动态记录装置、故障信息子站、操作箱、电压切换箱、收发信机、光电转换装置、光纤通信接口装置、合并单元、智能终端、合智一体装置、过程层交换机等13类设备</w:t>
      </w:r>
    </w:p>
    <w:p>
      <w:pPr>
        <w:bidi w:val="0"/>
        <w:rPr>
          <w:rFonts w:hint="eastAsia"/>
          <w:lang w:val="en-US" w:eastAsia="zh-CN"/>
        </w:rPr>
      </w:pPr>
      <w:r>
        <w:rPr>
          <w:rFonts w:hint="eastAsia"/>
          <w:lang w:val="en-US" w:eastAsia="zh-CN"/>
        </w:rPr>
        <w:t>（9）通信设备：SDH、OTN两类设备。</w:t>
      </w:r>
    </w:p>
    <w:p>
      <w:pPr>
        <w:bidi w:val="0"/>
        <w:rPr>
          <w:rFonts w:hint="eastAsia"/>
          <w:lang w:val="en-US" w:eastAsia="zh-CN"/>
        </w:rPr>
      </w:pPr>
      <w:r>
        <w:rPr>
          <w:rFonts w:hint="eastAsia"/>
          <w:lang w:val="en-US" w:eastAsia="zh-CN"/>
        </w:rPr>
        <w:t>5.本次采购物资必须符合国网青海省电力公司资产全寿命管理项目实物ID标签贴牌相关要求,设备实物ID标签的制作和安装执行《国网青海省电力公司实物ID电子标签安装规范》</w:t>
      </w:r>
    </w:p>
    <w:p>
      <w:pPr>
        <w:bidi w:val="0"/>
        <w:rPr>
          <w:rFonts w:hint="eastAsia"/>
          <w:lang w:val="en-US" w:eastAsia="zh-CN"/>
        </w:rPr>
      </w:pPr>
      <w:r>
        <w:rPr>
          <w:rFonts w:hint="eastAsia"/>
          <w:lang w:val="en-US" w:eastAsia="zh-CN"/>
        </w:rPr>
        <w:t>10.6档案移交的要求</w:t>
      </w:r>
    </w:p>
    <w:p>
      <w:pPr>
        <w:bidi w:val="0"/>
        <w:rPr>
          <w:rFonts w:hint="eastAsia"/>
          <w:lang w:val="en-US" w:eastAsia="zh-CN"/>
        </w:rPr>
      </w:pPr>
      <w:r>
        <w:rPr>
          <w:rFonts w:hint="eastAsia"/>
          <w:lang w:val="en-US" w:eastAsia="zh-CN"/>
        </w:rPr>
        <w:t>10.6.1中标人应根据国网公司档案管理办法、国网青海省电力公司档案管理有关规定，按照甲方要求，提供项目档案归档所需的厂家资料，并负责或配合项目实施方有关单位完成相关档案资料的整理及归档工作。</w:t>
      </w:r>
    </w:p>
    <w:p>
      <w:pPr>
        <w:bidi w:val="0"/>
        <w:rPr>
          <w:rFonts w:hint="eastAsia"/>
          <w:lang w:val="en-US" w:eastAsia="zh-CN"/>
        </w:rPr>
      </w:pPr>
      <w:r>
        <w:rPr>
          <w:rFonts w:hint="eastAsia"/>
          <w:lang w:val="en-US" w:eastAsia="zh-CN"/>
        </w:rPr>
        <w:t>10.6.2中标人应以档案级光盘或硬磁盘形式提供符合档案要求的电子版，所有文字材料为“双层PDF”格式，各类设备图纸为“DWF矢量图”格式，同时确保电子、纸质文件内容一致。</w:t>
      </w:r>
    </w:p>
    <w:p>
      <w:pPr>
        <w:bidi w:val="0"/>
        <w:rPr>
          <w:rFonts w:hint="eastAsia"/>
          <w:lang w:val="en-US" w:eastAsia="zh-CN"/>
        </w:rPr>
      </w:pPr>
      <w:r>
        <w:rPr>
          <w:rFonts w:hint="eastAsia"/>
          <w:lang w:val="en-US" w:eastAsia="zh-CN"/>
        </w:rPr>
        <w:t>10.6.3根据省公司要求凡涉及330kV、750kV工程项目中标人需补充完整纸质投标文件，所有档案资料要求内容准确、格式规范、齐全完整、字迹清晰、印章齐全有效，符合档案原始记录性、有机联系性和长久保存要求。</w:t>
      </w:r>
    </w:p>
    <w:p>
      <w:pPr>
        <w:pStyle w:val="3"/>
        <w:bidi w:val="0"/>
        <w:ind w:left="0" w:firstLine="320" w:firstLineChars="100"/>
        <w:rPr>
          <w:rFonts w:hint="default"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11评标办法</w:t>
      </w:r>
    </w:p>
    <w:p>
      <w:pPr>
        <w:bidi w:val="0"/>
        <w:rPr>
          <w:rFonts w:hint="eastAsia"/>
          <w:lang w:eastAsia="zh-CN"/>
        </w:rPr>
      </w:pPr>
      <w:r>
        <w:rPr>
          <w:rFonts w:hint="eastAsia"/>
          <w:lang w:val="en-US" w:eastAsia="zh-CN"/>
        </w:rPr>
        <w:t>11</w:t>
      </w:r>
      <w:r>
        <w:rPr>
          <w:rFonts w:hint="eastAsia"/>
          <w:lang w:eastAsia="zh-CN"/>
        </w:rPr>
        <w:t>.1评标办法</w:t>
      </w:r>
    </w:p>
    <w:p>
      <w:pPr>
        <w:bidi w:val="0"/>
        <w:rPr>
          <w:rFonts w:hint="eastAsia"/>
          <w:lang w:eastAsia="zh-CN"/>
        </w:rPr>
      </w:pPr>
      <w:r>
        <w:rPr>
          <w:rFonts w:hint="eastAsia"/>
          <w:lang w:val="en-US" w:eastAsia="zh-CN"/>
        </w:rPr>
        <w:t>11</w:t>
      </w:r>
      <w:r>
        <w:rPr>
          <w:rFonts w:hint="eastAsia"/>
          <w:lang w:eastAsia="zh-CN"/>
        </w:rPr>
        <w:t>.1.1采用综合评估法，分技术、商务、价格三个部分分别进行量化评审，每个部分满分均为100分，并按以下权重合计计算最终量化评审得分。</w:t>
      </w:r>
    </w:p>
    <w:tbl>
      <w:tblPr>
        <w:tblStyle w:val="34"/>
        <w:tblW w:w="8932" w:type="dxa"/>
        <w:jc w:val="center"/>
        <w:tblInd w:w="0" w:type="dxa"/>
        <w:tblLayout w:type="fixed"/>
        <w:tblCellMar>
          <w:top w:w="15" w:type="dxa"/>
          <w:left w:w="15" w:type="dxa"/>
          <w:bottom w:w="15" w:type="dxa"/>
          <w:right w:w="15" w:type="dxa"/>
        </w:tblCellMar>
      </w:tblPr>
      <w:tblGrid>
        <w:gridCol w:w="572"/>
        <w:gridCol w:w="2227"/>
        <w:gridCol w:w="4007"/>
        <w:gridCol w:w="708"/>
        <w:gridCol w:w="709"/>
        <w:gridCol w:w="709"/>
      </w:tblGrid>
      <w:tr>
        <w:tblPrEx>
          <w:tblLayout w:type="fixed"/>
          <w:tblCellMar>
            <w:top w:w="15" w:type="dxa"/>
            <w:left w:w="15" w:type="dxa"/>
            <w:bottom w:w="15" w:type="dxa"/>
            <w:right w:w="15" w:type="dxa"/>
          </w:tblCellMar>
        </w:tblPrEx>
        <w:trPr>
          <w:trHeight w:val="286" w:hRule="atLeast"/>
          <w:jc w:val="center"/>
        </w:trPr>
        <w:tc>
          <w:tcPr>
            <w:tcW w:w="572" w:type="dxa"/>
            <w:vMerge w:val="restart"/>
            <w:tcBorders>
              <w:top w:val="single" w:color="000000" w:sz="4" w:space="0"/>
              <w:left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序号</w:t>
            </w:r>
          </w:p>
        </w:tc>
        <w:tc>
          <w:tcPr>
            <w:tcW w:w="2227" w:type="dxa"/>
            <w:vMerge w:val="restart"/>
            <w:tcBorders>
              <w:top w:val="single" w:color="000000" w:sz="4" w:space="0"/>
              <w:left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分标编号</w:t>
            </w:r>
          </w:p>
        </w:tc>
        <w:tc>
          <w:tcPr>
            <w:tcW w:w="4007" w:type="dxa"/>
            <w:vMerge w:val="restart"/>
            <w:tcBorders>
              <w:top w:val="single" w:color="000000" w:sz="4" w:space="0"/>
              <w:left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分标名称</w:t>
            </w:r>
          </w:p>
        </w:tc>
        <w:tc>
          <w:tcPr>
            <w:tcW w:w="2126"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权重设置（%）</w:t>
            </w:r>
          </w:p>
        </w:tc>
      </w:tr>
      <w:tr>
        <w:tblPrEx>
          <w:tblLayout w:type="fixed"/>
          <w:tblCellMar>
            <w:top w:w="15" w:type="dxa"/>
            <w:left w:w="15" w:type="dxa"/>
            <w:bottom w:w="15" w:type="dxa"/>
            <w:right w:w="15" w:type="dxa"/>
          </w:tblCellMar>
        </w:tblPrEx>
        <w:trPr>
          <w:trHeight w:val="286" w:hRule="atLeast"/>
          <w:jc w:val="center"/>
        </w:trPr>
        <w:tc>
          <w:tcPr>
            <w:tcW w:w="572" w:type="dxa"/>
            <w:vMerge w:val="continue"/>
            <w:tcBorders>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p>
        </w:tc>
        <w:tc>
          <w:tcPr>
            <w:tcW w:w="2227" w:type="dxa"/>
            <w:vMerge w:val="continue"/>
            <w:tcBorders>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20"/>
                <w:szCs w:val="20"/>
                <w:lang w:val="en-US" w:eastAsia="zh-CN"/>
              </w:rPr>
            </w:pPr>
          </w:p>
        </w:tc>
        <w:tc>
          <w:tcPr>
            <w:tcW w:w="4007" w:type="dxa"/>
            <w:vMerge w:val="continue"/>
            <w:tcBorders>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技术</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商务</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价格</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2821AA-1001002-9999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10kV变压器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2821AA-1001012-0001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10kV箱式变电站（欧式）</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2821AA-1001012-0002</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10kV箱式变电站（美式）</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2821AA-1020001-9999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交流避雷器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2821AA-1022001-9999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高压熔断器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6</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2821AA-1035001-9999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10kV柱上变压器台成套设备</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7</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2821AA-1035004-0001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一二次融合成套环网箱（SF6）</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8</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2821AA-1035004-0002</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一二次融合成套环网箱（固体）</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9</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2821AA-1035006-9999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一二次融合成套柱上断路器（常规）</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2821AA-1010001-9999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10kV三相隔离开关</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2821AA-1016001-9999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高压开关柜</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12</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2821AA-1408007-9999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电缆分支箱</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13</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2821AA-1016008-9999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配电箱</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14</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2821AA-1106018-9999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电能计量箱</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15</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2821AA-1304049-0001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接地短路故障指示器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40</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16</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2821AA-1402001-9999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钢芯铝绞线</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17</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2821AA-1402005-0001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10kV架空绝缘导线</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18</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2821AA-1402005-0002</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1kV架空绝缘导线</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19</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2821AA-1404001-9999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电力电缆</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20</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2821AA-1404002-9999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低压电力电缆</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21</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2821AA-1404003-9999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控制电缆</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22</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2821AA-1408000-9999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电缆附件</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23</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2821AA-1406032-9999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铁构件</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24</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2821AA-1407000-9999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金具</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25</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2821AA-1401001-9999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钢管杆（桩）</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26</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2821AA-1401002-0001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锥形水泥杆（非预应力）</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27</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2821AA-1401002-0002</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锥形水泥杆（部分预应力）</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28</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2821AA-1405015-9999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蝶式绝缘子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29</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2821AA-1405022-9999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针式瓷绝缘子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30</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2821AA-1405025-9999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交流盘形悬式瓷绝缘子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31</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2821AA-1405033-9999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交流棒形悬式复合绝缘子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r>
        <w:tblPrEx>
          <w:tblLayout w:type="fixed"/>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32</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default" w:asciiTheme="minorEastAsia" w:hAnsiTheme="minorEastAsia" w:eastAsiaTheme="minorEastAsia" w:cstheme="minorEastAsia"/>
                <w:b w:val="0"/>
                <w:bCs/>
                <w:sz w:val="20"/>
                <w:szCs w:val="20"/>
                <w:lang w:val="en-US" w:eastAsia="zh-CN"/>
              </w:rPr>
              <w:t>2821AA-1405037-9999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线路柱式瓷绝缘子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45</w:t>
            </w:r>
          </w:p>
        </w:tc>
      </w:tr>
    </w:tbl>
    <w:p>
      <w:pPr>
        <w:bidi w:val="0"/>
        <w:rPr>
          <w:rFonts w:hint="eastAsia"/>
          <w:lang w:eastAsia="zh-CN"/>
        </w:rPr>
      </w:pPr>
      <w:r>
        <w:rPr>
          <w:rFonts w:hint="eastAsia"/>
          <w:lang w:val="en-US" w:eastAsia="zh-CN"/>
        </w:rPr>
        <w:t>11</w:t>
      </w:r>
      <w:r>
        <w:rPr>
          <w:rFonts w:hint="eastAsia"/>
          <w:lang w:eastAsia="zh-CN"/>
        </w:rPr>
        <w:t>.1.2 价格评审办法采用区间平均价浮动法，计算方法详见第三章评标办法</w:t>
      </w:r>
      <w:r>
        <w:rPr>
          <w:rFonts w:hint="eastAsia"/>
          <w:lang w:val="en-US" w:eastAsia="zh-CN"/>
        </w:rPr>
        <w:t>2.2.2条。</w:t>
      </w:r>
    </w:p>
    <w:p>
      <w:pPr>
        <w:bidi w:val="0"/>
        <w:rPr>
          <w:rFonts w:hint="eastAsia"/>
          <w:lang w:eastAsia="zh-CN"/>
        </w:rPr>
      </w:pPr>
      <w:r>
        <w:rPr>
          <w:rFonts w:hint="eastAsia"/>
          <w:lang w:val="en-US" w:eastAsia="zh-CN"/>
        </w:rPr>
        <w:t>11</w:t>
      </w:r>
      <w:r>
        <w:rPr>
          <w:rFonts w:hint="eastAsia"/>
          <w:lang w:eastAsia="zh-CN"/>
        </w:rPr>
        <w:t>.1.3区间平均价浮动法参数设置，若公告中评标办法与第三章评标办法前附表之一有差别，以投标邀请书为准。</w:t>
      </w:r>
    </w:p>
    <w:tbl>
      <w:tblPr>
        <w:tblStyle w:val="34"/>
        <w:tblW w:w="9841"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93"/>
        <w:gridCol w:w="3451"/>
        <w:gridCol w:w="1841"/>
        <w:gridCol w:w="2470"/>
        <w:gridCol w:w="611"/>
        <w:gridCol w:w="67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trPr>
        <w:tc>
          <w:tcPr>
            <w:tcW w:w="793" w:type="dxa"/>
            <w:vMerge w:val="restart"/>
            <w:tcBorders>
              <w:top w:val="double" w:color="auto" w:sz="4" w:space="0"/>
            </w:tcBorders>
            <w:vAlign w:val="center"/>
          </w:tcPr>
          <w:p>
            <w:pPr>
              <w:widowControl/>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序号</w:t>
            </w:r>
          </w:p>
        </w:tc>
        <w:tc>
          <w:tcPr>
            <w:tcW w:w="3451" w:type="dxa"/>
            <w:vMerge w:val="restart"/>
            <w:tcBorders>
              <w:top w:val="double" w:color="auto" w:sz="4" w:space="0"/>
            </w:tcBorders>
            <w:vAlign w:val="center"/>
          </w:tcPr>
          <w:p>
            <w:pPr>
              <w:widowControl/>
              <w:jc w:val="center"/>
              <w:rPr>
                <w:rFonts w:hint="eastAsia" w:ascii="宋体" w:hAnsi="宋体" w:eastAsia="宋体" w:cs="宋体"/>
                <w:b/>
                <w:sz w:val="20"/>
                <w:szCs w:val="20"/>
                <w:lang w:eastAsia="zh-CN"/>
              </w:rPr>
            </w:pPr>
            <w:r>
              <w:rPr>
                <w:rFonts w:hint="eastAsia" w:ascii="宋体" w:hAnsi="宋体" w:eastAsia="宋体" w:cs="宋体"/>
                <w:b/>
                <w:sz w:val="20"/>
                <w:szCs w:val="20"/>
                <w:lang w:eastAsia="zh-CN"/>
              </w:rPr>
              <w:t>分标名称</w:t>
            </w:r>
          </w:p>
        </w:tc>
        <w:tc>
          <w:tcPr>
            <w:tcW w:w="1841" w:type="dxa"/>
            <w:vMerge w:val="restart"/>
            <w:tcBorders>
              <w:top w:val="double" w:color="auto" w:sz="4" w:space="0"/>
            </w:tcBorders>
            <w:vAlign w:val="center"/>
          </w:tcPr>
          <w:p>
            <w:pPr>
              <w:widowControl/>
              <w:jc w:val="both"/>
              <w:rPr>
                <w:rFonts w:hint="eastAsia" w:ascii="宋体" w:hAnsi="宋体" w:eastAsia="宋体" w:cs="宋体"/>
                <w:b/>
                <w:sz w:val="20"/>
                <w:szCs w:val="20"/>
              </w:rPr>
            </w:pPr>
            <w:r>
              <w:rPr>
                <w:rFonts w:hint="eastAsia" w:ascii="宋体" w:hAnsi="宋体" w:eastAsia="宋体" w:cs="宋体"/>
                <w:b/>
                <w:sz w:val="20"/>
                <w:szCs w:val="20"/>
              </w:rPr>
              <w:t>价格公式</w:t>
            </w:r>
          </w:p>
        </w:tc>
        <w:tc>
          <w:tcPr>
            <w:tcW w:w="3756" w:type="dxa"/>
            <w:gridSpan w:val="3"/>
            <w:tcBorders>
              <w:top w:val="double" w:color="auto" w:sz="4" w:space="0"/>
            </w:tcBorders>
            <w:vAlign w:val="center"/>
          </w:tcPr>
          <w:p>
            <w:pPr>
              <w:widowControl/>
              <w:jc w:val="center"/>
              <w:rPr>
                <w:rFonts w:hint="eastAsia" w:ascii="宋体" w:hAnsi="宋体" w:eastAsia="宋体" w:cs="宋体"/>
                <w:b/>
                <w:sz w:val="20"/>
                <w:szCs w:val="20"/>
              </w:rPr>
            </w:pPr>
            <w:r>
              <w:rPr>
                <w:rFonts w:hint="eastAsia" w:ascii="宋体" w:hAnsi="宋体" w:eastAsia="宋体" w:cs="宋体"/>
                <w:b/>
                <w:sz w:val="20"/>
                <w:szCs w:val="20"/>
              </w:rPr>
              <w:t>参数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blHeader/>
        </w:trPr>
        <w:tc>
          <w:tcPr>
            <w:tcW w:w="793" w:type="dxa"/>
            <w:vMerge w:val="continue"/>
            <w:vAlign w:val="center"/>
          </w:tcPr>
          <w:p>
            <w:pPr>
              <w:widowControl/>
              <w:jc w:val="center"/>
              <w:rPr>
                <w:rFonts w:hint="eastAsia" w:ascii="宋体" w:hAnsi="宋体" w:eastAsia="宋体" w:cs="宋体"/>
                <w:b/>
                <w:sz w:val="20"/>
                <w:szCs w:val="20"/>
              </w:rPr>
            </w:pPr>
          </w:p>
        </w:tc>
        <w:tc>
          <w:tcPr>
            <w:tcW w:w="3451" w:type="dxa"/>
            <w:vMerge w:val="continue"/>
            <w:vAlign w:val="center"/>
          </w:tcPr>
          <w:p>
            <w:pPr>
              <w:widowControl/>
              <w:jc w:val="center"/>
              <w:rPr>
                <w:rFonts w:hint="eastAsia" w:ascii="宋体" w:hAnsi="宋体" w:eastAsia="宋体" w:cs="宋体"/>
                <w:b/>
                <w:sz w:val="20"/>
                <w:szCs w:val="20"/>
              </w:rPr>
            </w:pPr>
          </w:p>
        </w:tc>
        <w:tc>
          <w:tcPr>
            <w:tcW w:w="1841" w:type="dxa"/>
            <w:vMerge w:val="continue"/>
            <w:vAlign w:val="center"/>
          </w:tcPr>
          <w:p>
            <w:pPr>
              <w:widowControl/>
              <w:jc w:val="center"/>
              <w:rPr>
                <w:rFonts w:hint="eastAsia" w:ascii="宋体" w:hAnsi="宋体" w:eastAsia="宋体" w:cs="宋体"/>
                <w:b/>
                <w:sz w:val="20"/>
                <w:szCs w:val="20"/>
              </w:rPr>
            </w:pPr>
          </w:p>
        </w:tc>
        <w:tc>
          <w:tcPr>
            <w:tcW w:w="2470" w:type="dxa"/>
            <w:vAlign w:val="center"/>
          </w:tcPr>
          <w:p>
            <w:pPr>
              <w:adjustRightInd w:val="0"/>
              <w:snapToGrid w:val="0"/>
              <w:jc w:val="center"/>
              <w:rPr>
                <w:rFonts w:hint="eastAsia" w:ascii="宋体" w:hAnsi="宋体" w:eastAsia="宋体" w:cs="宋体"/>
                <w:b/>
                <w:sz w:val="20"/>
                <w:szCs w:val="20"/>
                <w:lang w:eastAsia="zh-CN"/>
              </w:rPr>
            </w:pPr>
            <w:r>
              <w:rPr>
                <w:rFonts w:hint="eastAsia" w:ascii="宋体" w:hAnsi="宋体" w:eastAsia="宋体" w:cs="宋体"/>
                <w:b/>
                <w:sz w:val="20"/>
                <w:szCs w:val="20"/>
                <w:lang w:eastAsia="zh-CN"/>
              </w:rPr>
              <w:t>C值抽取范围</w:t>
            </w:r>
          </w:p>
          <w:p>
            <w:pPr>
              <w:widowControl/>
              <w:jc w:val="center"/>
              <w:rPr>
                <w:rFonts w:hint="eastAsia" w:ascii="宋体" w:hAnsi="宋体" w:eastAsia="宋体" w:cs="宋体"/>
                <w:b/>
                <w:sz w:val="20"/>
                <w:szCs w:val="20"/>
                <w:lang w:eastAsia="zh-CN"/>
              </w:rPr>
            </w:pPr>
            <w:r>
              <w:rPr>
                <w:rFonts w:hint="eastAsia" w:ascii="宋体" w:hAnsi="宋体" w:eastAsia="宋体" w:cs="宋体"/>
                <w:b/>
                <w:sz w:val="20"/>
                <w:szCs w:val="20"/>
                <w:lang w:eastAsia="zh-CN"/>
              </w:rPr>
              <w:t>（级差为</w:t>
            </w:r>
            <w:r>
              <w:rPr>
                <w:rFonts w:hint="eastAsia" w:ascii="宋体" w:hAnsi="宋体" w:eastAsia="宋体" w:cs="宋体"/>
                <w:b/>
                <w:i/>
                <w:sz w:val="20"/>
                <w:szCs w:val="20"/>
                <w:u w:val="single"/>
                <w:lang w:eastAsia="zh-CN"/>
              </w:rPr>
              <w:t>0.25</w:t>
            </w:r>
            <w:r>
              <w:rPr>
                <w:rFonts w:hint="eastAsia" w:ascii="宋体" w:hAnsi="宋体" w:eastAsia="宋体" w:cs="宋体"/>
                <w:b/>
                <w:i/>
                <w:sz w:val="20"/>
                <w:szCs w:val="20"/>
                <w:u w:val="single"/>
                <w:lang w:val="en-US" w:eastAsia="zh-CN"/>
              </w:rPr>
              <w:t xml:space="preserve"> </w:t>
            </w:r>
            <w:r>
              <w:rPr>
                <w:rFonts w:hint="eastAsia" w:ascii="宋体" w:hAnsi="宋体" w:eastAsia="宋体" w:cs="宋体"/>
                <w:b/>
                <w:sz w:val="20"/>
                <w:szCs w:val="20"/>
                <w:lang w:eastAsia="zh-CN"/>
              </w:rPr>
              <w:t>%）</w:t>
            </w:r>
          </w:p>
        </w:tc>
        <w:tc>
          <w:tcPr>
            <w:tcW w:w="611" w:type="dxa"/>
            <w:vAlign w:val="center"/>
          </w:tcPr>
          <w:p>
            <w:pPr>
              <w:widowControl/>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n1</w:t>
            </w:r>
          </w:p>
        </w:tc>
        <w:tc>
          <w:tcPr>
            <w:tcW w:w="675" w:type="dxa"/>
            <w:vAlign w:val="center"/>
          </w:tcPr>
          <w:p>
            <w:pPr>
              <w:widowControl/>
              <w:ind w:left="0" w:leftChars="0" w:firstLine="0" w:firstLineChars="0"/>
              <w:jc w:val="center"/>
              <w:rPr>
                <w:rFonts w:hint="eastAsia" w:ascii="宋体" w:hAnsi="宋体" w:eastAsia="宋体" w:cs="宋体"/>
                <w:b/>
                <w:sz w:val="20"/>
                <w:szCs w:val="20"/>
              </w:rPr>
            </w:pPr>
            <w:r>
              <w:rPr>
                <w:rFonts w:hint="eastAsia" w:ascii="宋体" w:hAnsi="宋体" w:eastAsia="宋体" w:cs="宋体"/>
                <w:b/>
                <w:sz w:val="20"/>
                <w:szCs w:val="20"/>
              </w:rPr>
              <w:t>n2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rPr>
            </w:pPr>
            <w:r>
              <w:rPr>
                <w:rFonts w:hint="eastAsia" w:asciiTheme="minorEastAsia" w:hAnsiTheme="minorEastAsia" w:eastAsiaTheme="minorEastAsia" w:cstheme="minorEastAsia"/>
                <w:b w:val="0"/>
                <w:bCs/>
                <w:sz w:val="20"/>
                <w:szCs w:val="20"/>
                <w:lang w:val="en-US" w:eastAsia="zh-CN"/>
              </w:rPr>
              <w:t>10kV变压器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10kV箱式变电站（欧式）</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3</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10kV箱式变电站（美式）</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4</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交流避雷器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5</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高压熔断器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6</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10kV柱上变压器台成套设备</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7</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一二次融合成套环网箱（SF6）</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8</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一二次融合成套环网箱（固体）</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9</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一二次融合成套柱上断路器（常规）</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10</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10kV三相隔离开关</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11</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高压开关柜</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12</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电缆分支箱</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13</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配电箱</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14</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电能计量箱</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15</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接地短路故障指示器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16</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钢芯铝绞线</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17</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10kV架空绝缘导线</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18</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1kV架空绝缘导线</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19</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电力电缆</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20</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低压电力电缆</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21</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控制电缆</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22</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电缆附件</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23</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铁构件</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24</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金具</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25</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钢管杆（桩）</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26</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锥形水泥杆（非预应力）</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27</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锥形水泥杆（部分预应力）</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28</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蝶式绝缘子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29</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针式瓷绝缘子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30</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交流盘形悬式瓷绝缘子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31</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交流棒形悬式复合绝缘子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290" w:hRule="atLeast"/>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20"/>
                <w:szCs w:val="20"/>
                <w:highlight w:val="none"/>
                <w:lang w:eastAsia="zh-CN"/>
              </w:rPr>
            </w:pPr>
            <w:r>
              <w:rPr>
                <w:rFonts w:hint="eastAsia" w:asciiTheme="minorEastAsia" w:hAnsiTheme="minorEastAsia" w:eastAsiaTheme="minorEastAsia" w:cstheme="minorEastAsia"/>
                <w:b w:val="0"/>
                <w:bCs/>
                <w:sz w:val="20"/>
                <w:szCs w:val="20"/>
                <w:lang w:val="en-US" w:eastAsia="zh-CN"/>
              </w:rPr>
              <w:t>32</w:t>
            </w:r>
          </w:p>
        </w:tc>
        <w:tc>
          <w:tcPr>
            <w:tcW w:w="3451" w:type="dxa"/>
            <w:shd w:val="clear" w:color="auto" w:fill="auto"/>
            <w:vAlign w:val="center"/>
          </w:tcPr>
          <w:p>
            <w:pPr>
              <w:adjustRightInd w:val="0"/>
              <w:snapToGrid w:val="0"/>
              <w:ind w:left="0" w:leftChars="0" w:firstLine="0" w:firstLineChars="0"/>
              <w:jc w:val="center"/>
              <w:rPr>
                <w:rFonts w:hint="eastAsia" w:ascii="宋体" w:hAnsi="宋体" w:eastAsia="宋体" w:cs="宋体"/>
                <w:bCs/>
                <w:sz w:val="20"/>
                <w:szCs w:val="20"/>
                <w:highlight w:val="none"/>
                <w:lang w:val="en-US" w:eastAsia="zh-CN"/>
              </w:rPr>
            </w:pPr>
            <w:r>
              <w:rPr>
                <w:rFonts w:hint="eastAsia" w:asciiTheme="minorEastAsia" w:hAnsiTheme="minorEastAsia" w:eastAsiaTheme="minorEastAsia" w:cstheme="minorEastAsia"/>
                <w:b w:val="0"/>
                <w:bCs/>
                <w:sz w:val="20"/>
                <w:szCs w:val="20"/>
                <w:lang w:val="en-US" w:eastAsia="zh-CN"/>
              </w:rPr>
              <w:t>线路柱式瓷绝缘子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20"/>
                <w:szCs w:val="20"/>
                <w:lang w:val="en-US" w:eastAsia="zh-CN"/>
              </w:rPr>
            </w:pPr>
            <w:r>
              <w:rPr>
                <w:rFonts w:hint="eastAsia" w:asciiTheme="minorEastAsia" w:hAnsiTheme="minorEastAsia" w:eastAsiaTheme="minorEastAsia" w:cstheme="minorEastAsia"/>
                <w:b w:val="0"/>
                <w:bCs/>
                <w:sz w:val="20"/>
                <w:szCs w:val="20"/>
                <w:lang w:val="en-US" w:eastAsia="zh-CN"/>
              </w:rPr>
              <w:t>1</w:t>
            </w:r>
          </w:p>
        </w:tc>
      </w:tr>
    </w:tbl>
    <w:p>
      <w:pPr>
        <w:bidi w:val="0"/>
        <w:rPr>
          <w:rFonts w:hint="eastAsia"/>
          <w:lang w:eastAsia="zh-CN"/>
        </w:rPr>
      </w:pPr>
      <w:r>
        <w:rPr>
          <w:rFonts w:hint="eastAsia"/>
          <w:lang w:val="en-US" w:eastAsia="zh-CN"/>
        </w:rPr>
        <w:t>11</w:t>
      </w:r>
      <w:r>
        <w:rPr>
          <w:rFonts w:hint="eastAsia"/>
          <w:lang w:eastAsia="zh-CN"/>
        </w:rPr>
        <w:t>.1.4本次招标项目不设定最高限价。</w:t>
      </w:r>
    </w:p>
    <w:p>
      <w:pPr>
        <w:bidi w:val="0"/>
        <w:rPr>
          <w:rFonts w:hint="eastAsia"/>
          <w:lang w:eastAsia="zh-CN"/>
        </w:rPr>
      </w:pPr>
      <w:r>
        <w:rPr>
          <w:rFonts w:hint="eastAsia"/>
          <w:lang w:val="en-US" w:eastAsia="zh-CN"/>
        </w:rPr>
        <w:t>11</w:t>
      </w:r>
      <w:r>
        <w:rPr>
          <w:rFonts w:hint="eastAsia"/>
          <w:lang w:eastAsia="zh-CN"/>
        </w:rPr>
        <w:t>.1.5授标原则：</w:t>
      </w:r>
    </w:p>
    <w:p>
      <w:pPr>
        <w:bidi w:val="0"/>
        <w:rPr>
          <w:rFonts w:hint="eastAsia"/>
          <w:lang w:val="en-US" w:eastAsia="zh-CN"/>
        </w:rPr>
      </w:pPr>
      <w:r>
        <w:rPr>
          <w:rFonts w:hint="eastAsia"/>
          <w:lang w:val="en-US" w:eastAsia="zh-CN"/>
        </w:rPr>
        <w:t>评标委员会推荐中标次序按同一分标下，综合评价得分排序从高到低的投标人顺序进行；综合评分相等时，以技术得分高的优先；技术得分也相等的，以投标报价低的优先；如果投标报价也相等，由招标人自行确定。</w:t>
      </w:r>
    </w:p>
    <w:p>
      <w:pPr>
        <w:bidi w:val="0"/>
        <w:rPr>
          <w:rFonts w:hint="eastAsia" w:ascii="方正仿宋_GBK" w:hAnsi="方正仿宋_GBK" w:eastAsia="方正仿宋_GBK" w:cs="方正仿宋_GBK"/>
          <w:sz w:val="32"/>
          <w:szCs w:val="32"/>
          <w:lang w:eastAsia="zh-CN"/>
        </w:rPr>
      </w:pPr>
      <w:r>
        <w:rPr>
          <w:rFonts w:hint="eastAsia" w:cs="方正仿宋_GBK"/>
          <w:bCs/>
          <w:sz w:val="32"/>
          <w:szCs w:val="32"/>
          <w:lang w:val="en-US" w:eastAsia="zh-CN"/>
        </w:rPr>
        <w:t>11.1.5.1</w:t>
      </w:r>
      <w:r>
        <w:rPr>
          <w:rFonts w:hint="eastAsia" w:ascii="方正仿宋_GBK" w:hAnsi="方正仿宋_GBK" w:eastAsia="方正仿宋_GBK" w:cs="方正仿宋_GBK"/>
          <w:bCs/>
          <w:sz w:val="32"/>
          <w:szCs w:val="32"/>
        </w:rPr>
        <w:t>本次</w:t>
      </w:r>
      <w:r>
        <w:rPr>
          <w:rFonts w:hint="eastAsia" w:ascii="方正仿宋_GBK" w:hAnsi="方正仿宋_GBK" w:eastAsia="方正仿宋_GBK" w:cs="方正仿宋_GBK"/>
          <w:sz w:val="32"/>
          <w:szCs w:val="32"/>
        </w:rPr>
        <w:t>各分标中</w:t>
      </w:r>
      <w:r>
        <w:rPr>
          <w:rFonts w:hint="eastAsia" w:ascii="方正仿宋_GBK" w:hAnsi="方正仿宋_GBK" w:eastAsia="方正仿宋_GBK" w:cs="方正仿宋_GBK"/>
          <w:b/>
          <w:bCs/>
          <w:sz w:val="32"/>
          <w:szCs w:val="32"/>
        </w:rPr>
        <w:t>配电箱</w:t>
      </w:r>
      <w:r>
        <w:rPr>
          <w:rFonts w:hint="eastAsia" w:ascii="方正仿宋_GBK" w:hAnsi="方正仿宋_GBK" w:eastAsia="方正仿宋_GBK" w:cs="方正仿宋_GBK"/>
          <w:b/>
          <w:bCs/>
          <w:sz w:val="32"/>
          <w:szCs w:val="32"/>
          <w:lang w:eastAsia="zh-CN"/>
        </w:rPr>
        <w:t>、一二次融合成套柱上断路器</w:t>
      </w:r>
      <w:r>
        <w:rPr>
          <w:rFonts w:hint="eastAsia" w:ascii="方正仿宋_GBK" w:hAnsi="方正仿宋_GBK" w:eastAsia="方正仿宋_GBK" w:cs="方正仿宋_GBK"/>
          <w:sz w:val="32"/>
          <w:szCs w:val="32"/>
        </w:rPr>
        <w:t>每个投标人在同一分标中被授予的标包数量总计不超过</w:t>
      </w: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个包</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其他</w:t>
      </w:r>
      <w:r>
        <w:rPr>
          <w:rFonts w:hint="eastAsia" w:ascii="方正仿宋_GBK" w:hAnsi="方正仿宋_GBK" w:eastAsia="方正仿宋_GBK" w:cs="方正仿宋_GBK"/>
          <w:sz w:val="32"/>
          <w:szCs w:val="32"/>
        </w:rPr>
        <w:t>分标中每个投标人在同一分标中被授予的标包数量总计不超过</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rPr>
        <w:t>个包</w:t>
      </w:r>
      <w:r>
        <w:rPr>
          <w:rFonts w:hint="eastAsia" w:ascii="方正仿宋_GBK" w:hAnsi="方正仿宋_GBK" w:eastAsia="方正仿宋_GBK" w:cs="方正仿宋_GBK"/>
          <w:sz w:val="32"/>
          <w:szCs w:val="32"/>
          <w:lang w:eastAsia="zh-CN"/>
        </w:rPr>
        <w:t>。</w:t>
      </w:r>
    </w:p>
    <w:p>
      <w:pPr>
        <w:bidi w:val="0"/>
        <w:rPr>
          <w:rFonts w:hint="eastAsia"/>
          <w:lang w:val="en-US" w:eastAsia="zh-CN"/>
        </w:rPr>
      </w:pPr>
      <w:bookmarkStart w:id="13" w:name="_GoBack"/>
      <w:r>
        <w:rPr>
          <w:rFonts w:hint="eastAsia"/>
          <w:lang w:val="en-US" w:eastAsia="zh-CN"/>
        </w:rPr>
        <w:t>11.1.5.2当某一分标全部进入详评的投标人的中标标包数量超过条款11.1.5.1规定的限额时，该包授予综合得分最高的投标人。</w:t>
      </w:r>
    </w:p>
    <w:bookmarkEnd w:id="13"/>
    <w:p>
      <w:pPr>
        <w:pStyle w:val="3"/>
        <w:bidi w:val="0"/>
        <w:ind w:left="0" w:firstLine="320" w:firstLineChars="100"/>
        <w:rPr>
          <w:rFonts w:hint="eastAsia" w:ascii="方正黑体_GBK" w:hAnsi="方正黑体_GBK" w:eastAsia="方正黑体_GBK" w:cs="方正黑体_GBK"/>
          <w:lang w:val="en-US" w:eastAsia="zh-CN"/>
        </w:rPr>
      </w:pPr>
      <w:r>
        <w:rPr>
          <w:rFonts w:hint="eastAsia" w:ascii="方正黑体_GBK" w:hAnsi="方正黑体_GBK" w:eastAsia="方正黑体_GBK" w:cs="方正黑体_GBK"/>
          <w:lang w:val="en-US" w:eastAsia="zh-CN"/>
        </w:rPr>
        <w:t>12.联系方式</w:t>
      </w:r>
    </w:p>
    <w:p>
      <w:pPr>
        <w:bidi w:val="0"/>
        <w:rPr>
          <w:rFonts w:hint="eastAsia"/>
          <w:lang w:val="en-US" w:eastAsia="zh-CN"/>
        </w:rPr>
      </w:pPr>
      <w:r>
        <w:rPr>
          <w:rFonts w:hint="eastAsia"/>
          <w:lang w:val="en-US" w:eastAsia="zh-CN"/>
        </w:rPr>
        <w:t>招标代理机构：国网青海电力招标代理有限公司</w:t>
      </w:r>
    </w:p>
    <w:p>
      <w:pPr>
        <w:bidi w:val="0"/>
        <w:rPr>
          <w:rFonts w:hint="eastAsia"/>
          <w:lang w:val="en-US" w:eastAsia="zh-CN"/>
        </w:rPr>
      </w:pPr>
      <w:r>
        <w:rPr>
          <w:rFonts w:hint="eastAsia"/>
          <w:lang w:val="en-US" w:eastAsia="zh-CN"/>
        </w:rPr>
        <w:t>地址：青海省西宁市城北区生物科技产业园经四路12号</w:t>
      </w:r>
    </w:p>
    <w:p>
      <w:pPr>
        <w:bidi w:val="0"/>
        <w:rPr>
          <w:rFonts w:hint="eastAsia"/>
          <w:lang w:val="en-US" w:eastAsia="zh-CN"/>
        </w:rPr>
      </w:pPr>
      <w:r>
        <w:rPr>
          <w:rFonts w:hint="eastAsia"/>
          <w:lang w:val="en-US" w:eastAsia="zh-CN"/>
        </w:rPr>
        <w:t>联系人：沙经理： 0971-6076791   康经理：0971-6076789</w:t>
      </w:r>
    </w:p>
    <w:p>
      <w:pPr>
        <w:bidi w:val="0"/>
        <w:rPr>
          <w:rFonts w:hint="eastAsia"/>
        </w:rPr>
      </w:pPr>
    </w:p>
    <w:p>
      <w:pPr>
        <w:bidi w:val="0"/>
        <w:jc w:val="right"/>
        <w:rPr>
          <w:rFonts w:hint="eastAsia"/>
        </w:rPr>
      </w:pPr>
      <w:r>
        <w:rPr>
          <w:rFonts w:hint="eastAsia"/>
        </w:rPr>
        <w:t>国网青海电力招标代理有限公司</w:t>
      </w:r>
    </w:p>
    <w:p>
      <w:pPr>
        <w:bidi w:val="0"/>
        <w:jc w:val="right"/>
        <w:rPr>
          <w:rFonts w:hint="eastAsia" w:ascii="方正仿宋_GBK" w:hAnsi="方正仿宋_GBK" w:eastAsia="方正仿宋_GBK" w:cs="方正仿宋_GBK"/>
          <w:color w:val="auto"/>
          <w:szCs w:val="32"/>
          <w:highlight w:val="yellow"/>
          <w:lang w:eastAsia="zh-CN"/>
        </w:rPr>
      </w:pPr>
      <w:r>
        <w:rPr>
          <w:rFonts w:hint="eastAsia"/>
          <w:lang w:val="en-US" w:eastAsia="zh-CN"/>
        </w:rPr>
        <w:t xml:space="preserve">   </w:t>
      </w:r>
      <w:r>
        <w:rPr>
          <w:rFonts w:hint="eastAsia"/>
          <w:highlight w:val="yellow"/>
          <w:lang w:eastAsia="zh-CN"/>
        </w:rPr>
        <w:t>二〇二一年三月二十</w:t>
      </w:r>
      <w:r>
        <w:rPr>
          <w:rFonts w:hint="eastAsia"/>
          <w:highlight w:val="yellow"/>
          <w:lang w:val="en-US" w:eastAsia="zh-CN"/>
        </w:rPr>
        <w:t>五</w:t>
      </w:r>
      <w:r>
        <w:rPr>
          <w:rFonts w:hint="eastAsia"/>
          <w:highlight w:val="yellow"/>
          <w:lang w:eastAsia="zh-CN"/>
        </w:rPr>
        <w:t>日</w:t>
      </w:r>
    </w:p>
    <w:p>
      <w:pPr>
        <w:jc w:val="center"/>
        <w:rPr>
          <w:rFonts w:hint="eastAsia" w:ascii="Times New Roman" w:hAnsi="Times New Roman" w:cs="Times New Roman"/>
          <w:color w:val="auto"/>
          <w:highlight w:val="yellow"/>
          <w:lang w:eastAsia="zh-CN"/>
        </w:rPr>
      </w:pPr>
    </w:p>
    <w:p>
      <w:pPr>
        <w:bidi w:val="0"/>
        <w:jc w:val="right"/>
        <w:rPr>
          <w:rFonts w:hint="eastAsia"/>
          <w:lang w:eastAsia="zh-CN"/>
        </w:rPr>
      </w:pPr>
    </w:p>
    <w:p>
      <w:pPr>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br w:type="page"/>
      </w:r>
    </w:p>
    <w:p>
      <w:pPr>
        <w:pStyle w:val="2"/>
        <w:rPr>
          <w:rFonts w:hint="eastAsia"/>
          <w:lang w:eastAsia="zh-CN"/>
        </w:rPr>
      </w:pPr>
      <w:r>
        <w:rPr>
          <w:rFonts w:hint="eastAsia" w:ascii="Microsoft JhengHei" w:hAnsi="Microsoft JhengHei" w:eastAsia="方正黑体_GBK" w:cs="Times New Roman"/>
          <w:b/>
          <w:bCs/>
          <w:sz w:val="32"/>
          <w:szCs w:val="44"/>
          <w:lang w:val="en-US" w:eastAsia="zh-CN" w:bidi="ar-SA"/>
        </w:rPr>
        <w:t>附件1：2821AA物资海拔修正及其他特殊要求</w:t>
      </w:r>
    </w:p>
    <w:tbl>
      <w:tblPr>
        <w:tblStyle w:val="34"/>
        <w:tblpPr w:leftFromText="180" w:rightFromText="180" w:vertAnchor="text" w:horzAnchor="page" w:tblpXSpec="center" w:tblpY="559"/>
        <w:tblOverlap w:val="never"/>
        <w:tblW w:w="988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91"/>
        <w:gridCol w:w="1530"/>
        <w:gridCol w:w="1110"/>
        <w:gridCol w:w="735"/>
        <w:gridCol w:w="2134"/>
        <w:gridCol w:w="3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sz w:val="20"/>
                <w:szCs w:val="20"/>
                <w:u w:val="none"/>
              </w:rPr>
            </w:pPr>
            <w:r>
              <w:rPr>
                <w:rFonts w:hint="eastAsia" w:ascii="宋体" w:hAnsi="宋体" w:eastAsia="宋体" w:cs="宋体"/>
                <w:b/>
                <w:bCs/>
                <w:i w:val="0"/>
                <w:color w:val="000000"/>
                <w:kern w:val="0"/>
                <w:sz w:val="20"/>
                <w:szCs w:val="20"/>
                <w:u w:val="none"/>
                <w:lang w:val="en-US" w:eastAsia="zh-CN" w:bidi="ar"/>
              </w:rPr>
              <w:t>序号</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sz w:val="20"/>
                <w:szCs w:val="20"/>
                <w:u w:val="none"/>
              </w:rPr>
            </w:pPr>
            <w:r>
              <w:rPr>
                <w:rFonts w:hint="eastAsia" w:ascii="宋体" w:hAnsi="宋体" w:eastAsia="宋体" w:cs="宋体"/>
                <w:b/>
                <w:bCs/>
                <w:i w:val="0"/>
                <w:color w:val="000000"/>
                <w:kern w:val="0"/>
                <w:sz w:val="20"/>
                <w:szCs w:val="20"/>
                <w:u w:val="none"/>
                <w:lang w:val="en-US" w:eastAsia="zh-CN" w:bidi="ar"/>
              </w:rPr>
              <w:t>分标名称</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20"/>
                <w:szCs w:val="20"/>
                <w:u w:val="none"/>
                <w:lang w:val="en-US" w:eastAsia="zh-CN" w:bidi="ar"/>
              </w:rPr>
            </w:pPr>
            <w:r>
              <w:rPr>
                <w:rFonts w:hint="eastAsia" w:ascii="宋体" w:hAnsi="宋体" w:eastAsia="宋体" w:cs="宋体"/>
                <w:b/>
                <w:bCs/>
                <w:i w:val="0"/>
                <w:color w:val="000000"/>
                <w:kern w:val="0"/>
                <w:sz w:val="20"/>
                <w:szCs w:val="20"/>
                <w:u w:val="none"/>
                <w:lang w:val="en-US" w:eastAsia="zh-CN" w:bidi="ar"/>
              </w:rPr>
              <w:t>采购申请</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20"/>
                <w:szCs w:val="20"/>
                <w:u w:val="none"/>
                <w:lang w:val="en-US" w:eastAsia="zh-CN" w:bidi="ar"/>
              </w:rPr>
            </w:pPr>
            <w:r>
              <w:rPr>
                <w:rFonts w:hint="eastAsia" w:ascii="宋体" w:hAnsi="宋体" w:eastAsia="宋体" w:cs="宋体"/>
                <w:b/>
                <w:bCs/>
                <w:i w:val="0"/>
                <w:color w:val="000000"/>
                <w:kern w:val="0"/>
                <w:sz w:val="20"/>
                <w:szCs w:val="20"/>
                <w:u w:val="none"/>
                <w:lang w:val="en-US" w:eastAsia="zh-CN" w:bidi="ar"/>
              </w:rPr>
              <w:t>行项目</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20"/>
                <w:szCs w:val="20"/>
                <w:u w:val="none"/>
                <w:lang w:val="en-US" w:eastAsia="zh-CN" w:bidi="ar"/>
              </w:rPr>
            </w:pPr>
            <w:r>
              <w:rPr>
                <w:rFonts w:hint="eastAsia" w:ascii="宋体" w:hAnsi="宋体" w:eastAsia="宋体" w:cs="宋体"/>
                <w:b/>
                <w:bCs/>
                <w:i w:val="0"/>
                <w:color w:val="000000"/>
                <w:kern w:val="0"/>
                <w:sz w:val="20"/>
                <w:szCs w:val="20"/>
                <w:u w:val="none"/>
                <w:lang w:val="en-US" w:eastAsia="zh-CN" w:bidi="ar"/>
              </w:rPr>
              <w:t>短文本</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20"/>
                <w:szCs w:val="20"/>
                <w:u w:val="none"/>
                <w:lang w:val="en-US" w:eastAsia="zh-CN" w:bidi="ar"/>
              </w:rPr>
            </w:pPr>
            <w:r>
              <w:rPr>
                <w:rFonts w:hint="eastAsia" w:ascii="宋体" w:hAnsi="宋体" w:eastAsia="宋体" w:cs="宋体"/>
                <w:b/>
                <w:bCs/>
                <w:i w:val="0"/>
                <w:color w:val="000000"/>
                <w:kern w:val="0"/>
                <w:sz w:val="20"/>
                <w:szCs w:val="20"/>
                <w:u w:val="none"/>
                <w:lang w:val="en-US" w:eastAsia="zh-CN" w:bidi="ar"/>
              </w:rPr>
              <w:t>海拔修正及其他特殊要求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10kV变压器,1000kVA,普通,硅钢片,干式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10kV变压器,100kVA,普通,硅钢片,干式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海拔修正为4000米,配置绝缘护套10kV变压器-额定容量:100kVA,安装方式:普通,铁芯材质:硅钢片,绝缘方式:干式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10kV变压器,100kVA,普通,硅钢片,油浸</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海拔修正3000米10kV变压器-额定容量:100kVA,安装方式:普通,铁芯材质:硅钢片,绝缘方式:油浸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10kV变压器,1250kVA,普通,硅钢片,干式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10kV变压器,1250kVA,普通,硅钢片,干式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3000米海拔修正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10kV变压器,1250kVA,普通,硅钢片,干式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3000米海拔修正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10kV变压器,30kVA,普通,硅钢片,干式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海拔修正为3000米10kV变压器-额定容量:30kVA,安装方式:普通,铁芯材质:硅钢片,绝缘方式:干式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10kV变压器,800kVA,普通,硅钢片,干式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海拔修正为3000米10kV变压器-额定容量:800kVA,安装方式:普通,铁芯材质:硅钢片,绝缘方式:干式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工程所需架空绝缘导线-电压等级:AC10kV,型号:JKLGYJ,标称截面mm2:95/15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工程所需架空绝缘导线-电压等级:AC10kV,型号:JKLGYJ,标称截面mm2:120/20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架空绝缘导线,AC10kV,JKLGYJ,240/30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工程实际需要架空绝缘导线-电压等级:AC10kV,型号:JKLGYJ,标称截面mm2:240/30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架空绝缘导线,AC10kV,JKLGYJ,240/30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工程实际需要架空绝缘导线-电压等级:AC10kV,型号:JKLGYJ,标称截面mm2:240/30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工程所需架空绝缘导线-电压等级:AC10kV,型号:JKLGYJ,标称截面mm2:185/25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工程所需架空绝缘导线-电压等级:AC10kV,型号:JKLGYJ,标称截面mm2:185/25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架空绝缘导线,AC10kV,JKLGYJ,240/30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因工程实际需求架空绝缘导线-电压等级:AC10kV,型号:JKLGYJ,标称截面mm2:240/30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架空绝缘导线,AC10kV,JKLGYJ,240/30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工程需要架空绝缘导线-电压等级:AC10kV,型号:JKLGYJ,标称截面mm2:240/30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项目需要架空绝缘导线-电压等级:AC10kV,型号:JKLGYJ,标称截面mm2:95/15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工程建设需要架空绝缘导线-电压等级:AC10kV,型号:JKLGYJ,标称截面mm2:120/20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因工程实际需求架空绝缘导线-电压等级:AC10kV,型号:JKLGYJ,标称截面mm2:185/25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架空绝缘导线,AC10kV,JKLGYJ,240/30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项目需要架空绝缘导线-电压等级:AC10kV,型号:JKLGYJ,标称截面mm2:240/30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架空绝缘导线,AC10kV,JKLGYJ,70/10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因工程实际需求架空绝缘导线-电压等级:AC10kV,型号:JKLGYJ,标称截面mm2:70/10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架空绝缘导线,AC10kV,JKLGYJ,95/15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工程需要，业扩项目寄存物资架空绝缘导线-电压等级:AC10kV,型号:JKLGYJ,标称截面mm2:95/15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架空绝缘导线,AC10kV,JKLYJ,95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架空绝缘导线,AC10kV,JKLYJ,95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架空绝缘导线,AC10kV,JKLYJ,95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架空绝缘导线-电压等级:AC10kV,型号:JKLYJ,标称截面mm2:95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海拔修改为4500米交流三相隔离开关-电压等级:AC10kV,额定电流:630A,额定短时耐受电流:20kA,结构型式:双柱立开式,接地开关数:不接地,操作型式:手动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业扩项目寄存物资，海拔修正4000米交流三相隔离开关-电压等级:AC10kV,额定电流:630A,额定短时耐受电流:20kA,结构型式:双柱立开式,接地开关数:不接地,操作型式:手动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440018939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10kV三相隔离开关,1250A,25kA,手动双柱立开式,不接地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10kV三相隔离开关（常规式）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10kV三相隔离开关（封闭式）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10kV三相隔离开关（封闭式）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10kV三相隔离开关（封闭式）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10kV三相隔离开关（封闭式）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10kV三相隔离开关（封闭式）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440019151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10kV三相隔离开关（封闭式）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10kV三相隔离开关,630A,20kA,手动双柱立开式,不接地</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交流三相隔离开关-电压等级:AC10kV,额定电流:630A,额定短时耐受电流:20kA,结构型式:双柱立开式,接地开关数:不接地,操作型式:手动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10kV箱式变电站（美式）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10kV箱式变电站,400kVA,美式,硅钢片,普通,无环网柜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海拔修正为4000米,配置绝缘护套箱式变电站-电压等级:AC10kV,额定容量:400kVA,结构型式:美式,铁芯材质:硅钢片,安装方式:普通,环网柜型号:无环网柜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10kV箱式变电站（美式）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10kV箱式变电站,400kVA,美式,硅钢片,普通,无环网柜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海拔修正为3000米箱式变电站-电压等级:AC10kV,额定容量:400kVA,结构型式:美式,铁芯材质:硅钢片,安装方式:普通,环网柜型号:无环网柜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10kV箱式变电站,400kVA,欧式,硅钢片,普通,有环网柜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10kV箱式变电站,630kVA,欧式,硅钢片,普通,有环网柜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10kV箱式变电站,630kVA,欧式,硅钢片,普通,有环网柜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10kV箱式变电站,630kVA,欧式,硅钢片,普通,有环网柜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10kV箱式变电站,630kVA,欧式,硅钢片,普通,有环网柜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10kV箱式变电站,630kVA,欧式,硅钢片,普通,有环网柜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10kV箱式变电站,630kVA,欧式,硅钢片,普通,有环网柜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10kV箱式变电站,630kVA,欧式,硅钢片,普通,有环网柜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10kV箱式变电站（欧式）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10kV箱式变电站,630kVA,欧式,硅钢片,普通,有环网柜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工程实际需要10kV柱上变压器台成套设备-设计方案:ZA-1-CX,变压器容量:100kVA,电杆类型:12m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工程实际需要10kV柱上变压器台成套设备-设计方案:ZA-1-CX,变压器容量:50kVA,电杆类型:12m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工程实际需要10kV柱上变压器台成套设备-设计方案:ZA-1-ZX,变压器容量:50kVA,电杆类型:12m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10kV柱上变压器台成套设备,ZA-2,单相变30kVA,12m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工程实际需要10kV柱上变压器台成套设备-设计方案:ZA-2,变压器容量:单相变30kVA,电杆类型:12m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海拔修正为4000米,配置绝缘护套10kV柱上变压器台成套设备-设计方案:ZA-1-ZX,变压器容量:100kVA,电杆类型:12m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海拔修正为4000米,配置绝缘护套10kV柱上变压器台成套设备-设计方案:ZA-1-ZX,变压器容量:50kVA,电杆类型:12m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海拔修正为3000米10kV柱上变压器台成套设备-设计方案:ZA-1-CX,变压器容量:100kVA,电杆类型:12m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10kV柱上变压器台成套设备,ZA-1-CX,100kVA,15m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海拔修正为3000米10kV柱上变压器台成套设备-设计方案:ZA-1-CX,变压器容量:100kVA,电杆类型:15m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海拔修正为3000米10kV柱上变压器台成套设备-设计方案:ZA-1-CX,变压器容量:200kVA,电杆类型:12m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海拔修正为3000米10kV柱上变压器台成套设备-设计方案:ZA-1-CX,变压器容量:200kVA,电杆类型:15m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海拔修正为3000米10kV柱上变压器台成套设备-设计方案:ZA-1-CX,变压器容量:50kVA,电杆类型:12m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海拔修正为3000米10kV柱上变压器台成套设备-设计方案:ZA-1-ZX,变压器容量:100kVA,电杆类型:12m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10kV柱上变压器台成套设备,ZA-1-ZX,100kVA,15m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海拔修正为3000米10kV柱上变压器台成套设备-设计方案:ZA-1-ZX,变压器容量:100kVA,电杆类型:15m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海拔修正为3000米10kV柱上变压器台成套设备-设计方案:ZA-1-ZX,变压器容量:200kVA,电杆类型:12m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海拔修正为3000米10kV柱上变压器台成套设备-设计方案:ZA-1-ZX,变压器容量:200kVA,电杆类型:15m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海拔修正为3000米10kV柱上变压器台成套设备-设计方案:ZA-1-ZX,变压器容量:50kVA,电杆类型:12m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海拔修正为3000米10kV柱上变压器台成套设备-设计方案:ZA-1-ZX,变压器容量:50kVA,电杆类型:15m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工程需要,海拔修正4000米10kV柱上变压器台成套设备-设计方案:ZA-1-CX,变压器容量:50kVA,电杆类型:12m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10kV柱上变压器台成套设备,ZA-2,单相变30kVA,12m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工程需要,海拔修正4000米10kV柱上变压器台成套设备-设计方案:ZA-2,变压器容量:单相变30kVA,电杆类型:12m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海拔修正为3000米10kV柱上变压器台成套设备-设计方案:ZA-1-ZX,变压器容量:200kVA,电杆类型:15m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工程实际需求10kV柱上变压器台成套设备-设计方案:ZA-1-ZX,变压器容量:50kVA,电杆类型:15m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工程实际需要，海拔修正4000米10kV柱上变压器台成套设备-设计方案:ZA-1-CX,变压器容量:100kVA,电杆类型:12m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10kV柱上变压器台成套设备,ZA-1-CX,400kVA,15m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海拔修正4000米10kV柱上变压器台成套设备-设计方案:ZA-1-CX,变压器容量:400kVA,电杆类型:15m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工程实际需要，海拔修正4000米10kV柱上变压器台成套设备-设计方案:ZA-1-CX,变压器容量:50kVA,电杆类型:12m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10kV柱上变压器台成套设备,ZA-1-ZX,100kVA,15m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海拔修正4000米10kV柱上变压器台成套设备-设计方案:ZA-1-ZX,变压器容量:100kVA,电杆类型:15m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10kV柱上变压器台成套设备,ZA-1-ZX,400kVA,12m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海拔修正4000米10kV柱上变压器台成套设备-设计方案:ZA-1-ZX,变压器容量:400kVA,电杆类型:12m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10kV柱上变压器台成套设备,ZA-1-ZX,400kVA,15m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海拔修正4000米10kV柱上变压器台成套设备-设计方案:ZA-1-ZX,变压器容量:400kVA,电杆类型:15m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工程实际需要，海拔修正4000米10kV柱上变压器台成套设备-设计方案:ZA-1-ZX,变压器容量:50kVA,电杆类型:12m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10kV柱上变压器台成套设备,ZA-2,单相变10kVA,12m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工程实际需要，海拔修正4000米10kV柱上变压器台成套设备-设计方案:ZA-2,变压器容量:单相变10kVA,电杆类型:12m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10kV柱上变压器台成套设备,ZA-2,单相变30kVA,12m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工程实际需要，海拔修正4000米10kV柱上变压器台成套设备-设计方案:ZA-2,变压器容量:单相变30kVA,电杆类型:12m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工程需要，海拔修正4000米10kV柱上变压器台成套设备-设计方案:ZA-1-CX,变压器容量:100kVA,电杆类型:12m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10kV柱上变压器台成套设备,ZA-1-ZX,100kVA,15m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海拔修正4000米10kV柱上变压器台成套设备-设计方案:ZA-1-ZX,变压器容量:100kVA,电杆类型:15m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10kV柱上变压器台成套设备,ZA-1-ZX,200(63)kVA,12m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海拔修正4000米10kV柱上变压器台成套设备-设计方案:ZA-1-ZX,变压器容量:200(63)kVA,电杆类型:12m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10kV柱上变压器台成套设备,ZA-1-ZX,400(125)kVA,12m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海拔修正4000米10kV柱上变压器台成套设备-设计方案:ZA-1-ZX,变压器容量:400(125)kVA,电杆类型:12m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工程需要，海拔修正4000米10kV柱上变压器台成套设备-设计方案:ZA-1-ZX,变压器容量:50kVA,电杆类型:12m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10kV柱上变压器台成套设备,ZA-1-CX,100kVA,12m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因工程实际需求。海拔修正4000米。10kV柱上变压器台成套设备-设计方案:ZA-1-CX,变压器容量:100kVA,电杆类型:12m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10kV柱上变压器台成套设备,ZA-1-CX,100kVA,15m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海拔修正4000米。10kV柱上变压器台成套设备-设计方案:ZA-1-CX,变压器容量:100kVA,电杆类型:15m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10kV柱上变压器台成套设备,ZA-1-CX,400kVA,12m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海拔修正4000米。10kV柱上变压器台成套设备-设计方案:ZA-1-CX,变压器容量:400kVA,电杆类型:12m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10kV柱上变压器台成套设备,ZA-1-CX,400kVA,15m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海拔修正4000米。10kV柱上变压器台成套设备-设计方案:ZA-1-CX,变压器容量:400kVA,电杆类型:15m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因工程实际需求，海拔修正4000米。10kV柱上变压器台成套设备-设计方案:ZA-1-CX,变压器容量:50kVA,电杆类型:12m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10kV柱上变压器台成套设备,ZA-1-CX,50kVA,15m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因工程实际需求，海拔修正4000米。10kV柱上变压器台成套设备-设计方案:ZA-1-CX,变压器容量:50kVA,电杆类型:15m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海拔修正4000米。10kV柱上变压器台成套设备-设计方案:ZA-1-ZX,变压器容量:200kVA,电杆类型:12m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10kV柱上变压器台成套设备,ZA-1-ZX,200kVA,15m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海拔修正4000米。10kV柱上变压器台成套设备-设计方案:ZA-1-ZX,变压器容量:200kVA,电杆类型:15m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10kV柱上变压器台成套设备,ZA-1-ZX,400kVA,12m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海拔修正4000米。10kV柱上变压器台成套设备-设计方案:ZA-1-ZX,变压器容量:400kVA,电杆类型:12m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10kV柱上变压器台成套设备,ZA-1-ZX,400kVA,15m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海拔修正4000米。10kV柱上变压器台成套设备-设计方案:ZA-1-ZX,变压器容量:400kVA,电杆类型:15m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因工程实际需求，海拔修正4000米。10kV柱上变压器台成套设备-设计方案:ZA-1-ZX,变压器容量:50kVA,电杆类型:12m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10kV柱上变压器台成套设备,ZA-1-ZX,50kVA,15m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因工程实际需求，海拔修正4000米。10kV柱上变压器台成套设备-设计方案:ZA-1-ZX,变压器容量:50kVA,电杆类型:15m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10kV柱上变压器台成套设备,ZA-2,单相变30kVA,12m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因工程实际需求，海拔修正4000米。10kV柱上变压器台成套设备-设计方案:ZA-2,变压器容量:单相变30kVA,电杆类型:12m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架空绝缘导线,AC1kV,JKLYJ,70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架空绝缘导线,AC1kV,JKLYJ,70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架空绝缘导线,AC1kV,JKLYJ,70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架空绝缘导线,AC1kV,JKLYJ,70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架空绝缘导线,AC1kV,JKLYJ,70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业扩项目寄存物资架空绝缘导线-电压等级:AC1kV,型号:JKLYJ,标称截面mm2:70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架空绝缘导线,AC1kV,JKLYJ,70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架空绝缘导线,AC1kV,JKLGYJ,120/20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架空绝缘导线-电压等级:AC1kV,型号:JKLGYJ,标称截面mm2:120/20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架空绝缘导线,AC1kV,JKLYJ,70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架空绝缘导线,AC1kV,JKLYJ,70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架空绝缘导线,AC1kV,JKLYJ,120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架空绝缘导线-电压等级:AC1kV,型号:JKLYJ,标称截面mm2:120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超高性能混凝土杆,12m,190mm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超高性能混凝土杆-杆长:12m,梢径:190mm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超高性能混凝土杆,12m,190mm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超高性能混凝土杆-杆长:12m,梢径:190mm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超高性能混凝土杆,12m,190mm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超高性能混凝土杆-杆长:12m,梢径:190mm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超高性能混凝土杆,12m,190mm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超高性能混凝土杆-杆长:12m,梢径:190mm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超高性能混凝土杆,12m,190mm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超高性能混凝土杆-杆长:12m,梢径:190mm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超高性能混凝土杆,12m,190mm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超高性能混凝土杆-杆长:12m,梢径:190mm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440019151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超高性能混凝土杆,12m,190mm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超高性能混凝土杆-杆长:12m,梢径:190mm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超高性能混凝土杆,12m,190mm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超高性能混凝土杆-杆长:12m,梢径:190mm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超高性能混凝土杆,15m,230mm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超高性能混凝土杆-杆长:15m,梢径:230mm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超高性能混凝土杆,15m,230mm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超高性能混凝土杆-杆长:15m,梢径:230mm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超高性能混凝土杆,15m,230mm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超高性能混凝土杆-杆长:15m,梢径:230mm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超高性能混凝土杆,15m,230mm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超高性能混凝土杆-杆长:15m,梢径:230mm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超高性能混凝土杆,15m,230mm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超高性能混凝土杆-杆长:15m,梢径:230mm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超高性能混凝土杆,15m,230mm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超高性能混凝土杆-杆长:15m,梢径:230mm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440019151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超高性能混凝土杆,15m,230mm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超高性能混凝土杆-杆长:15m,梢径:230mm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超高性能混凝土杆,15m,230mm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超高性能混凝土杆-杆长:15m,梢径:230mm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低压电力电缆,YJV,铜,6,2芯,ZC,22,普通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非配电网物资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低压电力电缆,YJV,铜,240/120,4+1芯,ZC,无铠装,普通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低压电力电缆-型号:YJV,导体材质:铜,截面mm2:240/120,芯数:4+1芯,阻燃特性:ZC,铠装形式:无铠装,特殊要求:普通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低压电力电缆,YJY,铜,185/95,3+1芯,NH,23,WDZB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根据工程实际需求配置低压电力电缆-型号:YJY,导体材质:铜,截面mm2:185/95,芯数:3+1芯,阻燃特性:NH,铠装形式:23,特殊要求:WDZB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低压电力电缆,YJY,铜,150,4芯,ZC,33,WD</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低压电力电缆,YJY,铜,150,4芯,ZC,33,WD</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低压电力电缆,YJY,铜,185/95,3+1芯,NH,23,WDZB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根据工程实际需求配置低压电力电缆-型号:YJY,导体材质:铜,截面mm2:185/95,芯数:3+1芯,阻燃特性:NH,铠装形式:23,特殊要求:WDZB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低压电力电缆,YJY,铜,95/50,3+1芯,NH,23,WDZB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根据工程实际需求配置低压电力电缆-型号:YJY,导体材质:铜,截面mm2:95/50,芯数:3+1芯,阻燃特性:NH,铠装形式:23,特殊要求:WDZB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低压电力电缆,YJY,铜,150/95,3+1芯,ZC,23,普通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根据工程实际需求配置低压电力电缆-型号:YJY,导体材质:铜,截面mm2:150/95,芯数:3+1芯,阻燃特性:ZC,铠装形式:23,特殊要求:普通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低压电力电缆,YJY,铜,150/95,3+1芯,ZC,23,普通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根据工程实际需求配置低压电力电缆-型号:YJY,导体材质:铜,截面mm2:150/95,芯数:3+1芯,阻燃特性:ZC,铠装形式:23,特殊要求:普通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低压电力电缆,YJY,铜,16/10,3+1芯,ZC,23,普通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低压电力电缆,YJY,铜,240,4芯,ZC,22,普通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低压电力电缆-型号:YJY,导体材质:铜,截面mm2:240,芯数:4芯,阻燃特性:ZC,铠装形式:22,特殊要求:普通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低压电力电缆,YJY,铜,240,4芯,ZC,22,普通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低压电力电缆-型号:YJY,导体材质:铜,截面mm2:240,芯数:4芯,阻燃特性:ZC,铠装形式:22,特殊要求:普通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低压电力电缆,YJY,铜,35/16,3+1芯,ZB,23,NH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低压电力电缆,YJY,铜,35/16,3+1芯,ZC,23,普通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低压电力电缆,YJY,铜,35/16,3+1芯,ZC,23,普通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低压电力电缆,YJY,铜,50/25,3+1芯,NH,23,WDZB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根据工程实际需求配置低压电力电缆-型号:YJY,导体材质:铜,截面mm2:50/25,芯数:3+1芯,阻燃特性:NH,铠装形式:23,特殊要求:WDZB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低压电力电缆,YJY,铜,95,2芯,NH,23,WDZB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根据工程实际需求选用低压电力电缆-型号:YJY,导体材质:铜,截面mm2:95,芯数:2芯,阻燃特性:NH,铠装形式:23,特殊要求:WDZB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低压电力电缆,YJV,铜,16,4芯,ZC,22,NH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低压电力电缆,YJV,铜,16,4芯,ZC,22,普通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低压电力电缆-型号:YJV,导体材质:铜,截面mm2:16,芯数:4芯,阻燃特性:ZC,铠装形式:22,特殊要求:普通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低压电力电缆,YJV,铜,300,1芯,ZC,无铠装,普通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低压电力电缆-型号:YJV,导体材质:铜,截面mm2:300,芯数:1芯,阻燃特性:ZC,铠装形式:无铠装,特殊要求:普通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低压电力电缆,YJV,铜,6,3芯,不阻燃,22,NH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低压电力电缆-型号:YJV,导体材质:铜,截面mm2:6,芯数:3芯,阻燃特性:不阻燃,铠装形式:22,特殊要求:NH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低压电力电缆,YJY,铜,10,3芯,ZB,23,NH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低压电力电缆,YJY,铜,10,3芯,ZB,23,NH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低压电力电缆,YJY,铜,10,3芯,ZB,23,NH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低压电力电缆,YJY,铜,10,3芯,ZB,23,NH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低压电力电缆,YJY,铜,10,3芯,ZC,23,普通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低压电力电缆,YJY,铜,10,3芯,ZC,23,普通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低压电力电缆,YJY,铜,10/6,3+1芯,ZC,23,普通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低压电力电缆,YJY,铜,120,1芯,NH,23,WDZA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低压电力电缆,YJY,铜,120/70,3+1芯,ZC,23,普通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低压电力电缆,YJY,铜,120/70,3+1芯,ZC,23,普通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低压电力电缆,YJY,铜,120/70,3+1芯,ZC,23,普通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低压电力电缆,YJY,铜,150,3芯,ZC,23,普通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根据工程实际需求选用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低压电力电缆,YJY,铜,16,3芯,ZC,23,普通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低压电力电缆,YJY,铜,16,3芯,ZC,23,普通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低压电力电缆,YJY,铜,16/10,3+1芯,ZC,23,普通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低压电力电缆,YJY,铜,16/10,3+1芯,ZC,23,普通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低压电力电缆,YJY,铜,16/10,3+1芯,ZC,23,普通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低压电力电缆,YJY,铜,16/10,3+1芯,ZC,23,普通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低压电力电缆,YJY,铜,16/10,3+1芯,ZC,23,普通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低压电力电缆,YJY,铜,185,4芯,ZC,33,WD</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低压电力电缆,YJY,铜,185/95,3+1芯,ZB,23,NH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低压电力电缆,YJY,铜,240/120,3+1芯,NH,23,WDZB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根据工程实际需求选用低压电力电缆-型号:YJY,导体材质:铜,截面mm2:240/120,芯数:3+1芯,阻燃特性:NH,铠装形式:23,特殊要求:WDZB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低压电力电缆,YJY,铜,25/16,3+1芯,NH,23,WDZB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根据工程实际需求配置低压电力电缆-型号:YJY,导体材质:铜,截面mm2:25/16,芯数:3+1芯,阻燃特性:NH,铠装形式:23,特殊要求:WDZB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低压电力电缆,YJY,铜,25/16,3+1芯,NH,23,WDZB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根据工程实际需求配置低压电力电缆-型号:YJY,导体材质:铜,截面mm2:25/16,芯数:3+1芯,阻燃特性:NH,铠装形式:23,特殊要求:WDZB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低压电力电缆,YJY,铜,25/16,3+1芯,ZC,23,普通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低压电力电缆,YJY,铜,25/16,3+1芯,ZC,23,普通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低压电力电缆,YJY,铜,35/16,3+1芯,ZB,23,NH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低压电力电缆,YJY,铜,35/16,3+1芯,ZC,23,普通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低压电力电缆,YJY,铜,35/16,3+1芯,ZC,23,普通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低压电力电缆,YJY,铜,4,2芯,ZB,23,NH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低压电力电缆,YJY,铜,4,4芯,ZC,23,普通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根据工程实际需求配置低压电力电缆-型号:YJY,导体材质:铜,截面mm2:4,芯数:4芯,阻燃特性:ZC,铠装形式:23,特殊要求:普通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低压电力电缆,YJY,铜,50,1芯,ZB,23,NH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低压电力电缆,YJY,铜,50/25,3+1芯,NH,23,WDZB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根据工程实际需求配置低压电力电缆-型号:YJY,导体材质:铜,截面mm2:50/25,芯数:3+1芯,阻燃特性:NH,铠装形式:23,特殊要求:WDZB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低压电力电缆,YJY,铜,50/25,3+1芯,ZB,23,NH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根据工程实际需求选用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低压电力电缆,YJY,铜,6,2芯,ZB,23,NH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根据工程实际需求配置低压电力电缆-型号:YJY,导体材质:铜,截面mm2:6,芯数:2芯,阻燃特性:ZB,铠装形式:23,特殊要求:NH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低压电力电缆,YJY,铜,6,2芯,ZC,23,普通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低压电力电缆,YJY,铜,6,3芯,ZB,23,NH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低压电力电缆,YJY,铜,6,3芯,ZC,23,普通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低压电力电缆,YJY,铜,6,4芯,NH,23,NH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根据工程实际需求配置低压电力电缆-型号:YJY,导体材质:铜,截面mm2:6,芯数:4芯,阻燃特性:NH,铠装形式:23,特殊要求:NH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低压电力电缆,YJY,铜,6/4,3+1芯,ZC,23,普通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低压电力电缆,YJY,铜,6/4,3+1芯,ZC,23,普通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低压电力电缆,YJY,铜,6/4,3+1芯,ZC,23,普通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低压电力电缆,YJY,铜,6/4,3+1芯,ZC,23,普通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低压电力电缆,YJY,铜,6/4,3+1芯,ZC,23,普通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低压电力电缆,YJY,铜,6/4,3+1芯,ZC,23,普通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低压电力电缆,YJY,铜,6/4,3+1芯,ZC,23,普通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低压电力电缆,YJY,铜,70/35,3+1芯,NH,23,WDZB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根据工程实际需求配置低压电力电缆-型号:YJY,导体材质:铜,截面mm2:70/35,芯数:3+1芯,阻燃特性:NH,铠装形式:23,特殊要求:WDZB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低压电力电缆,YJY,铜,70/35,3+1芯,ZC,23,普通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低压电力电缆,YJY,铜,70/35,3+1芯,ZC,23,普通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低压电力电缆,YJY,铜,70/35,3+1芯,ZC,23,普通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低压电力电缆,YJY,铜,95/50,3+1芯,ZB,23,NH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根据工程实际需求配置低压电力电缆-型号:YJY,导体材质:铜,截面mm2:95/50,芯数:3+1芯,阻燃特性:ZB,铠装形式:23,特殊要求:NH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低压电力电缆,YJY,铜,95/50,3+1芯,ZB,23,NH</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根据工程实际需求配置低压电力电缆-型号:YJY,导体材质:铜,截面mm2:95/50,芯数:3+1芯,阻燃特性:ZB,铠装形式:23,特殊要求:NH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低压电力电缆,YJY,铜,185,4芯,ZC,33,WD</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低压电力电缆,YJY,铜,150,4芯,ZC,33,WD</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低压电力电缆,YJV,铜,35/16,4+1芯,ZC,无铠装,普通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低压电力电缆-型号:YJV,导体材质:铜,截面mm2:35/16,芯数:4+1芯,阻燃特性:ZC,铠装形式:无铠装,特殊要求:普通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低压电力电缆,YJY,铜,16/10,4+1芯,ZC,无铠装,普通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低压电力电缆-型号:YJY,导体材质:铜,截面mm2:16/10,芯数:4+1芯,阻燃特性:ZC,铠装形式:无铠装,特殊要求:普通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低压电力电缆,YJV,铜,70/35,4+1芯,ZC,无铠装,普通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低压电力电缆-型号:YJV,导体材质:铜,截面mm2:70/35,芯数:4+1芯,阻燃特性:ZC,铠装形式:无铠装,特殊要求:普通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低压电力电缆,YJY,铜,185/120,4+1芯,ZC,无铠装,WDZC</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低压电力电缆-型号:YJY,导体材质:铜,截面mm2:185/120,芯数:4+1芯,阻燃特性:ZC,铠装形式:无铠装,特殊要求:WDZC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低压电力电缆,YJV,铜,185,4芯,ZC,无铠装,普通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低压电力电缆-型号:YJV,导体材质:铜,截面mm2:185,芯数:4芯,阻燃特性:ZC,铠装形式:无铠装,特殊要求:普通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低压电力电缆,YJV,铜,150/95,4+1芯,ZC,无铠装,普通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低压电力电缆-型号:YJV,导体材质:铜,截面mm2:150/95,芯数:4+1芯,阻燃特性:ZC,铠装形式:无铠装,特殊要求:普通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低压电力电缆,YJV,铜,185,4芯,ZC,无铠装,普通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低压电力电缆-型号:YJV,导体材质:铜,截面mm2:185,芯数:4芯,阻燃特性:ZC,铠装形式:无铠装,特殊要求:普通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低压电力电缆,YJV,铜,150,1芯,ZC,无铠装,普通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低压电力电缆-型号:YJV,导体材质:铜,截面mm2:150,芯数:1芯,阻燃特性:ZC,铠装形式:无铠装,特殊要求:普通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低压电力电缆,YJV,铜,70,4芯,ZC,无铠装,普通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低压电力电缆-型号:YJV,导体材质:铜,截面mm2:70,芯数:4芯,阻燃特性:ZC,铠装形式:无铠装,特殊要求:普通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寄售物资低压电力电缆-型号:YJV,导体材质:铜,截面mm2:35,芯数:4芯,阻燃特性:ZC,铠装形式:无铠装,特殊要求:普通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低压电力电缆,YJV,铜,70,4芯,ZC,无铠装,普通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低压电力电缆-型号:YJV,导体材质:铜,截面mm2:70,芯数:4芯,阻燃特性:ZC,铠装形式:无铠装,特殊要求:普通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低压电力电缆,YJV,铜,185,4芯,ZC,无铠装,普通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低压电力电缆-型号:YJV,导体材质:铜,截面mm2:185,芯数:4芯,阻燃特性:ZC,铠装形式:无铠装,特殊要求:普通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低压电力电缆,YJV,铜,35/16,4+1芯,ZC,无铠装,普通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低压电力电缆-型号:YJV,导体材质:铜,截面mm2:35/16,芯数:4+1芯,阻燃特性:ZC,铠装形式:无铠装,特殊要求:普通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低压电力电缆,YJLV,铝,95,4芯,ZC,22,普通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低压电力电缆-型号:YJLV,导体材质:铝,截面mm2:95,芯数:4芯,阻燃特性:ZC,铠装形式:22,特殊要求:普通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低压电力电缆,YJV,铜,150,1芯,ZC,无铠装,普通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低压电力电缆-型号:YJV,导体材质:铜,截面mm2:150,芯数:1芯,阻燃特性:ZC,铠装形式:无铠装,特殊要求:普通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低压电力电缆,YJV,铜,25/16,3+1芯,ZC,22,普通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低压电力电缆-型号:YJV,导体材质:铜,截面mm2:25/16,芯数:3+1芯,阻燃特性:ZC,铠装形式:22,特殊要求:普通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低压电力电缆,YJY,铜,70/35,4+1芯,ZC,22,WDZC</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低压电力电缆-型号:YJY,导体材质:铜,截面mm2:70/35,芯数:4+1芯,阻燃特性:ZC,铠装形式:22,特殊要求:WDZC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低压电力电缆,YJY,铜,95,4芯,ZC,22,普通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低压电力电缆-型号:YJY,导体材质:铜,截面mm2:95,芯数:4芯,阻燃特性:ZC,铠装形式:22,特殊要求:普通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低压电力电缆,YJV,铜,185,4芯,ZC,无铠装,普通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低压电力电缆-型号:YJV,导体材质:铜,截面mm2:185,芯数:4芯,阻燃特性:ZC,铠装形式:无铠装,特殊要求:普通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寄售物资低压电力电缆-型号:YJLV,导体材质:铝,截面mm2:16,芯数:2芯,阻燃特性:ZC,铠装形式:无铠装,特殊要求:普通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寄售物资低压电力电缆-型号:YJLV,导体材质:铝,截面mm2:35,芯数:4芯,阻燃特性:ZC,铠装形式:无铠装,特殊要求:普通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低压电力电缆,YJY,铜,95,4芯,ZC,无铠装,普通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低压电力电缆-型号:YJY,导体材质:铜,截面mm2:95,芯数:4芯,阻燃特性:ZC,铠装形式:无铠装,特殊要求:普通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低压电力电缆,YJV,铜,70/35,4+1芯,ZC,无铠装,普通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低压电力电缆-型号:YJV,导体材质:铜,截面mm2:70/35,芯数:4+1芯,阻燃特性:ZC,铠装形式:无铠装,特殊要求:普通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低压电力电缆,YJLV,铝,70,4芯,ZC,无铠装,普通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低压电力电缆-型号:YJLV,导体材质:铝,截面mm2:70,芯数:4芯,阻燃特性:ZC,铠装形式:无铠装,特殊要求:普通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低压电力电缆,YJV,铜,95/50,4+1芯,ZC,无铠装,普通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低压电力电缆-型号:YJV,导体材质:铜,截面mm2:95/50,芯数:4+1芯,阻燃特性:ZC,铠装形式:无铠装,特殊要求:普通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低压电力电缆,YJY,铜,50,2芯,ZC,无铠装,普通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低压电力电缆-型号:YJY,导体材质:铜,截面mm2:50,芯数:2芯,阻燃特性:ZC,铠装形式:无铠装,特殊要求:普通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低压电力电缆,YJV,铜,70/35,4+1芯,ZC,无铠装,普通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低压电力电缆-型号:YJV,导体材质:铜,截面mm2:70/35,芯数:4+1芯,阻燃特性:ZC,铠装形式:无铠装,特殊要求:普通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低压电力电缆,YJLV,铝,240,4芯,ZC,22,普通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低压电力电缆-型号:YJLV,导体材质:铝,截面mm2:240,芯数:4芯,阻燃特性:ZC,铠装形式:22,特殊要求:普通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低压电力电缆,YJV,铜,95/50,4+1芯,ZC,无铠装,普通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低压电力电缆-型号:YJV,导体材质:铜,截面mm2:95/50,芯数:4+1芯,阻燃特性:ZC,铠装形式:无铠装,特殊要求:普通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低压电力电缆,YJV,铜,16,4芯,ZC,无铠装,普通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低压电力电缆-型号:YJV,导体材质:铜,截面mm2:16,芯数:4芯,阻燃特性:ZC,铠装形式:无铠装,特殊要求:普通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低压电力电缆,YJY,铜,16,2芯,ZC,无铠装,普通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低压电力电缆-型号:YJY,导体材质:铜,截面mm2:16,芯数:2芯,阻燃特性:ZC,铠装形式:无铠装,特殊要求:普通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低压电力电缆,YJLV,铝,70,4芯,ZC,无铠装,普通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低压电力电缆-型号:YJLV,导体材质:铝,截面mm2:70,芯数:4芯,阻燃特性:ZC,铠装形式:无铠装,特殊要求:普通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低压电力电缆,YJLV,铝,16,2芯,ZC,无铠装,普通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低压电力电缆-型号:YJLV,导体材质:铝,截面mm2:16,芯数:2芯,阻燃特性:ZC,铠装形式:无铠装,特殊要求:普通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低压电力电缆,YJV,铜,120,4芯,ZC,无铠装,普通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低压电力电缆-型号:YJV,导体材质:铜,截面mm2:120,芯数:4芯,阻燃特性:ZC,铠装形式:无铠装,特殊要求:普通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低压电力电缆,YJV,铜,240,4芯,ZC,22,普通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低压电力电缆-型号:YJV,导体材质:铜,截面mm2:240,芯数:4芯,阻燃特性:ZC,铠装形式:22,特殊要求:普通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低压电力电缆,YJV,铜,50,4芯,ZC,22,普通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低压电力电缆-型号:YJV,导体材质:铜,截面mm2:50,芯数:4芯,阻燃特性:ZC,铠装形式:22,特殊要求:普通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低压电力电缆,YJV,铜,95,4芯,ZC,22,普通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低压电力电缆-型号:YJV,导体材质:铜,截面mm2:95,芯数:4芯,阻燃特性:ZC,铠装形式:22,特殊要求:普通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低压电力电缆,YJLV,铝,35,4芯,ZC,无铠装,普通</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低压电力电缆-型号:YJLV,导体材质:铝,截面mm2:35,芯数:4芯,阻燃特性:ZC,铠装形式:无铠装,特殊要求:普通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低压电容器柜,AC380V,固定式,130kvar</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低压电容器柜-电压等级:AC380V,型式:固定式,额定容量:130kvar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低压电容器柜,AC380V,固定式,240kvar</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海拔修正为3000米低压电容器柜-电压等级:AC380V,型式:固定式,额定容量:240kvar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低压电容器柜,AC380V,固定式,300kvar</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低压电容器柜-电压等级:AC380V,型式:固定式,额定容量:300kvar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低压电容器柜,AC380V,固定式,300kvar</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低压电容器柜-电压等级:AC380V,型式:固定式,额定容量:300kvar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低压开关柜,AC380V,固定式,进线,1250A,65kA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低压开关柜-电压等级:AC380V,型式:固定式,接线类型:进线,额定电流:1250A,额定开断电流:65kA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低压开关柜,AC380V,固定式,进线,1250A,65kA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海拔修正为3000米低压开关柜-电压等级:AC380V,型式:固定式,接线类型:进线,额定电流:1250A,额定开断电流:65kA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低压开关柜,AC380V,固定式,进线,2000A,65kA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海拔修正为3000米低压开关柜-电压等级:AC380V,型式:固定式,接线类型:进线,额定电流:2000A,额定开断电流:65kA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低压开关柜,AC380V,固定式,进线,2500A,65kA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低压开关柜-电压等级:AC380V,型式:固定式,接线类型:进线,额定电流:2500A,额定开断电流:65kA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低压开关柜,AC380V,固定式,进线,2500A,65kA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低压开关柜-电压等级:AC380V,型式:固定式,接线类型:进线,额定电流:2500A,额定开断电流:65kA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低压开关柜,AC380V,固定式,馈线,1250A,50kA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低压开关柜-电压等级:AC380V,型式:固定式,接线类型:馈线,额定电流:1250A,额定开断电流:50kA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低压开关柜,AC380V,固定式,馈线,1250A,50kA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海拔修正为3000米低压开关柜-电压等级:AC380V,型式:固定式,接线类型:馈线,额定电流:1250A,额定开断电流:50kA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低压开关柜,AC380V,固定式,馈线,2000A,50kA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海拔修正为3000米低压开关柜-电压等级:AC380V,型式:固定式,接线类型:馈线,额定电流:2000A,额定开断电流:50kA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低压开关柜,AC380V,固定式,馈线,2000A,50kA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低压开关柜-电压等级:AC380V,型式:固定式,接线类型:馈线,额定电流:2000A,额定开断电流:50kA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低压开关柜,AC380V,固定式,馈线,2000A,50kA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低压开关柜-电压等级:AC380V,型式:固定式,接线类型:馈线,额定电流:2000A,额定开断电流:50kA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电缆分支箱-电压等级:AC400V,是否带开关:塑壳断路器,总回路数:七路,额定电流:400A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电缆分支箱-电压等级:AC400V,是否带开关:塑壳断路器,总回路数:七路,额定电流:400A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电缆分支箱-电压等级:AC400V,是否带开关:塑壳断路器,总回路数:七路,额定电流:400A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电缆分支箱,AC400V,刀熔开关,三路,400A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电缆分支箱-电压等级:AC400V,是否带开关:刀熔开关,总回路数:三路,额定电流:400A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电缆分支箱-电压等级:AC400V,是否带开关:塑壳断路器,总回路数:七路,额定电流:400A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电缆分支箱-电压等级:AC400V,是否带开关:塑壳断路器,总回路数:七路,额定电流:400A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海拔修正4000米电缆分支箱-电压等级:AC400V,是否带开关:塑壳断路器,总回路数:七路,额定电流:400A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海拔修正4000米。电缆分支箱-电压等级:AC400V,是否带开关:塑壳断路器,总回路数:七路,额定电流:400A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海拔修正4000米。电缆分支箱-电压等级:AC400V,是否带开关:塑壳断路器,总回路数:七路,额定电流:400A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电缆分支箱,AC400V,塑壳断路器,七路,630A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电缆分支箱-电压等级:AC400V,是否带开关:塑壳断路器,总回路数:七路,额定电流:630A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电缆分支箱,AC400V,塑壳断路器,七路,630A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电缆分支箱-电压等级:AC400V,是否带开关:塑壳断路器,总回路数:七路,额定电流:630A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电缆分支箱,AC400V,塑壳断路器,七路,630A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电缆分支箱-电压等级:AC400V,是否带开关:塑壳断路器,总回路数:七路,额定电流:630A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电缆分支箱,AC400V,塑壳断路器,四路,400A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电缆分支箱-电压等级:AC400V,是否带开关:塑壳断路器,总回路数:四路,额定电流:400A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电缆分支箱,AC400V,塑壳断路器,四路,400A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电缆分支箱-电压等级:AC400V,是否带开关:塑壳断路器,总回路数:四路,额定电流:400A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电缆分支箱,AC400V,塑壳断路器,五路,400A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海拔修正4000米。电缆分支箱-电压等级:AC400V,是否带开关:塑壳断路器,总回路数:五路,额定电流:400A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电缆分支箱,AC400V,塑壳断路器,五路,630A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电缆分支箱-电压等级:AC400V,是否带开关:塑壳断路器,总回路数:五路,额定电流:630A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电缆分支箱,AC400V,塑壳断路器,五路,630A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电缆分支箱-电压等级:AC400V,是否带开关:塑壳断路器,总回路数:五路,额定电流:630A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10kV电缆中间接头,3×120,直通接头,冷缩,铜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海拔修正3000米35kV及以下电缆中间接头-电压等级:AC10kV,截面积mm2:120mm2,电缆芯数:3芯,类型:直通接头,种类:冷缩,材质:铜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10kV电缆中间接头,3×120,直通接头,冷缩,铜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海拔修正为3000米35kV及以下电缆中间接头-电压等级:AC10kV,截面积mm2:120mm2,电缆芯数:3芯,类型:直通接头,种类:冷缩,材质:铜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10kV电缆中间接头,3×120,直通接头,冷缩,铜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海拔修正4000米35kV及以下电缆中间接头-电压等级:AC10kV,截面积mm2:120mm2,电缆芯数:3芯,类型:直通接头,种类:冷缩,材质:铜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10kV电缆中间接头,3×120,直通接头,冷缩,铜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海拔修正为3000米35kV及以下电缆中间接头-电压等级:AC10kV,截面积mm2:120mm2,电缆芯数:3芯,类型:直通接头,种类:冷缩,材质:铜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10kV电缆中间接头,3×150,直通接头,冷缩,铜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10kV电缆中间接头,3×150,直通接头,冷缩,铜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10kV电缆中间接头,3×150,直通接头,冷缩,铜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3000米海拔修正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10kV电缆中间接头,3×240,直通接头,冷缩,铜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海拔修正3000米35kV及以下电缆中间接头-电压等级:AC10kV,截面积mm2:240mm2,电缆芯数:3芯,类型:直通接头,种类:冷缩,材质:铜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10kV电缆中间接头,3×240,直通接头,冷缩,铜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海拔修正4000米35kV及以下电缆中间接头-电压等级:AC10kV,截面积mm2:240mm2,电缆芯数:3芯,类型:直通接头,种类:冷缩,材质:铜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10kV电缆中间接头,3×240,直通接头,冷缩,铜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海拔修正为4000米35kV及以下电缆中间接头-电压等级:AC10kV,截面积mm2:240mm2,电缆芯数:3芯,类型:直通接头,种类:冷缩,材质:铜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10kV电缆中间接头,3×240,直通接头,冷缩,铜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海拔修正为3000米35kV及以下电缆中间接头-电压等级:AC10kV,截面积mm2:240mm2,电缆芯数:3芯,类型:直通接头,种类:冷缩,材质:铜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10kV电缆中间接头,3×300,直通接头,冷缩,铜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10kV电缆中间接头,3×300,直通接头,冷缩,铜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10kV电缆中间接头,3×300,直通接头,冷缩,铜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10kV电缆中间接头,3×300,直通接头,冷缩,铜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10kV电缆中间接头,3×300,直通接头,冷缩,铜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10kV电缆中间接头,3×300,直通接头,冷缩,铜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10kV电缆中间接头,3×300,直通接头,冷缩,铜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10kV电缆中间接头,3×300,直通接头,冷缩,铜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10kV电缆中间接头,3×70,直通接头,冷缩,铜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10kV电缆中间接头,3×70,直通接头,冷缩,铜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10kV电缆中间接头,3×70,直通接头,冷缩,铜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10kV电缆中间接头,3×70,直通接头,冷缩,铜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10kV电缆终端,1×300,户外终端,冷缩,铜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海拔修正4000米，非配电网物资35kV及以下电缆终端-电压等级:AC10kV,截面积mm2:300mm2,电缆芯数:1芯,类型:户外终端,种类:冷缩,材质:铜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海拔修正4000米，非配电网物资35kV及以下电缆终端-电压等级:AC10kV,截面积mm2:120mm2,电缆芯数:3芯,类型:户内终端,种类:冷缩,材质:铜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海拔修正4000米35kV及以下电缆终端-电压等级:AC10kV,截面积mm2:120mm2,电缆芯数:3芯,类型:户内终端,种类:冷缩,材质:铜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海拔修改为4500米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海拔修正4000米，非配电网物资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10kV电缆终端,3×120,设备终端,预制,铜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海拔修正为3000米35kV及以下电缆终端-电压等级:AC10kV,截面积mm2:150mm2,电缆芯数:3芯,类型:户内终端,种类:冷缩,材质:铜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海拔修正为3000米35kV及以下电缆终端-电压等级:AC10kV,截面积mm2:150mm2,电缆芯数:3芯,类型:户内终端,种类:冷缩,材质:铜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海拔修正为3000米35kV及以下电缆终端-电压等级:AC10kV,截面积mm2:150mm2,电缆芯数:3芯,类型:户内终端,种类:冷缩,材质:铜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海拔修正4000米35kV及以下电缆终端-电压等级:AC10kV,截面积mm2:150mm2,电缆芯数:3芯,类型:户内终端,种类:冷缩,材质:铜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3000米海拔修正35kV及以下电缆终端-电压等级:AC10kV,截面积mm2:150mm2,电缆芯数:3芯,类型:户内终端,种类:冷缩,材质:铜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海拔修正为4000米35kV及以下电缆终端-电压等级:AC10kV,截面积mm2:150mm2,电缆芯数:3芯,类型:户内终端,种类:冷缩,材质:铜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海拔修正4000米35kV及以下电缆终端-电压等级:AC10kV,截面积mm2:150mm2,电缆芯数:3芯,类型:户内终端,种类:冷缩,材质:铜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海拔修正4000米。35kV及以下电缆终端-电压等级:AC10kV,截面积mm2:150mm2,电缆芯数:3芯,类型:户内终端,种类:冷缩,材质:铜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海拔修正为4000米35kV及以下电缆终端-电压等级:AC10kV,截面积mm2:150mm2,电缆芯数:3芯,类型:户内终端,种类:预制,材质:铜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10kV电缆终端,3×150,户内终端,预制,铜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海拔修正为4000米35kV及以下电缆终端-电压等级:AC10kV,截面积mm2:150mm2,电缆芯数:3芯,类型:户内终端,种类:预制,材质:铜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海拔修正4000米。35kV及以下电缆终端-电压等级:AC10kV,截面积mm2:150mm2,电缆芯数:3芯,类型:户外终端,种类:冷缩,材质:铜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10kV电缆终端,3×150,设备终端,预制,铜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10kV电缆终端,3×185,户内终端,冷缩,铜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工程需要,海拔修正4000米35kV及以下电缆终端-电压等级:AC10kV,截面积mm2:185mm2,电缆芯数:3芯,类型:户内终端,种类:冷缩,材质:铜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10kV电缆终端,3×185,户外终端,冷缩,铜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工程需要,海拔修正4000米35kV及以下电缆终端-电压等级:AC10kV,截面积mm2:185mm2,电缆芯数:3芯,类型:户外终端,种类:冷缩,材质:铜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海拔修正4000米35kV及以下电缆终端-电压等级:AC10kV,截面积mm2:240mm2,电缆芯数:3芯,类型:户内终端,种类:冷缩,材质:铜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海拔修正3000米35kV及以下电缆终端-电压等级:AC10kV,截面积mm2:240mm2,电缆芯数:3芯,类型:户内终端,种类:冷缩,材质:铜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海拔修正为4000米35kV及以下电缆终端-电压等级:AC10kV,截面积mm2:240mm2,电缆芯数:3芯,类型:户内终端,种类:冷缩,材质:铜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海拔修正4000米35kV及以下电缆终端-电压等级:AC10kV,截面积mm2:240mm2,电缆芯数:3芯,类型:户内终端,种类:冷缩,材质:铜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海拔修正4000米。35kV及以下电缆终端-电压等级:AC10kV,截面积mm2:240mm2,电缆芯数:3芯,类型:户内终端,种类:冷缩,材质:铜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海拔修正4000米。35kV及以下电缆终端-电压等级:AC10kV,截面积mm2:240mm2,电缆芯数:3芯,类型:户外终端,种类:冷缩,材质:铜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10kV电缆终端,3×240,设备终端,预制,铜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海拔修正4000米35kV及以下电缆终端-电压等级:AC10kV,截面积mm2:240mm2,电缆芯数:3芯,类型:设备终端,种类:预制,材质:铜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10kV电缆终端,3×300,户内终端,冷缩,铝</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海拔修改为4500米35kV及以下电缆终端-电压等级:AC10kV,截面积mm2:300mm2,电缆芯数:3芯,类型:户内终端,种类:冷缩,材质:铜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海拔修正4000米。35kV及以下电缆终端-电压等级:AC10kV,截面积mm2:300mm2,电缆芯数:3芯,类型:户内终端,种类:冷缩,材质:铜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海拔修改为4500米35kV及以下电缆终端-电压等级:AC10kV,截面积mm2:300mm2,电缆芯数:3芯,类型:户外终端,种类:冷缩,材质:铜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海拔修正4000米。35kV及以下电缆终端-电压等级:AC10kV,截面积mm2:300mm2,电缆芯数:3芯,类型:户外终端,种类:冷缩,材质:铜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10kV电缆终端,3×300,设备终端,预制,铜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10kV电缆终端,3×35,户内终端,冷缩,铜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3000米海拔修正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10kV电缆终端,3×35,户内终端,冷缩,铜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3000米海拔修正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10kV电缆终端,3×400,户内终端,冷缩,铜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海拔修正4000米，非配电网物资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海拔修正4000米，非配电网物资35kV及以下电缆终端-电压等级:AC10kV,截面积mm2:70mm2,电缆芯数:3芯,类型:户外终端,种类:冷缩,材质:铜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海拔修正4000米。35kV及以下电缆终端-电压等级:AC10kV,截面积mm2:70mm2,电缆芯数:3芯,类型:户外终端,种类:冷缩,材质:铜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10kV电缆终端,3×70,设备终端,预制,铜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1kV电缆终端,4+1×150/95,户内终端,冷缩,铜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35kV及以下电缆终端-电压等级:AC1kV,截面积mm2:150/95mm2,电缆芯数:4+1芯,类型:户内终端,种类:冷缩,材质:铜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1kV电缆终端,4+1×185/120,户内终端,冷缩,铜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35kV及以下电缆终端-电压等级:AC1kV,截面积mm2:185/120mm2,电缆芯数:4+1芯,类型:户内终端,种类:冷缩,材质:铜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1kV电缆终端,4+1×70/35,户内终端,冷缩,铜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35kV及以下电缆终端-电压等级:AC1kV,截面积mm2:70/35mm2,电缆芯数:4+1芯,类型:户内终端,种类:冷缩,材质:铜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1kV电缆终端,4×120,户内终端,冷缩,铜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1kV电缆终端,4×120,户外终端,冷缩,铜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1kV电缆终端,4×185,户外终端,冷缩,铜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1kV电缆终端,4×240,户内终端,冷缩,铜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1kV电缆终端,4×240,户外终端,冷缩,铜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1kV电缆终端,4×35,户外终端,冷缩,铜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1kV电缆终端,4×35,户外终端,冷缩,铜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35kV及以下电缆终端-电压等级:AC1kV,截面积mm2:50mm2,电缆芯数:4芯,类型:户外终端,种类:冷缩,材质:铜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35kV及以下电缆终端-电压等级:AC1kV,截面积mm2:50mm2,电缆芯数:4芯,类型:户外终端,种类:冷缩,材质:铜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35kV及以下电缆终端-电压等级:AC1kV,截面积mm2:50mm2,电缆芯数:4芯,类型:户外终端,种类:冷缩,材质:铜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35kV及以下电缆终端-电压等级:AC1kV,截面积mm2:50mm2,电缆芯数:4芯,类型:户外终端,种类:冷缩,材质:铜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海拔修正为4000米35kV及以下电缆终端-电压等级:AC1kV,截面积mm2:50mm2,电缆芯数:4芯,类型:户外终端,种类:冷缩,材质:铜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海拔修正4000米35kV及以下电缆终端-电压等级:AC1kV,截面积mm2:50mm2,电缆芯数:4芯,类型:户外终端,种类:冷缩,材质:铜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35kV及以下电缆终端-电压等级:AC1kV,截面积mm2:50mm2,电缆芯数:4芯,类型:户外终端,种类:冷缩,材质:铜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1kV电缆终端,4×50,户外终端,冷缩,铜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35kV及以下电缆终端-电压等级:AC1kV,截面积mm2:50mm2,电缆芯数:4芯,类型:户外终端,种类:冷缩,材质:铜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1kV电缆终端,4×70,户内终端,冷缩,铜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1kV电缆终端,4×70,户外终端,冷缩,铜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1kV电缆终端,4×95,户外终端,冷缩,铜</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电力电缆,AC10kV,YJV,150,3,22,ZC,无阻水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电力电缆-电压等级:AC10kV,型号:YJV,截面mm2:150,芯数:3,铠装及外护套形式:22,是否阻燃:ZC,是否纵向阻水:无阻水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电力电缆,AC10kV,YJV,150,3,22,ZC,无阻水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电力电缆-电压等级:AC10kV,型号:YJV,截面mm2:150,芯数:3,铠装及外护套形式:22,是否阻燃:ZC,是否纵向阻水:无阻水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0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电力电缆,AC10kV,YJV,300,1,63,ZB,无阻水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因工程需要，单芯电缆非磁性铠装电力电缆无标准物料电力电缆-电压等级:AC10kV,型号:YJV,截面mm2:300,芯数:1,铠装及外护套形式:63,是否阻燃:ZB,是否纵向阻水:无阻水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电力电缆,AC10kV,YJV,150,3,22,ZC,无阻水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电力电缆-电压等级:AC10kV,型号:YJV,截面mm2:150,芯数:3,铠装及外护套形式:22,是否阻燃:ZC,是否纵向阻水:无阻水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电力电缆,AC10kV,YJV,150,3,22,ZC,无阻水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海拔修正4000米电力电缆-电压等级:AC10kV,型号:YJV,截面mm2:150,芯数:3,铠装及外护套形式:22,是否阻燃:ZC,是否纵向阻水:无阻水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电力电缆,AC10kV,YJV,150,3,22,ZC,无阻水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电力电缆-电压等级:AC10kV,型号:YJV,截面mm2:150,芯数:3,铠装及外护套形式:22,是否阻燃:ZC,是否纵向阻水:无阻水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电力电缆,AC10kV,YJV,150,3,22,ZC,无阻水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电力电缆-电压等级:AC10kV,型号:YJV,截面mm2:150,芯数:3,铠装及外护套形式:22,是否阻燃:ZC,是否纵向阻水:无阻水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海拔修正4000米，非配电网物资电力电缆-电压等级:AC10kV,型号:YJV,截面mm2:70,芯数:3,铠装及外护套形式:22,是否阻燃:ZC,是否纵向阻水:无阻水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电力电缆,AC10kV,YJY,150,3,23,ZB,无阻水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电力电缆-电压等级:AC10kV,型号:YJY,截面mm2:150,芯数:3,铠装及外护套形式:23,是否阻燃:ZB,是否纵向阻水:无阻水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电力电缆,AC10kV,YJV,120,3,22,ZC,无阻水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电力电缆-电压等级:AC10kV,型号:YJV,截面mm2:120,芯数:3,铠装及外护套形式:22,是否阻燃:ZC,是否纵向阻水:无阻水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电力电缆,AC10kV,YJV,150,3,22,ZC,无阻水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电力电缆-电压等级:AC10kV,型号:YJV,截面mm2:150,芯数:3,铠装及外护套形式:22,是否阻燃:ZC,是否纵向阻水:无阻水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电力电缆,AC10kV,YJV,150,3,22,ZC,无阻水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电力电缆-电压等级:AC10kV,型号:YJV,截面mm2:150,芯数:3,铠装及外护套形式:22,是否阻燃:ZC,是否纵向阻水:无阻水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海拔修正4000米电力电缆-电压等级:AC10kV,型号:YJV,截面mm2:240,芯数:3,铠装及外护套形式:22,是否阻燃:ZC,是否纵向阻水:无阻水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电力电缆,AC10kV,YJV,300,3,22,ZC,无阻水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电力电缆-电压等级:AC10kV,型号:YJV,截面mm2:300,芯数:3,铠装及外护套形式:22,是否阻燃:ZC,是否纵向阻水:无阻水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电力电缆,AC10kV,YJV,70,3,22,ZC,无阻水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海拔修正4000米。电力电缆-电压等级:AC10kV,型号:YJV,截面mm2:70,芯数:3,铠装及外护套形式:22,是否阻燃:ZC,是否纵向阻水:无阻水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7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电力电缆,AC10kV,YJY,240,3,22,ZC,无阻水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海拔修正3000米电力电缆-电压等级:AC10kV,型号:YJY,截面mm2:240,芯数:3,铠装及外护套形式:22,是否阻燃:ZC,是否纵向阻水:无阻水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电力电缆,AC10kV,YJY,70,3,23,ZC,无阻水</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工程需要电力电缆-电压等级:AC10kV,型号:YJY,截面mm2:70,芯数:3,铠装及外护套形式:23,是否阻燃:ZC,是否纵向阻水:无阻水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电能计量箱,单相,10,SMC,80A,嵌入式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电能计量箱-相数:单相,表位:10,材质:SMC,额定电流:80A,安装方式:嵌入式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电能计量箱,单相,10,SMC,80A,嵌入式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电能计量箱-相数:单相,表位:10,材质:SMC,额定电流:80A,安装方式:嵌入式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电能计量箱,单相,10,SMC,80A,悬挂式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电能计量箱-相数:单相,表位:10,材质:SMC,额定电流:80A,安装方式:悬挂式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电能计量箱,单相,10,SMC,80A,悬挂式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电能计量箱-相数:单相,表位:10,材质:SMC,额定电流:80A,安装方式:悬挂式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电能计量箱,单相,10,SMC,80A,悬挂式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电能计量箱-相数:单相,表位:10,材质:SMC,额定电流:80A,安装方式:悬挂式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电能计量箱,单相,12,SMC,80A,嵌入式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电能计量箱-相数:单相,表位:12,材质:SMC,额定电流:80A,安装方式:嵌入式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电能计量箱,单相,12,SMC,80A,嵌入式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电能计量箱-相数:单相,表位:12,材质:SMC,额定电流:80A,安装方式:嵌入式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电能计量箱,单相,12,SMC,80A,嵌入式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电能计量箱-相数:单相,表位:12,材质:SMC,额定电流:80A,安装方式:嵌入式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电能计量箱,单相,12,SMC,80A,悬挂式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电能计量箱-相数:单相,表位:12,材质:SMC,额定电流:80A,安装方式:悬挂式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电能计量箱,单相,4,SMC,80A,悬挂式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寄售物资电能计量箱-相数:单相,表位:4,材质:SMC,额定电流:80A,安装方式:悬挂式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电能计量箱,单相,6,SMC,60A,悬挂式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电能计量箱-相数:单相,表位:6,材质:SMC,额定电流:60A,安装方式:悬挂式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电能计量箱,单相,6,SMC,80A,悬挂式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电能计量箱-相数:单相,表位:6,材质:SMC,额定电流:80A,安装方式:悬挂式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电能计量箱,三相,2,SMC,250A,悬挂式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寄售物资电能计量箱-相数:三相,表位:2,材质:SMC,额定电流:250A,安装方式:悬挂式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电能计量箱,三相,4,SMC,100A,悬挂式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寄售物资电能计量箱-相数:三相,表位:4,材质:SMC,额定电流:100A,安装方式:悬挂式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电能计量箱,三相,6,SMC,100A,悬挂式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电能计量箱-相数:三相,表位:6,材质:SMC,额定电流:100A,安装方式:悬挂式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电能计量箱,三相,6,SMC,100A,悬挂式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电能计量箱-相数:三相,表位:6,材质:SMC,额定电流:100A,安装方式:悬挂式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电能计量箱,三相,6,不锈钢,100A,落地式</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电能计量箱-相数:三相,表位:6,材质:不锈钢,额定电流:100A,安装方式:落地式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业扩项目寄存物资，海拔修正4000米蝶式绝缘子-型号:ED-1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蝶式绝缘子,ED-1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寄售物资，海拔修正4000米。蝶式绝缘子-型号:ED-1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复合绝缘横担,AC10kV,方形实心棒,单回成套</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复合绝缘横担-电压等级:AC10kV,结构型式:方形实心棒,回路描述:单回成套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复合绝缘横担,AC10kV,方形实心棒,单回成套</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复合绝缘横担-电压等级:AC10kV,结构型式:方形实心棒,回路描述:单回成套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复合绝缘横担,AC10kV,方形实心棒,单回成套</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复合绝缘横担-电压等级:AC10kV,结构型式:方形实心棒,回路描述:单回成套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钢管杆（桩）,AC10kV,无,无,Q345,杆,无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钢管杆（桩）-电压等级:AC10kV,杆型:无,回路数:无,材质:Q345,类型:杆,种类:无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钢芯铝绞线,JL/G1A,150/20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钢芯铝绞线-型号:JL/G1A,标称截面mm2:150/20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钢芯铝绞线,JL/G1A,185/25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钢芯铝绞线-型号:JL/G1A,标称截面mm2:185/25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钢芯铝绞线,JL/G1A,70/10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钢芯铝绞线-型号:JL/G1A,标称截面mm2:70/10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钢芯铝绞线,JL/G1A,70/10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钢芯铝绞线-型号:JL/G1A,标称截面mm2:70/10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钢芯铝绞线,JL/G1A,70/10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钢芯铝绞线-型号:JL/G1A,标称截面mm2:70/10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钢芯铝绞线,JL/G1A,70/10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钢芯铝绞线-型号:JL/G1A,标称截面mm2:70/10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钢芯铝绞线,JL/G1A,70/10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钢芯铝绞线-型号:JL/G1A,标称截面mm2:70/10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钢芯铝绞线,JL/G1A,95/15</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钢芯铝绞线-型号:JL/G1A,标称截面mm2:95/15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高压计量柜,AC10kV</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高压开关柜,AC10kV,分段断路器柜,小车式,1250A,25kA,真空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海拔修正为3000米高压开关柜-电压等级:AC10kV,类型:分段断路器柜,柜型:小车式,额定电流:1250A,额定开断电流:25kA,断路器灭弧介质:真空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高压开关柜,AC10kV,分段断路器柜,小车式,1250A,31.5kA,真空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海拔修正为3000米高压开关柜-电压等级:AC10kV,类型:分段断路器柜,柜型:小车式,额定电流:1250A,额定开断电流:31.5kA,断路器灭弧介质:真空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高压开关柜,AC10kV,分段断路器柜,小车式,1250A,31.5kA,真空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海拔修正为4000米高压开关柜-电压等级:AC10kV,类型:分段断路器柜,柜型:小车式,额定电流:1250A,额定开断电流:31.5kA,断路器灭弧介质:真空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高压开关柜,AC10kV,分段隔离柜,小车式,1250A,无开关,无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海拔修正为3000米高压开关柜-电压等级:AC10kV,类型:分段隔离柜,柜型:小车式,额定电流:1250A,额定开断电流:无开关,断路器灭弧介质:无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高压开关柜,AC10kV,分段隔离柜,小车式,1250A,无开关,无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海拔修正为4000米高压开关柜-电压等级:AC10kV,类型:分段隔离柜,柜型:小车式,额定电流:1250A,额定开断电流:无开关,断路器灭弧介质:无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高压开关柜,AC10kV,进线开关柜,小车式,1250A,25kA,真空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海拔修正为3000米高压开关柜-电压等级:AC10kV,类型:进线开关柜,柜型:小车式,额定电流:1250A,额定开断电流:25kA,断路器灭弧介质:真空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高压开关柜,AC10kV,进线开关柜,小车式,1250A,25kA,真空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海拔修正4000米。高压开关柜-电压等级:AC10kV,类型:进线开关柜,柜型:小车式,额定电流:1250A,额定开断电流:25kA,断路器灭弧介质:真空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高压开关柜,AC10kV,进线开关柜,小车式,1250A,31.5kA,真空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海拔修正为3000米高压开关柜-电压等级:AC10kV,类型:进线开关柜,柜型:小车式,额定电流:1250A,额定开断电流:31.5kA,断路器灭弧介质:真空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高压开关柜,AC10kV,进线开关柜,小车式,1250A,31.5kA,真空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海拔修正为4000米高压开关柜-电压等级:AC10kV,类型:进线开关柜,柜型:小车式,额定电流:1250A,额定开断电流:31.5kA,断路器灭弧介质:真空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高压开关柜,AC10kV,进线开关柜,小车式,630A,20kA,真空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海拔修正为3000米高压开关柜-电压等级:AC10kV,类型:进线开关柜,柜型:小车式,额定电流:630A,额定开断电流:20kA,断路器灭弧介质:真空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高压开关柜,AC10kV,馈线开关柜,小车式,1250A,25kA,真空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海拔修正为3000米高压开关柜-电压等级:AC10kV,类型:馈线开关柜,柜型:小车式,额定电流:1250A,额定开断电流:25kA,断路器灭弧介质:真空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高压开关柜,AC10kV,馈线开关柜,小车式,1250A,31.5kA,真空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海拔修正为4000米高压开关柜-电压等级:AC10kV,类型:馈线开关柜,柜型:小车式,额定电流:1250A,额定开断电流:31.5kA,断路器灭弧介质:真空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高压开关柜,AC10kV,馈线开关柜,小车式,1250A,31.5kA,真空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海拔修正为4000米高压开关柜-电压等级:AC10kV,类型:馈线开关柜,柜型:小车式,额定电流:1250A,额定开断电流:31.5kA,断路器灭弧介质:真空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高压开关柜,AC10kV,馈线开关柜,小车式,630A,20kA,真空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海拔修正为3000米高压开关柜-电压等级:AC10kV,类型:馈线开关柜,柜型:小车式,额定电流:630A,额定开断电流:20kA,断路器灭弧介质:真空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440018846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高压开关柜,AC10kV,馈线开关柜,小车式,630A,20kA,真空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高压开关柜-电压等级:AC10kV,类型:馈线开关柜,柜型:小车式,额定电流:630A,额定开断电流:20kA,断路器灭弧介质:真空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高压开关柜,AC10kV,馈线开关柜,小车式,630A,20kA,真空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海拔修正4000米。高压开关柜-电压等级:AC10kV,类型:馈线开关柜,柜型:小车式,额定电流:630A,额定开断电流:20kA,断路器灭弧介质:真空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高压开关柜,AC10kV,母线设备柜,小车式,1250A,无开关,无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海拔修正为3000米高压开关柜-电压等级:AC10kV,类型:母线设备柜,柜型:小车式,额定电流:1250A,额定开断电流:无开关,断路器灭弧介质:无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高压开关柜,AC10kV,母线设备柜,小车式,1250A,无开关,无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海拔修正为4000米高压开关柜-电压等级:AC10kV,类型:母线设备柜,柜型:小车式,额定电流:1250A,额定开断电流:无开关,断路器灭弧介质:无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高压开关柜,AC10kV,母线设备柜,小车式,630A,无开关,无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海拔修正为3000米高压开关柜-电压等级:AC10kV,类型:母线设备柜,柜型:小车式,额定电流:630A,额定开断电流:无开关,断路器灭弧介质:无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高压开关柜,AC10kV,站用变开关柜,小车式,1250A,无开关,无</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海拔修正为3000米高压开关柜-电压等级:AC10kV,类型:站用变开关柜,柜型:小车式,额定电流:1250A,额定开断电流:无开关,断路器灭弧介质:无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环网柜,AC10kV,630A,电压互感器柜,固体绝缘,户内</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环网柜-电压等级:AC10kV,额定电流:630A,回路描述:电压互感器柜,绝缘形式:固体绝缘,型号:户内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环网柜,AC10kV,630A,断路器柜,固体绝缘,户内</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环网柜-电压等级:AC10kV,额定电流:630A,回路描述:断路器柜,绝缘形式:固体绝缘,型号:户内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440018953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环网柜,AC10kV,630A,断路器柜,固体绝缘,户内</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环网柜-电压等级:AC10kV,额定电流:630A,回路描述:断路器柜,绝缘形式:固体绝缘,型号:户内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高压开关柜</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440018953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环网柜,AC10kV,630A,计量柜,空气,户内</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工程所需环网柜-电压等级:AC10kV,额定电流:630A,回路描述:计量柜,绝缘形式:空气,型号:户内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海拔修正4500米高压熔断器-电压等级:AC10kV,类型:跌落式,额定熔断电流:200A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业扩项目寄存物资，海拔修正4000米高压熔断器-电压等级:AC10kV,类型:跌落式,额定熔断电流:200A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高压熔断器（跌落式）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高压熔断器,AC10kV,跌落式,200A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海拔修正4000米。高压熔断器-电压等级:AC10kV,类型:跌落式,额定熔断电流:200A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高压熔断器（喷射式）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高压熔断器,AC10kV,喷射式,50A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工程需要，海拔修正4000米高压熔断器-电压等级:AC10kV,类型:喷射式,额定熔断电流:50A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高压熔断器（喷射式）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高压熔断器,AC10kV,喷射式,50A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工程实际需要，海拔修正4000米高压熔断器-电压等级:AC10kV,类型:喷射式,额定熔断电流:50A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高压熔断器（喷射式）</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高压熔断器,AC10kV,喷射式,50A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工程实际需求高压熔断器-电压等级:AC10kV,类型:喷射式,额定熔断电流:50A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交流棒形悬式复合绝缘子,FXBW-10/70,310,350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交流棒形悬式复合绝缘子-型号:FXBW-10/70,公称结构高度mm:310,公称爬电距离mm:350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交流棒形悬式复合绝缘子,FXBW-10/70,310,350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交流棒形悬式复合绝缘子-型号:FXBW-10/70,公称结构高度mm:310,公称爬电距离mm:350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海拔修正为4500米交流棒形悬式复合绝缘子-型号:FXBW-10/70,公称结构高度mm:390,公称爬电距离mm:490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项目需要交流棒形悬式复合绝缘子-型号:FXBW-10/70,公称结构高度mm:390,公称爬电距离mm:490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工程实际需求交流棒形悬式复合绝缘子-型号:FXBW-10/70,公称结构高度mm:390,公称爬电距离mm:490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工程需要，业扩项目寄存物资，海拔修正4000米交流棒形悬式复合绝缘子-型号:FXBW-10/70,公称结构高度mm:390,公称爬电距离mm:490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工程实际需要，海拔修正4000米交流棒形悬式复合绝缘子-型号:FXBW-10/70,公称结构高度mm:390,公称爬电距离mm:490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交流棒形悬式复合绝缘子,FXBW-10/70,390,490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海拔修正4000米。交流棒形悬式复合绝缘子-型号:FXBW-10/70,公称结构高度mm:390,公称爬电距离mm:490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海拔修正为4500米交流避雷器-电压等级:AC10kV,额定电压:17kV,外绝缘材质:硅橡胶,雷电额定残压:50kV,是否带间隙:不带间隙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440018939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交流避雷器,AC10kV,17kV,硅橡胶,50kV,不带间隙</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海拔修正4000米。交流避雷器-电压等级:AC10kV,额定电压:17kV,外绝缘材质:硅橡胶,雷电额定残压:50kV,是否带间隙:不带间隙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业扩项目寄存物资，海拔修正4000米交流盘形悬式瓷绝缘子-型号:U70B/146,公称直径mm:255,公称爬电距离mm:320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交流盘形悬式瓷绝缘子,U70B/146,255,320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海拔修正4000米。交流盘形悬式瓷绝缘子-型号:U70B/146,公称直径mm:255,公称爬电距离mm:320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1/3，台即为组。海拔修正4000米接地短路故障指示器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8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海拔修正4000米接地短路故障指示器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接地铁,圆钢,石墨烯合金,φ16,1200mm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接地铁-组合方式:圆钢,表面处理方式:石墨烯合金,主材规格:φ16,长度mm:1200mm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接地铁,圆钢,石墨烯合金,φ16,1200mm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接地铁-组合方式:圆钢,表面处理方式:石墨烯合金,主材规格:φ16,长度mm:1200mm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接地铁,圆钢,石墨烯合金,φ16,1200mm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接地铁-组合方式:圆钢,表面处理方式:石墨烯合金,主材规格:φ16,长度mm:1200mm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接地铁,圆钢,石墨烯合金,φ16,1200mm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接地铁-组合方式:圆钢,表面处理方式:石墨烯合金,主材规格:φ16,长度mm:1200mm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接地铁,圆钢,石墨烯合金,φ16,1200mm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接地铁-组合方式:圆钢,表面处理方式:石墨烯合金,主材规格:φ16,长度mm:1200mm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保护金具-防振锤,FDYJ-2/4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保护金具-防振锤-型号:FDYJ-2/4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保护金具-防振锤,FDZ-4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保护金具-防振锤-型号:FDZ-4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保护金具-防振锤,FRYJ-1/2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保护金具-防振锤-型号:FRYJ-1/2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接续金具-并沟线夹,JBB-2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接续金具-并沟线夹-型号:JBB-2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接续金具-接地线夹,JDL-50-240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接续金具-接地线夹-型号:JDL-50-240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接续金具-异型并沟线夹,JBL-50-240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接续金具-异型并沟线夹-型号:JBL-50-240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440019000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拉线金具-UT型线夹,NUT-2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拉线金具-UT型线夹-型号:NUT-2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440019000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拉线金具-钢线卡子,JK-2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拉线金具-钢线卡子-型号:JK-2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440019000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拉线金具-锲型线夹,NX-2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拉线金具-锲型线夹-型号:NX-2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联结金具-U型挂环,U-10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联结金具-U型挂环-型号:U-10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联结金具-U型挂环,UB-10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联结金具-U型挂环,UJ-1880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联结金具-U型挂环-型号:UJ-1880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联结金具-U型挂环,UJ-1880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联结金具-U型挂环-型号:UJ-1880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联结金具-U型挂环,UL-21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联结金具-平行挂板,PD-10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业扩项目寄存物资联结金具-球头挂环-型号:Q-7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业扩项目寄存物资联结金具-球头挂环-型号:Q-7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联结金具-球头挂环,QP-7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联结金具-球头挂环-型号:QP-7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联结金具-碗头挂板,W-7B</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联结金具-碗头挂板-型号:W-7B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联结金具-碗头挂板,WS-7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联结金具-碗头挂板-型号:WS-7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联结金具-延长环,PH-10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联结金具-延长环-型号:PH-10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联结金具-延长环,PH-10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联结金具-延长环-型号:PH-10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联结金具-延长环,PH-10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联结金具-延长环-型号:PH-10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联结金具-延长环,PH-10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联结金具-延长环-型号:PH-10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联结金具-直角挂板,Z-10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联结金具-直角挂板,Z-7</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联结金具-直角挂板-型号:Z-7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耐张线夹-螺栓型,NLL-1</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耐张线夹-螺栓型,NLL-4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耐张线夹-螺栓型-型号:NLL-4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悬垂线夹-回转型,XGU-2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悬垂线夹-回转型-型号:XGU-2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悬垂线夹-回转型,XGU-2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9906-500020383-00004悬垂线夹-回转型-型号:XGU-2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控制电缆,KVVP2,2.5,4,ZR,22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非配电网物资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控制电缆,KVVP2,2.5,7,ZR,22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非配电网物资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440018908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控制电缆,KVVP2,4,4,ZR,22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非配电网物资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控制电缆,KVVP2,6,2,ZR,22</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控制电缆,KYJYP2,10,2,NH,23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根据工程实际需求选用控制电缆-型号:KYJYP2,截面mm2:10,芯数:2,防护特性:NH,铠装形式:23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控制电缆,KYJYP2,2.5,10,ZCN,23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控制电缆,KYJYP2,2.5,10,ZCN,23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控制电缆,KYJYP2,2.5,10,ZCN,23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控制电缆,KYJYP2,2.5,14,ZCN,23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控制电缆,KYJYP2,2.5,14,ZCN,23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控制电缆,KYJYP2,2.5,19,ZCN,23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控制电缆,KYJYP2,2.5,4,ZCN,23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控制电缆,KYJYP2,2.5,7,ZCN,23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因气候条件不满足材料性质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控制电缆,KYJYP2,2.5,7,ZCN,23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控制电缆,KYJYP2,4,2,NH,23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控制电缆,KYJYP2,4,4,ZCN,23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控制电缆,KYJYP2,4,4,ZCN,23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440018789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控制电缆,KYJYP2,4,7,ZCN,23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因气候条件不满足材料性质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控制电缆,KYJYP2,4,7,ZCN,23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控制电缆,KYJYP2,4,7,ZCN,23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440018896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控制电缆,KYJYP2,4,7,ZCN,23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控制电缆,KYJYP2,4,7,ZCN,23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9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440019040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控制电缆,KYJYP2,6,2,NH,23</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根据工程实际需求配置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业扩项目寄存物资，海拔修正4000米拉紧绝缘子-型号:JH10-90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拉紧绝缘子,JH10-90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海拔修正4000米。拉紧绝缘子-型号:JH10-90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配电箱,户外,3回路200kVA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海拔修正4000米。配电箱-使用环境:户外,回路数:3回路200kVA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配电箱,户外,4回路400kVA</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海拔修正4000米。配电箱-使用环境:户外,回路数:4回路400kVA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配电终端,配变终端(TTU)</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工程实际需要配电终端-类型:配变终端(TTU)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配电终端,配变终端(TTU)</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工程所需配电终端-类型:配变终端(TTU)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配电终端,配变终端(TTU)</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工程需要,海拔修正4000米配电终端-类型:配变终端(TTU)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配电终端,配变终端(TTU)</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工程需要配电终端-类型:配变终端(TTU)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配电终端,配变终端(TTU)</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工程需要，海拔修正4000米配电终端-类型:配变终端(TTU)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配电终端,配变终端(TTU)</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工程实际需要，海拔修正4000米配电终端-类型:配变终端(TTU)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配电终端,配变终端(TTU)</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因工程实际需求配电终端-类型:配变终端(TTU)</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水泥制品,拉盘,500×1000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水泥制品-类型:拉盘,规格:500×1000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水泥制品,拉盘,500×1000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水泥制品-类型:拉盘,规格:500×1000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水泥制品,拉盘,500×1000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水泥制品-类型:拉盘,规格:500×1000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水泥制品,拉盘,500×1000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水泥制品-类型:拉盘,规格:500×1000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寄售物资铁构件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5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440018873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440018873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440019030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通信单元,本地,1级三相表,HPLC,无,OFDM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通信单元-通信单元类别:本地,适用终端/表类型:1级三相表,通信方式:HPLC,频率范围/中心频率:无,调制方式:OFDM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440018873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440018873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440019030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通信单元,本地,2级单相表,HPLC,无,OFDM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通信单元-通信单元类别:本地,适用终端/表类型:2级单相表,通信方式:HPLC,频率范围/中心频率:无,调制方式:OFDM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440019030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通信单元,本地,采集器I型,HPLC,无,OFDM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通信单元-通信单元类别:本地,适用终端/表类型:采集器I型,通信方式:HPLC,频率范围/中心频率:无,调制方式:OFDM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440018943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440018964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440018972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440019030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通信单元,本地,集中器I型,HPLC,无,OFDM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通信单元-通信单元类别:本地,适用终端/表类型:集中器I型,通信方式:HPLC,频率范围/中心频率:无,调制方式:OFDM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线路柱式瓷绝缘子,R5ET105L,125,283,360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海拔修正为3000米线路柱式瓷绝缘子-型号:R5ET105L,公称直径mm:125,公称结构高度mm:283,公称爬电距离mm:360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3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线路柱式瓷绝缘子,R12.5ET150N,170,336,534</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一二次融合成套环网箱（SF6）</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一二次融合成套环网箱,AC10kV,630A,SF6,二进四出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海拔修正未3000米一二次融合成套环网箱-电压等级:AC10kV,额定电流:630A,绝缘形式:SF6,回路数:二进四出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一二次融合成套环网箱（SF6）</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一二次融合成套环网箱,AC10kV,630A,SF6,二进四出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海拔修正为3000米一二次融合成套环网箱-电压等级:AC10kV,额定电流:630A,绝缘形式:SF6,回路数:二进四出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一二次融合成套环网箱（SF6）</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一二次融合成套环网箱,AC10kV,630A,SF6,二进四出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海拔修正为3000米一二次融合成套环网箱-电压等级:AC10kV,额定电流:630A,绝缘形式:SF6,回路数:二进四出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一二次融合成套环网箱（SF6）</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一二次融合成套环网箱,AC10kV,630A,SF6,二进四出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海拔修正为3000米一二次融合成套环网箱-电压等级:AC10kV,额定电流:630A,绝缘形式:SF6,回路数:二进四出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一二次融合成套环网箱（SF6）</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一二次融合成套环网箱,AC10kV,630A,SF6,二进四出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海拔修正3000米一二次融合成套环网箱-电压等级:AC10kV,额定电流:630A,绝缘形式:SF6,回路数:二进四出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一二次融合成套环网箱（SF6）</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一二次融合成套环网箱,AC10kV,630A,SF6,二进四出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海拔修正为3000米一二次融合成套环网箱-电压等级:AC10kV,额定电流:630A,绝缘形式:SF6,回路数:二进四出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一二次融合成套环网箱（SF6）</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440018939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一二次融合成套环网箱,AC10kV,630A,SF6,二进四出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海拔修正为3000米一二次融合成套环网箱-电压等级:AC10kV,额定电流:630A,绝缘形式:SF6,回路数:二进四出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一二次融合成套环网箱（固体）</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一二次融合成套环网箱,AC10kV,630A,固体,二进四出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海拔修正4000米一二次融合成套环网箱-电压等级:AC10kV,额定电流:630A,绝缘形式:固体,回路数:二进四出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5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一二次融合成套环网箱（固体）</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一二次融合成套环网箱,AC10kV,630A,固体,二进四出</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海拔修正4000米一二次融合成套环网箱-电压等级:AC10kV,额定电流:630A,绝缘形式:固体,回路数:二进四出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海拔修改为4500米一二次融合成套柱上断路器-电压等级:AC10kV,额定电流:630A,额定开断电流:20kA,使用环境:户外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业扩项目寄存物资，海拔修正4000米一二次融合成套柱上断路器-电压等级:AC10kV,额定电流:630A,额定开断电流:20kA,使用环境:户外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440019133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海拔修正为4000米,配置绝缘护套一二次融合成套柱上断路器-电压等级:AC10kV,额定电流:630A,额定开断电流:20kA,使用环境:户外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65"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1369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一二次融合成套柱上断路器（常规）</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一二次融合成套柱上断路器（深度融合）</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一二次融合成套柱上断路器（深度融合）</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440019180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一二次融合成套柱上断路器,AC10kV,630A,20kA,户外</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一二次融合成套柱上断路器-电压等级:AC10kV,额定电流:630A,额定开断电流:20kA,使用环境:户外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海拔修正为3000米针式瓷绝缘子-型号:P-6T,瓷件高度mm:120,爬电距离mm:150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440018924</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业扩项目寄存物资，海拔修正4000米针式瓷绝缘子-型号:P-6T,瓷件高度mm:120,爬电距离mm:150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针式瓷绝缘子,P-6T,120,150</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海拔修正4000米。针式瓷绝缘子-型号:P-6T,瓷件高度mm:120,爬电距离mm:150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锥形水泥杆,非预应力,整根杆,10m,190mm,I</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锥形水泥杆-类型:非预应力,杆型:整根杆,杆长m:10m,梢径mm:190mm,强度等级:I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1389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锥形水泥杆,非预应力,整根杆,10m,190mm,I</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锥形水泥杆-类型:非预应力,杆型:整根杆,杆长m:10m,梢径mm:190mm,强度等级:I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等径水泥杆,300mm,9m,18φ16,上</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等径水泥杆-直径mm:300mm,杆段长m:9m,配筋:18φ16,安装位置:上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540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等径水泥杆,300mm,9m,18φ16,下</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等径水泥杆-直径mm:300mm,杆段长m:9m,配筋:18φ16,安装位置:下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440018991</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440018689</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锥形水泥杆,非预应力,整根杆,10m,190mm,I</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锥形水泥杆-类型:非预应力,杆型:整根杆,杆长m:10m,梢径mm:190mm,强度等级:I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440018667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440018265</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锥形水泥杆,非预应力,整根杆,10m,190mm,I</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锥形水泥杆-类型:非预应力,杆型:整根杆,杆长m:10m,梢径mm:190mm,强度等级:I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440018816</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1399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锥形水泥杆,非预应力,法兰组装杆,15m,190mm,M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锥形水泥杆,非预应力,法兰组装杆,12m,190mm,M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锥形水泥杆,非预应力,法兰组装杆,18m,190mm,M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440018992</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锥形水泥杆,非预应力,整根杆,10m,190mm,I</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锥形水泥杆-类型:非预应力,杆型:整根杆,杆长m:10m,梢径mm:190mm,强度等级:I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锥形水泥杆,非预应力,法兰组装杆,12m,230mm,N</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因工程实际需求锥形水泥杆-类型:非预应力,杆型:法兰组装杆,杆长m:12m,梢径mm:230mm,强度等级:N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440019023</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锥形水泥杆,非预应力,整根杆,10m,190mm,I</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锥形水泥杆-类型:非预应力,杆型:整根杆,杆长m:10m,梢径mm:190mm,强度等级:I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锥形水泥杆,非预应力,整根杆,10m,190mm,I</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锥形水泥杆-类型:非预应力,杆型:整根杆,杆长m:10m,梢径mm:190mm,强度等级:I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1409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440018928</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业扩项目寄存物资锥形水泥杆-类型:非预应力,杆型:整根杆,杆长m:12m,梢径mm:190mm,强度等级:M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440018817</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锥形水泥杆,非预应力,法兰组装杆,12m,230mm,N</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工程所需锥形水泥杆-类型:非预应力,杆型:法兰组装杆,杆长m:12m,梢径mm:230mm,强度等级:N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10" w:hRule="atLeast"/>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440018910</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50</w:t>
            </w:r>
          </w:p>
        </w:tc>
        <w:tc>
          <w:tcPr>
            <w:tcW w:w="2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锥形水泥杆,非预应力,整根杆,12m,190mm,M</w:t>
            </w:r>
          </w:p>
        </w:tc>
        <w:tc>
          <w:tcPr>
            <w:tcW w:w="3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锥形水泥杆-类型:非预应力,杆型:整根杆,杆长m:12m,梢径mm:190mm,强度等级:M</w:t>
            </w:r>
          </w:p>
        </w:tc>
      </w:tr>
    </w:tbl>
    <w:p>
      <w:pPr>
        <w:rPr>
          <w:rFonts w:cs="宋体"/>
          <w:sz w:val="11"/>
          <w:szCs w:val="11"/>
          <w:lang w:eastAsia="zh-CN"/>
        </w:rPr>
      </w:pPr>
      <w:r>
        <w:rPr>
          <w:rFonts w:cs="宋体"/>
          <w:sz w:val="11"/>
          <w:szCs w:val="11"/>
          <w:lang w:eastAsia="zh-CN"/>
        </w:rPr>
        <w:br w:type="page"/>
      </w:r>
    </w:p>
    <w:p>
      <w:pPr>
        <w:pStyle w:val="3"/>
        <w:bidi w:val="0"/>
        <w:rPr>
          <w:rFonts w:hint="eastAsia"/>
          <w:lang w:val="en-US" w:eastAsia="zh-CN"/>
        </w:rPr>
      </w:pPr>
      <w:r>
        <w:rPr>
          <w:rFonts w:hint="eastAsia"/>
          <w:lang w:val="en-US" w:eastAsia="zh-CN"/>
        </w:rPr>
        <w:t>附件2</w:t>
      </w:r>
    </w:p>
    <w:p>
      <w:pPr>
        <w:rPr>
          <w:rFonts w:hint="default"/>
          <w:lang w:val="en-US" w:eastAsia="zh-CN"/>
        </w:rPr>
      </w:pPr>
      <w:r>
        <w:rPr>
          <w:rFonts w:hint="default"/>
          <w:lang w:val="en-US" w:eastAsia="zh-CN"/>
        </w:rPr>
        <w:drawing>
          <wp:inline distT="0" distB="0" distL="114300" distR="114300">
            <wp:extent cx="5347335" cy="8218805"/>
            <wp:effectExtent l="0" t="0" r="5715" b="10795"/>
            <wp:docPr id="10" name="图片 10"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01"/>
                    <pic:cNvPicPr>
                      <a:picLocks noChangeAspect="1"/>
                    </pic:cNvPicPr>
                  </pic:nvPicPr>
                  <pic:blipFill>
                    <a:blip r:embed="rId8"/>
                    <a:stretch>
                      <a:fillRect/>
                    </a:stretch>
                  </pic:blipFill>
                  <pic:spPr>
                    <a:xfrm>
                      <a:off x="0" y="0"/>
                      <a:ext cx="5347335" cy="8218805"/>
                    </a:xfrm>
                    <a:prstGeom prst="rect">
                      <a:avLst/>
                    </a:prstGeom>
                  </pic:spPr>
                </pic:pic>
              </a:graphicData>
            </a:graphic>
          </wp:inline>
        </w:drawing>
      </w:r>
      <w:r>
        <w:rPr>
          <w:rFonts w:hint="default"/>
          <w:lang w:val="en-US" w:eastAsia="zh-CN"/>
        </w:rPr>
        <w:drawing>
          <wp:inline distT="0" distB="0" distL="114300" distR="114300">
            <wp:extent cx="6125845" cy="8807450"/>
            <wp:effectExtent l="0" t="0" r="8255" b="12700"/>
            <wp:docPr id="9" name="图片 9"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02"/>
                    <pic:cNvPicPr>
                      <a:picLocks noChangeAspect="1"/>
                    </pic:cNvPicPr>
                  </pic:nvPicPr>
                  <pic:blipFill>
                    <a:blip r:embed="rId9"/>
                    <a:stretch>
                      <a:fillRect/>
                    </a:stretch>
                  </pic:blipFill>
                  <pic:spPr>
                    <a:xfrm>
                      <a:off x="0" y="0"/>
                      <a:ext cx="6125845" cy="8807450"/>
                    </a:xfrm>
                    <a:prstGeom prst="rect">
                      <a:avLst/>
                    </a:prstGeom>
                  </pic:spPr>
                </pic:pic>
              </a:graphicData>
            </a:graphic>
          </wp:inline>
        </w:drawing>
      </w:r>
      <w:r>
        <w:rPr>
          <w:rFonts w:hint="default"/>
          <w:lang w:val="en-US" w:eastAsia="zh-CN"/>
        </w:rPr>
        <w:drawing>
          <wp:inline distT="0" distB="0" distL="114300" distR="114300">
            <wp:extent cx="6229985" cy="8807450"/>
            <wp:effectExtent l="0" t="0" r="18415" b="12700"/>
            <wp:docPr id="8" name="图片 8"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03"/>
                    <pic:cNvPicPr>
                      <a:picLocks noChangeAspect="1"/>
                    </pic:cNvPicPr>
                  </pic:nvPicPr>
                  <pic:blipFill>
                    <a:blip r:embed="rId10"/>
                    <a:stretch>
                      <a:fillRect/>
                    </a:stretch>
                  </pic:blipFill>
                  <pic:spPr>
                    <a:xfrm>
                      <a:off x="0" y="0"/>
                      <a:ext cx="6229985" cy="8807450"/>
                    </a:xfrm>
                    <a:prstGeom prst="rect">
                      <a:avLst/>
                    </a:prstGeom>
                  </pic:spPr>
                </pic:pic>
              </a:graphicData>
            </a:graphic>
          </wp:inline>
        </w:drawing>
      </w:r>
      <w:r>
        <w:rPr>
          <w:rFonts w:hint="default"/>
          <w:lang w:val="en-US" w:eastAsia="zh-CN"/>
        </w:rPr>
        <w:drawing>
          <wp:inline distT="0" distB="0" distL="114300" distR="114300">
            <wp:extent cx="6125845" cy="8807450"/>
            <wp:effectExtent l="0" t="0" r="8255" b="12700"/>
            <wp:docPr id="7" name="图片 7" descr="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04"/>
                    <pic:cNvPicPr>
                      <a:picLocks noChangeAspect="1"/>
                    </pic:cNvPicPr>
                  </pic:nvPicPr>
                  <pic:blipFill>
                    <a:blip r:embed="rId11"/>
                    <a:stretch>
                      <a:fillRect/>
                    </a:stretch>
                  </pic:blipFill>
                  <pic:spPr>
                    <a:xfrm>
                      <a:off x="0" y="0"/>
                      <a:ext cx="6125845" cy="8807450"/>
                    </a:xfrm>
                    <a:prstGeom prst="rect">
                      <a:avLst/>
                    </a:prstGeom>
                  </pic:spPr>
                </pic:pic>
              </a:graphicData>
            </a:graphic>
          </wp:inline>
        </w:drawing>
      </w:r>
    </w:p>
    <w:p>
      <w:pPr>
        <w:pStyle w:val="3"/>
        <w:bidi w:val="0"/>
      </w:pPr>
      <w:r>
        <w:t>附件</w:t>
      </w:r>
      <w:r>
        <w:rPr>
          <w:rFonts w:hint="eastAsia"/>
          <w:lang w:val="en-US" w:eastAsia="zh-CN"/>
        </w:rPr>
        <w:t>3</w:t>
      </w:r>
      <w:r>
        <w:rPr>
          <w:rFonts w:hint="eastAsia"/>
        </w:rPr>
        <w:t>：</w:t>
      </w:r>
      <w:r>
        <w:t>招标人、招标代理机构及投标人关于招标代理服务费的三方约定</w:t>
      </w:r>
    </w:p>
    <w:p>
      <w:pPr>
        <w:autoSpaceDE w:val="0"/>
        <w:autoSpaceDN w:val="0"/>
        <w:adjustRightInd w:val="0"/>
        <w:snapToGrid w:val="0"/>
        <w:rPr>
          <w:rFonts w:hint="eastAsia" w:ascii="方正仿宋_GBK" w:hAnsi="方正仿宋_GBK" w:eastAsia="方正仿宋_GBK" w:cs="方正仿宋_GBK"/>
          <w:b/>
          <w:color w:val="FF0000"/>
          <w:sz w:val="32"/>
          <w:szCs w:val="32"/>
        </w:rPr>
      </w:pPr>
      <w:r>
        <w:rPr>
          <w:rFonts w:hint="eastAsia" w:ascii="方正仿宋_GBK" w:hAnsi="方正仿宋_GBK" w:eastAsia="方正仿宋_GBK" w:cs="方正仿宋_GBK"/>
          <w:b/>
          <w:color w:val="FF0000"/>
          <w:sz w:val="32"/>
          <w:szCs w:val="32"/>
        </w:rPr>
        <w:t>招标人、招标代理机构与投标人三方约定</w:t>
      </w:r>
    </w:p>
    <w:p>
      <w:pPr>
        <w:pStyle w:val="133"/>
        <w:spacing w:line="400" w:lineRule="exact"/>
        <w:ind w:firstLine="640" w:firstLineChars="200"/>
        <w:rPr>
          <w:rFonts w:hint="eastAsia" w:ascii="方正仿宋_GBK" w:hAnsi="方正仿宋_GBK" w:eastAsia="方正仿宋_GBK" w:cs="方正仿宋_GBK"/>
          <w:b/>
          <w:bCs/>
          <w:color w:val="FF0000"/>
          <w:sz w:val="32"/>
          <w:szCs w:val="32"/>
          <w:lang w:eastAsia="zh-CN"/>
        </w:rPr>
      </w:pPr>
      <w:r>
        <w:rPr>
          <w:rFonts w:hint="eastAsia" w:ascii="方正仿宋_GBK" w:hAnsi="方正仿宋_GBK" w:eastAsia="方正仿宋_GBK" w:cs="方正仿宋_GBK"/>
          <w:color w:val="FF0000"/>
          <w:sz w:val="32"/>
          <w:szCs w:val="32"/>
        </w:rPr>
        <w:t>▲要求为原件由</w:t>
      </w:r>
      <w:r>
        <w:rPr>
          <w:rFonts w:hint="eastAsia" w:ascii="方正仿宋_GBK" w:hAnsi="方正仿宋_GBK" w:eastAsia="方正仿宋_GBK" w:cs="方正仿宋_GBK"/>
          <w:color w:val="FF0000"/>
          <w:sz w:val="32"/>
          <w:szCs w:val="32"/>
          <w:lang w:eastAsia="zh-CN"/>
        </w:rPr>
        <w:t>法定代表人或其委托代理人</w:t>
      </w:r>
      <w:r>
        <w:rPr>
          <w:rFonts w:hint="eastAsia" w:ascii="方正仿宋_GBK" w:hAnsi="方正仿宋_GBK" w:eastAsia="方正仿宋_GBK" w:cs="方正仿宋_GBK"/>
          <w:color w:val="FF0000"/>
          <w:sz w:val="32"/>
          <w:szCs w:val="32"/>
        </w:rPr>
        <w:t>签字</w:t>
      </w:r>
      <w:r>
        <w:rPr>
          <w:rFonts w:hint="eastAsia" w:ascii="方正仿宋_GBK" w:hAnsi="方正仿宋_GBK" w:eastAsia="方正仿宋_GBK" w:cs="方正仿宋_GBK"/>
          <w:color w:val="FF0000"/>
          <w:sz w:val="32"/>
          <w:szCs w:val="32"/>
          <w:lang w:eastAsia="zh-CN"/>
        </w:rPr>
        <w:t>、</w:t>
      </w:r>
      <w:r>
        <w:rPr>
          <w:rFonts w:hint="eastAsia" w:ascii="方正仿宋_GBK" w:hAnsi="方正仿宋_GBK" w:eastAsia="方正仿宋_GBK" w:cs="方正仿宋_GBK"/>
          <w:color w:val="FF0000"/>
          <w:sz w:val="32"/>
          <w:szCs w:val="32"/>
        </w:rPr>
        <w:t>加盖单位公章后，附在商务投标文件中。</w:t>
      </w:r>
    </w:p>
    <w:tbl>
      <w:tblPr>
        <w:tblStyle w:val="34"/>
        <w:tblW w:w="8269" w:type="dxa"/>
        <w:jc w:val="center"/>
        <w:tblInd w:w="-6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134"/>
              <w:spacing w:line="360" w:lineRule="auto"/>
              <w:rPr>
                <w:rFonts w:hint="eastAsia" w:ascii="宋体" w:hAnsi="宋体" w:eastAsia="宋体" w:cs="宋体"/>
                <w:b/>
                <w:bCs/>
                <w:sz w:val="20"/>
                <w:szCs w:val="20"/>
              </w:rPr>
            </w:pPr>
          </w:p>
          <w:p>
            <w:pPr>
              <w:pStyle w:val="134"/>
              <w:spacing w:line="360" w:lineRule="auto"/>
              <w:jc w:val="center"/>
              <w:rPr>
                <w:rFonts w:hint="eastAsia" w:ascii="宋体" w:hAnsi="宋体" w:eastAsia="宋体" w:cs="宋体"/>
                <w:b/>
                <w:sz w:val="20"/>
                <w:szCs w:val="20"/>
              </w:rPr>
            </w:pPr>
            <w:r>
              <w:rPr>
                <w:rFonts w:hint="eastAsia" w:ascii="宋体" w:hAnsi="宋体" w:eastAsia="宋体" w:cs="宋体"/>
                <w:b/>
                <w:bCs/>
                <w:sz w:val="20"/>
                <w:szCs w:val="20"/>
              </w:rPr>
              <w:t>招标人、招标代理机构与投标人三方约定</w:t>
            </w:r>
          </w:p>
          <w:p>
            <w:pPr>
              <w:pStyle w:val="134"/>
              <w:rPr>
                <w:rFonts w:hint="eastAsia" w:ascii="宋体" w:hAnsi="宋体" w:eastAsia="宋体" w:cs="宋体"/>
                <w:sz w:val="20"/>
                <w:szCs w:val="20"/>
              </w:rPr>
            </w:pPr>
          </w:p>
          <w:p>
            <w:pPr>
              <w:pStyle w:val="134"/>
              <w:rPr>
                <w:rFonts w:hint="eastAsia" w:ascii="宋体" w:hAnsi="宋体" w:eastAsia="宋体" w:cs="宋体"/>
                <w:sz w:val="20"/>
                <w:szCs w:val="20"/>
              </w:rPr>
            </w:pPr>
          </w:p>
          <w:p>
            <w:pPr>
              <w:pStyle w:val="134"/>
              <w:rPr>
                <w:rFonts w:hint="eastAsia" w:ascii="宋体" w:hAnsi="宋体" w:eastAsia="宋体" w:cs="宋体"/>
                <w:sz w:val="20"/>
                <w:szCs w:val="20"/>
              </w:rPr>
            </w:pPr>
          </w:p>
          <w:p>
            <w:pPr>
              <w:pStyle w:val="135"/>
              <w:spacing w:line="360" w:lineRule="auto"/>
              <w:ind w:firstLine="400" w:firstLineChars="200"/>
              <w:rPr>
                <w:rFonts w:hint="eastAsia" w:ascii="宋体" w:hAnsi="宋体" w:eastAsia="宋体" w:cs="宋体"/>
                <w:sz w:val="20"/>
                <w:szCs w:val="20"/>
              </w:rPr>
            </w:pPr>
            <w:r>
              <w:rPr>
                <w:rFonts w:hint="eastAsia" w:ascii="宋体" w:hAnsi="宋体" w:eastAsia="宋体" w:cs="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35"/>
              <w:spacing w:line="360" w:lineRule="auto"/>
              <w:rPr>
                <w:rFonts w:hint="eastAsia" w:ascii="宋体" w:hAnsi="宋体" w:eastAsia="宋体" w:cs="宋体"/>
                <w:kern w:val="2"/>
                <w:sz w:val="20"/>
                <w:szCs w:val="20"/>
              </w:rPr>
            </w:pPr>
            <w:r>
              <w:rPr>
                <w:rFonts w:hint="eastAsia" w:ascii="宋体" w:hAnsi="宋体" w:eastAsia="宋体" w:cs="宋体"/>
                <w:kern w:val="2"/>
                <w:sz w:val="20"/>
                <w:szCs w:val="20"/>
              </w:rPr>
              <w:t xml:space="preserve">                            </w:t>
            </w:r>
            <w:r>
              <w:rPr>
                <w:rFonts w:hint="eastAsia" w:ascii="宋体" w:hAnsi="宋体" w:eastAsia="宋体" w:cs="宋体"/>
                <w:sz w:val="20"/>
                <w:szCs w:val="20"/>
              </w:rPr>
              <w:t>法定代表人或其委托代理人签字</w:t>
            </w:r>
            <w:r>
              <w:rPr>
                <w:rFonts w:hint="eastAsia" w:ascii="宋体" w:hAnsi="宋体" w:eastAsia="宋体" w:cs="宋体"/>
                <w:kern w:val="2"/>
                <w:sz w:val="20"/>
                <w:szCs w:val="20"/>
              </w:rPr>
              <w:t>：</w:t>
            </w:r>
          </w:p>
          <w:p>
            <w:pPr>
              <w:pStyle w:val="135"/>
              <w:spacing w:line="360" w:lineRule="auto"/>
              <w:rPr>
                <w:rFonts w:hint="eastAsia" w:ascii="宋体" w:hAnsi="宋体" w:eastAsia="宋体" w:cs="宋体"/>
                <w:kern w:val="2"/>
                <w:sz w:val="20"/>
                <w:szCs w:val="20"/>
              </w:rPr>
            </w:pPr>
          </w:p>
          <w:p>
            <w:pPr>
              <w:pStyle w:val="135"/>
              <w:spacing w:line="360" w:lineRule="auto"/>
              <w:rPr>
                <w:rFonts w:hint="eastAsia" w:ascii="宋体" w:hAnsi="宋体" w:eastAsia="宋体" w:cs="宋体"/>
                <w:kern w:val="2"/>
                <w:sz w:val="20"/>
                <w:szCs w:val="20"/>
              </w:rPr>
            </w:pPr>
          </w:p>
          <w:p>
            <w:pPr>
              <w:pStyle w:val="135"/>
              <w:spacing w:line="360" w:lineRule="auto"/>
              <w:rPr>
                <w:rFonts w:hint="eastAsia" w:ascii="宋体" w:hAnsi="宋体" w:eastAsia="宋体" w:cs="宋体"/>
                <w:kern w:val="2"/>
                <w:sz w:val="20"/>
                <w:szCs w:val="20"/>
              </w:rPr>
            </w:pPr>
            <w:r>
              <w:rPr>
                <w:rFonts w:hint="eastAsia" w:ascii="宋体" w:hAnsi="宋体" w:eastAsia="宋体" w:cs="宋体"/>
                <w:kern w:val="2"/>
                <w:sz w:val="20"/>
                <w:szCs w:val="20"/>
              </w:rPr>
              <w:t xml:space="preserve">                            投标人（公章）：</w:t>
            </w:r>
          </w:p>
          <w:p>
            <w:pPr>
              <w:pStyle w:val="134"/>
              <w:ind w:firstLine="4600" w:firstLineChars="2300"/>
              <w:rPr>
                <w:rFonts w:asciiTheme="minorEastAsia" w:hAnsiTheme="minorEastAsia" w:eastAsiaTheme="minorEastAsia"/>
                <w:b/>
                <w:szCs w:val="28"/>
              </w:rPr>
            </w:pPr>
            <w:r>
              <w:rPr>
                <w:rFonts w:hint="eastAsia" w:ascii="宋体" w:hAnsi="宋体" w:eastAsia="宋体" w:cs="宋体"/>
                <w:sz w:val="20"/>
                <w:szCs w:val="20"/>
              </w:rPr>
              <w:t>年   月   日</w:t>
            </w:r>
          </w:p>
        </w:tc>
      </w:tr>
    </w:tbl>
    <w:p>
      <w:pPr>
        <w:pStyle w:val="31"/>
        <w:tabs>
          <w:tab w:val="left" w:pos="12960"/>
        </w:tabs>
        <w:ind w:left="5594" w:leftChars="1748"/>
        <w:rPr>
          <w:rFonts w:ascii="ABCDEE+黑体" w:eastAsia="ABCDEE+黑体"/>
          <w:color w:val="000000"/>
          <w:sz w:val="32"/>
          <w:szCs w:val="32"/>
        </w:rPr>
      </w:pPr>
    </w:p>
    <w:p>
      <w:pPr>
        <w:pStyle w:val="31"/>
        <w:tabs>
          <w:tab w:val="left" w:pos="12960"/>
        </w:tabs>
        <w:ind w:left="5594" w:leftChars="1748"/>
        <w:rPr>
          <w:rFonts w:ascii="ABCDEE+黑体" w:eastAsia="ABCDEE+黑体"/>
          <w:color w:val="000000"/>
          <w:sz w:val="32"/>
          <w:szCs w:val="32"/>
        </w:rPr>
      </w:pPr>
    </w:p>
    <w:p/>
    <w:p>
      <w:pPr>
        <w:pStyle w:val="2"/>
        <w:tabs>
          <w:tab w:val="left" w:pos="5880"/>
          <w:tab w:val="left" w:pos="6826"/>
          <w:tab w:val="left" w:pos="7769"/>
        </w:tabs>
        <w:ind w:left="0" w:right="102"/>
        <w:rPr>
          <w:rFonts w:cs="宋体"/>
          <w:sz w:val="11"/>
          <w:szCs w:val="11"/>
          <w:lang w:eastAsia="zh-CN"/>
        </w:rPr>
      </w:pPr>
    </w:p>
    <w:sectPr>
      <w:headerReference r:id="rId3" w:type="first"/>
      <w:footerReference r:id="rId5" w:type="first"/>
      <w:footerReference r:id="rId4" w:type="default"/>
      <w:pgSz w:w="11906" w:h="16838"/>
      <w:pgMar w:top="1440" w:right="1089" w:bottom="1440" w:left="917" w:header="851" w:footer="992" w:gutter="0"/>
      <w:pgBorders>
        <w:top w:val="none" w:sz="0" w:space="0"/>
        <w:left w:val="none" w:sz="0" w:space="0"/>
        <w:bottom w:val="none" w:sz="0" w:space="0"/>
        <w:right w:val="none" w:sz="0" w:space="0"/>
      </w:pgBorders>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黑体_GBK">
    <w:altName w:val="Arial Unicode MS"/>
    <w:panose1 w:val="00000000000000000000"/>
    <w:charset w:val="86"/>
    <w:family w:val="auto"/>
    <w:pitch w:val="default"/>
    <w:sig w:usb0="00000000" w:usb1="00000000" w:usb2="00000000" w:usb3="00000000" w:csb0="00040000" w:csb1="00000000"/>
  </w:font>
  <w:font w:name="Calibri Light">
    <w:panose1 w:val="020F0302020204030204"/>
    <w:charset w:val="00"/>
    <w:family w:val="auto"/>
    <w:pitch w:val="default"/>
    <w:sig w:usb0="E0002A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icrosoft JhengHei">
    <w:panose1 w:val="020B0604030504040204"/>
    <w:charset w:val="88"/>
    <w:family w:val="swiss"/>
    <w:pitch w:val="default"/>
    <w:sig w:usb0="000002A7" w:usb1="28CF4400" w:usb2="00000016" w:usb3="00000000" w:csb0="00100009" w:csb1="00000000"/>
  </w:font>
  <w:font w:name="方正楷体_GBK">
    <w:altName w:val="Arial Unicode MS"/>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Arial Unicode MS"/>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ABCDEE+黑体">
    <w:altName w:val="宋体"/>
    <w:panose1 w:val="00000000000000000000"/>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fldChar w:fldCharType="begin"/>
    </w:r>
    <w:r>
      <w:instrText xml:space="preserve"> PAGE   \* MERGEFORMAT </w:instrText>
    </w:r>
    <w:r>
      <w:fldChar w:fldCharType="separate"/>
    </w:r>
    <w:r>
      <w:rPr>
        <w:lang w:val="zh-CN"/>
      </w:rPr>
      <w:t>45</w:t>
    </w:r>
    <w:r>
      <w:rPr>
        <w:lang w:val="zh-CN"/>
      </w:rPr>
      <w:fldChar w:fldCharType="end"/>
    </w: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fldChar w:fldCharType="begin"/>
    </w:r>
    <w:r>
      <w:instrText xml:space="preserve"> PAGE   \* MERGEFORMAT </w:instrText>
    </w:r>
    <w:r>
      <w:fldChar w:fldCharType="separate"/>
    </w:r>
    <w:r>
      <w:rPr>
        <w:lang w:val="zh-CN"/>
      </w:rPr>
      <w:t>1</w:t>
    </w:r>
    <w:r>
      <w:rPr>
        <w:lang w:val="zh-CN"/>
      </w:rPr>
      <w:fldChar w:fldCharType="end"/>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宋体"/>
        <w:sz w:val="21"/>
        <w:szCs w:val="21"/>
        <w:lang w:eastAsia="zh-CN"/>
      </w:rPr>
    </w:pPr>
    <w:r>
      <w:rPr>
        <w:rFonts w:ascii="宋体" w:hAnsi="宋体"/>
        <w:sz w:val="21"/>
        <w:szCs w:val="21"/>
        <w:lang w:eastAsia="zh-CN"/>
      </w:rPr>
      <w:t xml:space="preserve">                                    SGTYHT/1</w:t>
    </w:r>
    <w:r>
      <w:rPr>
        <w:rFonts w:hint="eastAsia" w:ascii="宋体" w:hAnsi="宋体"/>
        <w:sz w:val="21"/>
        <w:szCs w:val="21"/>
        <w:lang w:eastAsia="zh-CN"/>
      </w:rPr>
      <w:t>6</w:t>
    </w:r>
    <w:r>
      <w:rPr>
        <w:rFonts w:ascii="宋体" w:hAnsi="宋体"/>
        <w:sz w:val="21"/>
        <w:szCs w:val="21"/>
        <w:lang w:eastAsia="zh-CN"/>
      </w:rPr>
      <w:t>-MM-1</w:t>
    </w:r>
    <w:r>
      <w:rPr>
        <w:rFonts w:hint="eastAsia" w:ascii="宋体" w:hAnsi="宋体"/>
        <w:sz w:val="21"/>
        <w:szCs w:val="21"/>
        <w:lang w:eastAsia="zh-CN"/>
      </w:rPr>
      <w:t>72协议库存物资寄存结算协议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noLineBreaksAfter w:lang="zh-CN" w:val="$([{£¥·‘“〈《「『【〔〖〝﹙﹛﹝＄（．［｛￡￥"/>
  <w:noLineBreaksBefore w:lang="zh-CN" w:val="!%),.:;&gt;?]}¢¨°·ˇˉ―‖’”…‰′″›℃∶、。〃〉》」』】〕〗〞︶︺︾﹀﹄﹚﹜﹞！＂％＇），．：；？］｀｜｝～￠"/>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E103AB"/>
    <w:rsid w:val="00006E0F"/>
    <w:rsid w:val="00015BCF"/>
    <w:rsid w:val="00017B51"/>
    <w:rsid w:val="00021D45"/>
    <w:rsid w:val="000226D5"/>
    <w:rsid w:val="000324B5"/>
    <w:rsid w:val="00035C33"/>
    <w:rsid w:val="0004273C"/>
    <w:rsid w:val="00044B60"/>
    <w:rsid w:val="00063D2B"/>
    <w:rsid w:val="00070D0E"/>
    <w:rsid w:val="0007355F"/>
    <w:rsid w:val="00077645"/>
    <w:rsid w:val="000803B6"/>
    <w:rsid w:val="00086951"/>
    <w:rsid w:val="00094FA3"/>
    <w:rsid w:val="00097C68"/>
    <w:rsid w:val="000A7FD7"/>
    <w:rsid w:val="000B1298"/>
    <w:rsid w:val="000B229F"/>
    <w:rsid w:val="000C0385"/>
    <w:rsid w:val="000C0D31"/>
    <w:rsid w:val="000C2F97"/>
    <w:rsid w:val="000D10CA"/>
    <w:rsid w:val="000D3533"/>
    <w:rsid w:val="000D6105"/>
    <w:rsid w:val="000E244C"/>
    <w:rsid w:val="000E6617"/>
    <w:rsid w:val="000F1A48"/>
    <w:rsid w:val="000F33EC"/>
    <w:rsid w:val="000F5C99"/>
    <w:rsid w:val="000F6AF0"/>
    <w:rsid w:val="000F6F8B"/>
    <w:rsid w:val="00113D63"/>
    <w:rsid w:val="001237C3"/>
    <w:rsid w:val="00137088"/>
    <w:rsid w:val="00145D83"/>
    <w:rsid w:val="001512AA"/>
    <w:rsid w:val="00161A14"/>
    <w:rsid w:val="00161BD4"/>
    <w:rsid w:val="00164E1A"/>
    <w:rsid w:val="00166169"/>
    <w:rsid w:val="00177E52"/>
    <w:rsid w:val="00180C1C"/>
    <w:rsid w:val="00184FC2"/>
    <w:rsid w:val="00185118"/>
    <w:rsid w:val="00190AA5"/>
    <w:rsid w:val="001B5B39"/>
    <w:rsid w:val="001C5F35"/>
    <w:rsid w:val="001F0EA8"/>
    <w:rsid w:val="001F14DA"/>
    <w:rsid w:val="001F27D4"/>
    <w:rsid w:val="0020171B"/>
    <w:rsid w:val="002063FA"/>
    <w:rsid w:val="00206A44"/>
    <w:rsid w:val="00207088"/>
    <w:rsid w:val="00207D4F"/>
    <w:rsid w:val="00210107"/>
    <w:rsid w:val="002136FB"/>
    <w:rsid w:val="002144AB"/>
    <w:rsid w:val="00217475"/>
    <w:rsid w:val="00217806"/>
    <w:rsid w:val="002215FB"/>
    <w:rsid w:val="00223132"/>
    <w:rsid w:val="00225833"/>
    <w:rsid w:val="00225E93"/>
    <w:rsid w:val="00245ECB"/>
    <w:rsid w:val="00246869"/>
    <w:rsid w:val="002505E7"/>
    <w:rsid w:val="00256A60"/>
    <w:rsid w:val="00262AED"/>
    <w:rsid w:val="00262B28"/>
    <w:rsid w:val="00262CA0"/>
    <w:rsid w:val="0027003A"/>
    <w:rsid w:val="002702AD"/>
    <w:rsid w:val="00286912"/>
    <w:rsid w:val="00290ABA"/>
    <w:rsid w:val="0029258B"/>
    <w:rsid w:val="00293C35"/>
    <w:rsid w:val="00296C31"/>
    <w:rsid w:val="002A1721"/>
    <w:rsid w:val="002A19F1"/>
    <w:rsid w:val="002A1F79"/>
    <w:rsid w:val="002A5ADC"/>
    <w:rsid w:val="002B0083"/>
    <w:rsid w:val="002B02A6"/>
    <w:rsid w:val="002B1959"/>
    <w:rsid w:val="002B1A46"/>
    <w:rsid w:val="002B4387"/>
    <w:rsid w:val="002C1B86"/>
    <w:rsid w:val="002C5ED1"/>
    <w:rsid w:val="002C6107"/>
    <w:rsid w:val="002D1343"/>
    <w:rsid w:val="002D47EF"/>
    <w:rsid w:val="002E4886"/>
    <w:rsid w:val="002F14AC"/>
    <w:rsid w:val="003007D5"/>
    <w:rsid w:val="0030323F"/>
    <w:rsid w:val="003142C2"/>
    <w:rsid w:val="003142E8"/>
    <w:rsid w:val="003170B4"/>
    <w:rsid w:val="003178AA"/>
    <w:rsid w:val="003249FC"/>
    <w:rsid w:val="00335769"/>
    <w:rsid w:val="00337C16"/>
    <w:rsid w:val="00351C9F"/>
    <w:rsid w:val="003805F7"/>
    <w:rsid w:val="00387051"/>
    <w:rsid w:val="003906B4"/>
    <w:rsid w:val="003943B9"/>
    <w:rsid w:val="00397A44"/>
    <w:rsid w:val="00397AE9"/>
    <w:rsid w:val="003A38A1"/>
    <w:rsid w:val="003B1F35"/>
    <w:rsid w:val="003B64A1"/>
    <w:rsid w:val="003C6597"/>
    <w:rsid w:val="003D329A"/>
    <w:rsid w:val="003D723F"/>
    <w:rsid w:val="003E178D"/>
    <w:rsid w:val="003E62D4"/>
    <w:rsid w:val="003F3814"/>
    <w:rsid w:val="003F7650"/>
    <w:rsid w:val="00403688"/>
    <w:rsid w:val="00404DE9"/>
    <w:rsid w:val="00411F29"/>
    <w:rsid w:val="00415547"/>
    <w:rsid w:val="00423C62"/>
    <w:rsid w:val="00423D3A"/>
    <w:rsid w:val="00432918"/>
    <w:rsid w:val="00437909"/>
    <w:rsid w:val="00442144"/>
    <w:rsid w:val="0045480E"/>
    <w:rsid w:val="004602D8"/>
    <w:rsid w:val="004626B7"/>
    <w:rsid w:val="00462C25"/>
    <w:rsid w:val="004654F7"/>
    <w:rsid w:val="00466EB3"/>
    <w:rsid w:val="004748ED"/>
    <w:rsid w:val="004751F2"/>
    <w:rsid w:val="004755A8"/>
    <w:rsid w:val="00477BB4"/>
    <w:rsid w:val="00492983"/>
    <w:rsid w:val="00493010"/>
    <w:rsid w:val="00493CFA"/>
    <w:rsid w:val="00496E0B"/>
    <w:rsid w:val="004B08F9"/>
    <w:rsid w:val="004C5116"/>
    <w:rsid w:val="004C51C8"/>
    <w:rsid w:val="004D2DB5"/>
    <w:rsid w:val="004D7B56"/>
    <w:rsid w:val="004D7ED3"/>
    <w:rsid w:val="004E4659"/>
    <w:rsid w:val="004E76AB"/>
    <w:rsid w:val="005006B0"/>
    <w:rsid w:val="00506337"/>
    <w:rsid w:val="00512CB1"/>
    <w:rsid w:val="00521083"/>
    <w:rsid w:val="00521198"/>
    <w:rsid w:val="00524FF9"/>
    <w:rsid w:val="005260D7"/>
    <w:rsid w:val="00526908"/>
    <w:rsid w:val="00527DBA"/>
    <w:rsid w:val="00541391"/>
    <w:rsid w:val="005432F6"/>
    <w:rsid w:val="00543D90"/>
    <w:rsid w:val="00543FA7"/>
    <w:rsid w:val="00552BFB"/>
    <w:rsid w:val="00554E2C"/>
    <w:rsid w:val="00561408"/>
    <w:rsid w:val="00564B33"/>
    <w:rsid w:val="0056787F"/>
    <w:rsid w:val="00576B59"/>
    <w:rsid w:val="005805E5"/>
    <w:rsid w:val="00590060"/>
    <w:rsid w:val="0059481F"/>
    <w:rsid w:val="005949C1"/>
    <w:rsid w:val="005963C7"/>
    <w:rsid w:val="005A1208"/>
    <w:rsid w:val="005A3497"/>
    <w:rsid w:val="005A4FD6"/>
    <w:rsid w:val="005B4669"/>
    <w:rsid w:val="005B5F64"/>
    <w:rsid w:val="005C0057"/>
    <w:rsid w:val="005C2D07"/>
    <w:rsid w:val="005C57F5"/>
    <w:rsid w:val="005C695A"/>
    <w:rsid w:val="005C7209"/>
    <w:rsid w:val="005C7EEF"/>
    <w:rsid w:val="005D18F9"/>
    <w:rsid w:val="005D6013"/>
    <w:rsid w:val="005D6518"/>
    <w:rsid w:val="005E160A"/>
    <w:rsid w:val="005E445A"/>
    <w:rsid w:val="005F3484"/>
    <w:rsid w:val="005F5A3A"/>
    <w:rsid w:val="00602119"/>
    <w:rsid w:val="00610828"/>
    <w:rsid w:val="00612CC9"/>
    <w:rsid w:val="006143DB"/>
    <w:rsid w:val="00615368"/>
    <w:rsid w:val="00622274"/>
    <w:rsid w:val="00631B9C"/>
    <w:rsid w:val="00637070"/>
    <w:rsid w:val="006427F1"/>
    <w:rsid w:val="00642A24"/>
    <w:rsid w:val="00644801"/>
    <w:rsid w:val="0065386C"/>
    <w:rsid w:val="0066158C"/>
    <w:rsid w:val="00667C64"/>
    <w:rsid w:val="00670BD3"/>
    <w:rsid w:val="006721B4"/>
    <w:rsid w:val="00676789"/>
    <w:rsid w:val="00680A73"/>
    <w:rsid w:val="006813D0"/>
    <w:rsid w:val="006814D9"/>
    <w:rsid w:val="006825D4"/>
    <w:rsid w:val="00691F51"/>
    <w:rsid w:val="00692849"/>
    <w:rsid w:val="0069671F"/>
    <w:rsid w:val="006A70D4"/>
    <w:rsid w:val="006B1BD8"/>
    <w:rsid w:val="006B2CF2"/>
    <w:rsid w:val="006B39EF"/>
    <w:rsid w:val="006C5CFC"/>
    <w:rsid w:val="006C74E6"/>
    <w:rsid w:val="006E1CFE"/>
    <w:rsid w:val="006E4EBE"/>
    <w:rsid w:val="006F04EF"/>
    <w:rsid w:val="006F5946"/>
    <w:rsid w:val="00707776"/>
    <w:rsid w:val="007109E5"/>
    <w:rsid w:val="007117D1"/>
    <w:rsid w:val="0071540B"/>
    <w:rsid w:val="00715D74"/>
    <w:rsid w:val="00716D22"/>
    <w:rsid w:val="007239E6"/>
    <w:rsid w:val="00725FB2"/>
    <w:rsid w:val="00735CB8"/>
    <w:rsid w:val="0074522E"/>
    <w:rsid w:val="00750CCA"/>
    <w:rsid w:val="007523C0"/>
    <w:rsid w:val="00752930"/>
    <w:rsid w:val="00780453"/>
    <w:rsid w:val="00781D99"/>
    <w:rsid w:val="00790C9A"/>
    <w:rsid w:val="00795361"/>
    <w:rsid w:val="007B0183"/>
    <w:rsid w:val="007B5547"/>
    <w:rsid w:val="007B5AAB"/>
    <w:rsid w:val="007B5F3E"/>
    <w:rsid w:val="007B7798"/>
    <w:rsid w:val="007B7D56"/>
    <w:rsid w:val="007C1A58"/>
    <w:rsid w:val="007C1CFA"/>
    <w:rsid w:val="007C2808"/>
    <w:rsid w:val="007C2813"/>
    <w:rsid w:val="007C2C47"/>
    <w:rsid w:val="007C518B"/>
    <w:rsid w:val="007D49D4"/>
    <w:rsid w:val="007D58E9"/>
    <w:rsid w:val="007E74A9"/>
    <w:rsid w:val="007F0997"/>
    <w:rsid w:val="007F41E3"/>
    <w:rsid w:val="007F64C7"/>
    <w:rsid w:val="008068EB"/>
    <w:rsid w:val="00806F4B"/>
    <w:rsid w:val="00814747"/>
    <w:rsid w:val="00816558"/>
    <w:rsid w:val="00820398"/>
    <w:rsid w:val="008211BD"/>
    <w:rsid w:val="00821B1E"/>
    <w:rsid w:val="0082769B"/>
    <w:rsid w:val="0083267B"/>
    <w:rsid w:val="008329AC"/>
    <w:rsid w:val="008429F2"/>
    <w:rsid w:val="00850E30"/>
    <w:rsid w:val="00852CF8"/>
    <w:rsid w:val="008548B2"/>
    <w:rsid w:val="00855F13"/>
    <w:rsid w:val="00856BAA"/>
    <w:rsid w:val="008606B0"/>
    <w:rsid w:val="008621F3"/>
    <w:rsid w:val="00872D1A"/>
    <w:rsid w:val="008819BE"/>
    <w:rsid w:val="00881E64"/>
    <w:rsid w:val="00882646"/>
    <w:rsid w:val="00892173"/>
    <w:rsid w:val="00892953"/>
    <w:rsid w:val="008A05EB"/>
    <w:rsid w:val="008B3C08"/>
    <w:rsid w:val="008B45A9"/>
    <w:rsid w:val="008C0A21"/>
    <w:rsid w:val="008C27C0"/>
    <w:rsid w:val="008C501C"/>
    <w:rsid w:val="008D2DE0"/>
    <w:rsid w:val="008D4FA0"/>
    <w:rsid w:val="008E654F"/>
    <w:rsid w:val="0090295E"/>
    <w:rsid w:val="009046AA"/>
    <w:rsid w:val="00911A48"/>
    <w:rsid w:val="009161DD"/>
    <w:rsid w:val="00917B4A"/>
    <w:rsid w:val="0092024C"/>
    <w:rsid w:val="009216E3"/>
    <w:rsid w:val="009224D7"/>
    <w:rsid w:val="00922999"/>
    <w:rsid w:val="00923902"/>
    <w:rsid w:val="00927389"/>
    <w:rsid w:val="00927630"/>
    <w:rsid w:val="0093732F"/>
    <w:rsid w:val="00941F9D"/>
    <w:rsid w:val="00955DA5"/>
    <w:rsid w:val="00957981"/>
    <w:rsid w:val="00963662"/>
    <w:rsid w:val="009738A7"/>
    <w:rsid w:val="00974892"/>
    <w:rsid w:val="00977076"/>
    <w:rsid w:val="00980B8B"/>
    <w:rsid w:val="0098229D"/>
    <w:rsid w:val="00984390"/>
    <w:rsid w:val="0098481B"/>
    <w:rsid w:val="00987D8C"/>
    <w:rsid w:val="009959CB"/>
    <w:rsid w:val="009967C3"/>
    <w:rsid w:val="009A25F3"/>
    <w:rsid w:val="009A3C09"/>
    <w:rsid w:val="009B34D8"/>
    <w:rsid w:val="009B70C9"/>
    <w:rsid w:val="009B7C5C"/>
    <w:rsid w:val="009C14BA"/>
    <w:rsid w:val="009D1E03"/>
    <w:rsid w:val="009E1090"/>
    <w:rsid w:val="009F3E3B"/>
    <w:rsid w:val="009F615A"/>
    <w:rsid w:val="00A024FA"/>
    <w:rsid w:val="00A20A6B"/>
    <w:rsid w:val="00A240F9"/>
    <w:rsid w:val="00A250AE"/>
    <w:rsid w:val="00A307DD"/>
    <w:rsid w:val="00A30E05"/>
    <w:rsid w:val="00A42747"/>
    <w:rsid w:val="00A45791"/>
    <w:rsid w:val="00A46A13"/>
    <w:rsid w:val="00A54D9A"/>
    <w:rsid w:val="00A56AB0"/>
    <w:rsid w:val="00A6508B"/>
    <w:rsid w:val="00A71DD5"/>
    <w:rsid w:val="00A862B1"/>
    <w:rsid w:val="00A86AAB"/>
    <w:rsid w:val="00A87A09"/>
    <w:rsid w:val="00A93C45"/>
    <w:rsid w:val="00A96420"/>
    <w:rsid w:val="00A97A00"/>
    <w:rsid w:val="00AA1BDB"/>
    <w:rsid w:val="00AA24F1"/>
    <w:rsid w:val="00AA4A43"/>
    <w:rsid w:val="00AB3CD5"/>
    <w:rsid w:val="00AB42FD"/>
    <w:rsid w:val="00AB5EA1"/>
    <w:rsid w:val="00AC06E4"/>
    <w:rsid w:val="00AC15C8"/>
    <w:rsid w:val="00AC1E07"/>
    <w:rsid w:val="00AC5C87"/>
    <w:rsid w:val="00AC71B1"/>
    <w:rsid w:val="00AD04D3"/>
    <w:rsid w:val="00AD2901"/>
    <w:rsid w:val="00AD3D40"/>
    <w:rsid w:val="00AD48E5"/>
    <w:rsid w:val="00AE020F"/>
    <w:rsid w:val="00AE3F91"/>
    <w:rsid w:val="00AE6504"/>
    <w:rsid w:val="00AF0529"/>
    <w:rsid w:val="00AF4542"/>
    <w:rsid w:val="00B10173"/>
    <w:rsid w:val="00B11A5D"/>
    <w:rsid w:val="00B12A96"/>
    <w:rsid w:val="00B15EBA"/>
    <w:rsid w:val="00B16CA8"/>
    <w:rsid w:val="00B30D38"/>
    <w:rsid w:val="00B34AD5"/>
    <w:rsid w:val="00B35533"/>
    <w:rsid w:val="00B47DEA"/>
    <w:rsid w:val="00B52EF0"/>
    <w:rsid w:val="00B53F6D"/>
    <w:rsid w:val="00B6467D"/>
    <w:rsid w:val="00B671B9"/>
    <w:rsid w:val="00B6793C"/>
    <w:rsid w:val="00B71280"/>
    <w:rsid w:val="00B718B0"/>
    <w:rsid w:val="00B719E2"/>
    <w:rsid w:val="00B756AD"/>
    <w:rsid w:val="00B8077B"/>
    <w:rsid w:val="00B94137"/>
    <w:rsid w:val="00B94857"/>
    <w:rsid w:val="00BA59ED"/>
    <w:rsid w:val="00BA7CA5"/>
    <w:rsid w:val="00BB1905"/>
    <w:rsid w:val="00BB36C3"/>
    <w:rsid w:val="00BB75FC"/>
    <w:rsid w:val="00BC5135"/>
    <w:rsid w:val="00BC7342"/>
    <w:rsid w:val="00BC737C"/>
    <w:rsid w:val="00BD0562"/>
    <w:rsid w:val="00BD57EA"/>
    <w:rsid w:val="00BD71DB"/>
    <w:rsid w:val="00BE5DE1"/>
    <w:rsid w:val="00BF4199"/>
    <w:rsid w:val="00C0443F"/>
    <w:rsid w:val="00C05CE6"/>
    <w:rsid w:val="00C1159A"/>
    <w:rsid w:val="00C21DF6"/>
    <w:rsid w:val="00C22204"/>
    <w:rsid w:val="00C34D64"/>
    <w:rsid w:val="00C35DCB"/>
    <w:rsid w:val="00C362FF"/>
    <w:rsid w:val="00C40958"/>
    <w:rsid w:val="00C42713"/>
    <w:rsid w:val="00C43C14"/>
    <w:rsid w:val="00C51637"/>
    <w:rsid w:val="00C51685"/>
    <w:rsid w:val="00C5384C"/>
    <w:rsid w:val="00C541AF"/>
    <w:rsid w:val="00C6028F"/>
    <w:rsid w:val="00C60DDE"/>
    <w:rsid w:val="00C60F5B"/>
    <w:rsid w:val="00C630F7"/>
    <w:rsid w:val="00C63373"/>
    <w:rsid w:val="00C64344"/>
    <w:rsid w:val="00C65851"/>
    <w:rsid w:val="00C67087"/>
    <w:rsid w:val="00C779C8"/>
    <w:rsid w:val="00C77E24"/>
    <w:rsid w:val="00C85BD1"/>
    <w:rsid w:val="00C870C5"/>
    <w:rsid w:val="00CA11B2"/>
    <w:rsid w:val="00CA27AB"/>
    <w:rsid w:val="00CB0170"/>
    <w:rsid w:val="00CB1582"/>
    <w:rsid w:val="00CC529A"/>
    <w:rsid w:val="00CD10B5"/>
    <w:rsid w:val="00CD4491"/>
    <w:rsid w:val="00CE694D"/>
    <w:rsid w:val="00D040E3"/>
    <w:rsid w:val="00D05D64"/>
    <w:rsid w:val="00D10499"/>
    <w:rsid w:val="00D13AA2"/>
    <w:rsid w:val="00D220FE"/>
    <w:rsid w:val="00D32D4C"/>
    <w:rsid w:val="00D3490C"/>
    <w:rsid w:val="00D34BA6"/>
    <w:rsid w:val="00D36204"/>
    <w:rsid w:val="00D449CB"/>
    <w:rsid w:val="00D56AFA"/>
    <w:rsid w:val="00D57365"/>
    <w:rsid w:val="00D61989"/>
    <w:rsid w:val="00D65683"/>
    <w:rsid w:val="00D70CE3"/>
    <w:rsid w:val="00D94148"/>
    <w:rsid w:val="00DA4AC9"/>
    <w:rsid w:val="00DA71A3"/>
    <w:rsid w:val="00DC39CE"/>
    <w:rsid w:val="00DC4018"/>
    <w:rsid w:val="00DD5988"/>
    <w:rsid w:val="00E02054"/>
    <w:rsid w:val="00E04997"/>
    <w:rsid w:val="00E103AB"/>
    <w:rsid w:val="00E172BA"/>
    <w:rsid w:val="00E252D0"/>
    <w:rsid w:val="00E36B30"/>
    <w:rsid w:val="00E370D9"/>
    <w:rsid w:val="00E4035A"/>
    <w:rsid w:val="00E43DEC"/>
    <w:rsid w:val="00E529A4"/>
    <w:rsid w:val="00E54CFF"/>
    <w:rsid w:val="00E5516B"/>
    <w:rsid w:val="00E55AF1"/>
    <w:rsid w:val="00E61A18"/>
    <w:rsid w:val="00E655A6"/>
    <w:rsid w:val="00E80E09"/>
    <w:rsid w:val="00E8389A"/>
    <w:rsid w:val="00E854E4"/>
    <w:rsid w:val="00EA6E9E"/>
    <w:rsid w:val="00EB13BA"/>
    <w:rsid w:val="00EB5714"/>
    <w:rsid w:val="00EB7603"/>
    <w:rsid w:val="00EC3E67"/>
    <w:rsid w:val="00EC41AE"/>
    <w:rsid w:val="00EC6E1E"/>
    <w:rsid w:val="00EE2759"/>
    <w:rsid w:val="00EF6231"/>
    <w:rsid w:val="00F02D2E"/>
    <w:rsid w:val="00F13B13"/>
    <w:rsid w:val="00F15B7D"/>
    <w:rsid w:val="00F165FC"/>
    <w:rsid w:val="00F2289F"/>
    <w:rsid w:val="00F237ED"/>
    <w:rsid w:val="00F3039C"/>
    <w:rsid w:val="00F349E7"/>
    <w:rsid w:val="00F4243F"/>
    <w:rsid w:val="00F47F4D"/>
    <w:rsid w:val="00F50091"/>
    <w:rsid w:val="00F50277"/>
    <w:rsid w:val="00F50781"/>
    <w:rsid w:val="00F50CBF"/>
    <w:rsid w:val="00F55EE5"/>
    <w:rsid w:val="00F57598"/>
    <w:rsid w:val="00F6014A"/>
    <w:rsid w:val="00F6231E"/>
    <w:rsid w:val="00F7003A"/>
    <w:rsid w:val="00F763A0"/>
    <w:rsid w:val="00F84999"/>
    <w:rsid w:val="00F9352E"/>
    <w:rsid w:val="00F95006"/>
    <w:rsid w:val="00FA1616"/>
    <w:rsid w:val="00FB35CE"/>
    <w:rsid w:val="00FC0A6F"/>
    <w:rsid w:val="00FC1BCC"/>
    <w:rsid w:val="00FC214F"/>
    <w:rsid w:val="00FD2C8D"/>
    <w:rsid w:val="00FD66F4"/>
    <w:rsid w:val="00FE2891"/>
    <w:rsid w:val="00FE3D5D"/>
    <w:rsid w:val="00FE4E80"/>
    <w:rsid w:val="00FE68D8"/>
    <w:rsid w:val="01162F49"/>
    <w:rsid w:val="012A5C27"/>
    <w:rsid w:val="013F334A"/>
    <w:rsid w:val="015834B1"/>
    <w:rsid w:val="017C0C4D"/>
    <w:rsid w:val="018B3722"/>
    <w:rsid w:val="01926BF1"/>
    <w:rsid w:val="01945CA8"/>
    <w:rsid w:val="01B248D8"/>
    <w:rsid w:val="020465F9"/>
    <w:rsid w:val="02364020"/>
    <w:rsid w:val="025873BF"/>
    <w:rsid w:val="025F2275"/>
    <w:rsid w:val="02AD0B32"/>
    <w:rsid w:val="02AE7A5C"/>
    <w:rsid w:val="02B051D4"/>
    <w:rsid w:val="02B64D1A"/>
    <w:rsid w:val="02BF447E"/>
    <w:rsid w:val="02D16D08"/>
    <w:rsid w:val="02E3727B"/>
    <w:rsid w:val="030D3273"/>
    <w:rsid w:val="03334B3C"/>
    <w:rsid w:val="034715F5"/>
    <w:rsid w:val="034D4C5E"/>
    <w:rsid w:val="03973A81"/>
    <w:rsid w:val="03A6722F"/>
    <w:rsid w:val="0412402E"/>
    <w:rsid w:val="045456E1"/>
    <w:rsid w:val="04E52730"/>
    <w:rsid w:val="05170427"/>
    <w:rsid w:val="057E31CD"/>
    <w:rsid w:val="058A412D"/>
    <w:rsid w:val="05981281"/>
    <w:rsid w:val="05FB5EB0"/>
    <w:rsid w:val="06145348"/>
    <w:rsid w:val="063A2ECE"/>
    <w:rsid w:val="06580362"/>
    <w:rsid w:val="067828A6"/>
    <w:rsid w:val="06C16FC6"/>
    <w:rsid w:val="06F858B2"/>
    <w:rsid w:val="06FB611C"/>
    <w:rsid w:val="070B53EB"/>
    <w:rsid w:val="072B7A5D"/>
    <w:rsid w:val="0749790A"/>
    <w:rsid w:val="07607742"/>
    <w:rsid w:val="07AC7DDC"/>
    <w:rsid w:val="07F845C1"/>
    <w:rsid w:val="08660C24"/>
    <w:rsid w:val="089D13DD"/>
    <w:rsid w:val="08ED0D5F"/>
    <w:rsid w:val="08FB0113"/>
    <w:rsid w:val="09473D4B"/>
    <w:rsid w:val="09A51E85"/>
    <w:rsid w:val="09B12E62"/>
    <w:rsid w:val="09E205AA"/>
    <w:rsid w:val="0A0B172F"/>
    <w:rsid w:val="0A6A5C0C"/>
    <w:rsid w:val="0A7C24CE"/>
    <w:rsid w:val="0A835DAA"/>
    <w:rsid w:val="0A9B6661"/>
    <w:rsid w:val="0AAD6926"/>
    <w:rsid w:val="0AB27A78"/>
    <w:rsid w:val="0ADD428F"/>
    <w:rsid w:val="0ADE2616"/>
    <w:rsid w:val="0AE904BB"/>
    <w:rsid w:val="0B025E42"/>
    <w:rsid w:val="0B4121C8"/>
    <w:rsid w:val="0B4D5610"/>
    <w:rsid w:val="0B6C2C9C"/>
    <w:rsid w:val="0B8E5724"/>
    <w:rsid w:val="0C404FB4"/>
    <w:rsid w:val="0C4E4490"/>
    <w:rsid w:val="0CCF44E9"/>
    <w:rsid w:val="0CD9603B"/>
    <w:rsid w:val="0CF95E5E"/>
    <w:rsid w:val="0CFF365E"/>
    <w:rsid w:val="0D0332D3"/>
    <w:rsid w:val="0D6F52E0"/>
    <w:rsid w:val="0D8F0EE8"/>
    <w:rsid w:val="0DA67DB3"/>
    <w:rsid w:val="0E253B03"/>
    <w:rsid w:val="0E494E8C"/>
    <w:rsid w:val="0E50369C"/>
    <w:rsid w:val="0E780D7A"/>
    <w:rsid w:val="0E796B17"/>
    <w:rsid w:val="0E7B3DB4"/>
    <w:rsid w:val="0E7E1F7D"/>
    <w:rsid w:val="0EDF7CE0"/>
    <w:rsid w:val="0F076C55"/>
    <w:rsid w:val="0F2B53A0"/>
    <w:rsid w:val="0F30119C"/>
    <w:rsid w:val="0F41451E"/>
    <w:rsid w:val="0F5616E9"/>
    <w:rsid w:val="0F6F034F"/>
    <w:rsid w:val="0F807EB9"/>
    <w:rsid w:val="0F976005"/>
    <w:rsid w:val="0FCF62B5"/>
    <w:rsid w:val="0FE62AA9"/>
    <w:rsid w:val="0FEB27C3"/>
    <w:rsid w:val="0FEC41E3"/>
    <w:rsid w:val="1031650C"/>
    <w:rsid w:val="106756E2"/>
    <w:rsid w:val="106D0979"/>
    <w:rsid w:val="106E6BAD"/>
    <w:rsid w:val="10B412B3"/>
    <w:rsid w:val="110F2946"/>
    <w:rsid w:val="11141353"/>
    <w:rsid w:val="11311714"/>
    <w:rsid w:val="11A030CA"/>
    <w:rsid w:val="11CA7221"/>
    <w:rsid w:val="1298768F"/>
    <w:rsid w:val="12A307A0"/>
    <w:rsid w:val="12C169A7"/>
    <w:rsid w:val="12CE3BC6"/>
    <w:rsid w:val="132B5FDC"/>
    <w:rsid w:val="13457CBF"/>
    <w:rsid w:val="134834D3"/>
    <w:rsid w:val="13542253"/>
    <w:rsid w:val="13613DBD"/>
    <w:rsid w:val="13622C1F"/>
    <w:rsid w:val="13656CDA"/>
    <w:rsid w:val="136C4669"/>
    <w:rsid w:val="138B6F3E"/>
    <w:rsid w:val="13AB0A8E"/>
    <w:rsid w:val="13CB1ADF"/>
    <w:rsid w:val="13CE5AA2"/>
    <w:rsid w:val="13D13578"/>
    <w:rsid w:val="14022D01"/>
    <w:rsid w:val="140E7695"/>
    <w:rsid w:val="1416012E"/>
    <w:rsid w:val="141E5482"/>
    <w:rsid w:val="142D6687"/>
    <w:rsid w:val="14514702"/>
    <w:rsid w:val="146A69B7"/>
    <w:rsid w:val="14E04BEA"/>
    <w:rsid w:val="14E271F1"/>
    <w:rsid w:val="14E539A8"/>
    <w:rsid w:val="157F1121"/>
    <w:rsid w:val="15B90A1C"/>
    <w:rsid w:val="15D6742B"/>
    <w:rsid w:val="16023095"/>
    <w:rsid w:val="160D115D"/>
    <w:rsid w:val="164D619A"/>
    <w:rsid w:val="16517689"/>
    <w:rsid w:val="167064C5"/>
    <w:rsid w:val="167F0981"/>
    <w:rsid w:val="16B0003D"/>
    <w:rsid w:val="16C976D3"/>
    <w:rsid w:val="16D04656"/>
    <w:rsid w:val="16D35CED"/>
    <w:rsid w:val="16E3402B"/>
    <w:rsid w:val="16E76CE1"/>
    <w:rsid w:val="16FB13EE"/>
    <w:rsid w:val="1734495A"/>
    <w:rsid w:val="176F5C1D"/>
    <w:rsid w:val="17A0043E"/>
    <w:rsid w:val="17D81880"/>
    <w:rsid w:val="1802265E"/>
    <w:rsid w:val="18063DE6"/>
    <w:rsid w:val="18136E38"/>
    <w:rsid w:val="18240BCE"/>
    <w:rsid w:val="18251AC8"/>
    <w:rsid w:val="189D362E"/>
    <w:rsid w:val="189D5B40"/>
    <w:rsid w:val="190F03A9"/>
    <w:rsid w:val="192715A0"/>
    <w:rsid w:val="192D0B75"/>
    <w:rsid w:val="197944A0"/>
    <w:rsid w:val="19B8099F"/>
    <w:rsid w:val="19C426BB"/>
    <w:rsid w:val="19E57EDB"/>
    <w:rsid w:val="1A1E0199"/>
    <w:rsid w:val="1A42197B"/>
    <w:rsid w:val="1A462DBD"/>
    <w:rsid w:val="1A50265F"/>
    <w:rsid w:val="1A593A39"/>
    <w:rsid w:val="1A696794"/>
    <w:rsid w:val="1A741F08"/>
    <w:rsid w:val="1A7F210E"/>
    <w:rsid w:val="1A9116A3"/>
    <w:rsid w:val="1A92564F"/>
    <w:rsid w:val="1AD84122"/>
    <w:rsid w:val="1AEF71BD"/>
    <w:rsid w:val="1B265981"/>
    <w:rsid w:val="1BC46853"/>
    <w:rsid w:val="1BC5760A"/>
    <w:rsid w:val="1C1A29AE"/>
    <w:rsid w:val="1C6100B5"/>
    <w:rsid w:val="1C7A584F"/>
    <w:rsid w:val="1C8B62EB"/>
    <w:rsid w:val="1C9A7E43"/>
    <w:rsid w:val="1C9F6132"/>
    <w:rsid w:val="1CAA582B"/>
    <w:rsid w:val="1CB158F2"/>
    <w:rsid w:val="1CB51F66"/>
    <w:rsid w:val="1CD27079"/>
    <w:rsid w:val="1CDD6F9B"/>
    <w:rsid w:val="1DB661A1"/>
    <w:rsid w:val="1DC92CEF"/>
    <w:rsid w:val="1DD0602E"/>
    <w:rsid w:val="1DE27140"/>
    <w:rsid w:val="1DFD180E"/>
    <w:rsid w:val="1E457C7C"/>
    <w:rsid w:val="1EC035FE"/>
    <w:rsid w:val="1ED13509"/>
    <w:rsid w:val="1EE71339"/>
    <w:rsid w:val="1F013D76"/>
    <w:rsid w:val="1F560C33"/>
    <w:rsid w:val="1F8A06B6"/>
    <w:rsid w:val="1FA73B84"/>
    <w:rsid w:val="1FBC7C7C"/>
    <w:rsid w:val="1FCD2BFC"/>
    <w:rsid w:val="1FDE3179"/>
    <w:rsid w:val="1FF57425"/>
    <w:rsid w:val="200179CB"/>
    <w:rsid w:val="20603D3F"/>
    <w:rsid w:val="20637653"/>
    <w:rsid w:val="207C2D76"/>
    <w:rsid w:val="20852181"/>
    <w:rsid w:val="20872F26"/>
    <w:rsid w:val="20AC7275"/>
    <w:rsid w:val="20AE6A6F"/>
    <w:rsid w:val="20CB2EF1"/>
    <w:rsid w:val="20D32588"/>
    <w:rsid w:val="20D816EB"/>
    <w:rsid w:val="20DD7AB0"/>
    <w:rsid w:val="21306D8F"/>
    <w:rsid w:val="21472008"/>
    <w:rsid w:val="2171488E"/>
    <w:rsid w:val="2183285F"/>
    <w:rsid w:val="21950FEE"/>
    <w:rsid w:val="21B84CB8"/>
    <w:rsid w:val="21C10178"/>
    <w:rsid w:val="21C74637"/>
    <w:rsid w:val="21CA753A"/>
    <w:rsid w:val="21DA51E3"/>
    <w:rsid w:val="21DC1579"/>
    <w:rsid w:val="21F2193F"/>
    <w:rsid w:val="21F90D78"/>
    <w:rsid w:val="22002C03"/>
    <w:rsid w:val="22214C6D"/>
    <w:rsid w:val="2231397E"/>
    <w:rsid w:val="22450499"/>
    <w:rsid w:val="227A78AB"/>
    <w:rsid w:val="22D03366"/>
    <w:rsid w:val="22E10A74"/>
    <w:rsid w:val="23531ACA"/>
    <w:rsid w:val="23D365A5"/>
    <w:rsid w:val="23E40831"/>
    <w:rsid w:val="23EF1132"/>
    <w:rsid w:val="246A3531"/>
    <w:rsid w:val="24760437"/>
    <w:rsid w:val="24E764F7"/>
    <w:rsid w:val="25097A7F"/>
    <w:rsid w:val="250E75EB"/>
    <w:rsid w:val="25105655"/>
    <w:rsid w:val="251F36C6"/>
    <w:rsid w:val="2527606D"/>
    <w:rsid w:val="25333834"/>
    <w:rsid w:val="2567193A"/>
    <w:rsid w:val="258976D3"/>
    <w:rsid w:val="26184C95"/>
    <w:rsid w:val="26434F41"/>
    <w:rsid w:val="266661F2"/>
    <w:rsid w:val="266A7C5E"/>
    <w:rsid w:val="268A51A9"/>
    <w:rsid w:val="26ED16E1"/>
    <w:rsid w:val="27197C93"/>
    <w:rsid w:val="2789180E"/>
    <w:rsid w:val="27A37B08"/>
    <w:rsid w:val="27B9313B"/>
    <w:rsid w:val="28531B10"/>
    <w:rsid w:val="286D57D4"/>
    <w:rsid w:val="28894F43"/>
    <w:rsid w:val="288F0A89"/>
    <w:rsid w:val="28921435"/>
    <w:rsid w:val="289D7B27"/>
    <w:rsid w:val="28CE66D6"/>
    <w:rsid w:val="28D766D2"/>
    <w:rsid w:val="28DB69A7"/>
    <w:rsid w:val="29155FD5"/>
    <w:rsid w:val="29310BE7"/>
    <w:rsid w:val="2961454B"/>
    <w:rsid w:val="29634132"/>
    <w:rsid w:val="29797390"/>
    <w:rsid w:val="29A4262D"/>
    <w:rsid w:val="29DE0BC6"/>
    <w:rsid w:val="29FF21E5"/>
    <w:rsid w:val="2A027CF7"/>
    <w:rsid w:val="2A0B5CF2"/>
    <w:rsid w:val="2A377EAE"/>
    <w:rsid w:val="2A3969CE"/>
    <w:rsid w:val="2A7A05E2"/>
    <w:rsid w:val="2ACB0E21"/>
    <w:rsid w:val="2B35383A"/>
    <w:rsid w:val="2B3A20A3"/>
    <w:rsid w:val="2B613602"/>
    <w:rsid w:val="2B7C5858"/>
    <w:rsid w:val="2B9A494D"/>
    <w:rsid w:val="2BBB1262"/>
    <w:rsid w:val="2BBD2EA2"/>
    <w:rsid w:val="2BFD784A"/>
    <w:rsid w:val="2C18746D"/>
    <w:rsid w:val="2C1F7B5E"/>
    <w:rsid w:val="2C406702"/>
    <w:rsid w:val="2C5D409E"/>
    <w:rsid w:val="2C6A7E1F"/>
    <w:rsid w:val="2C7C5E4A"/>
    <w:rsid w:val="2C81694C"/>
    <w:rsid w:val="2C945F2C"/>
    <w:rsid w:val="2D1478F9"/>
    <w:rsid w:val="2D2D6C29"/>
    <w:rsid w:val="2D37058F"/>
    <w:rsid w:val="2D3C704D"/>
    <w:rsid w:val="2D847533"/>
    <w:rsid w:val="2DA405BE"/>
    <w:rsid w:val="2DEC24F4"/>
    <w:rsid w:val="2E254167"/>
    <w:rsid w:val="2E86371C"/>
    <w:rsid w:val="2E870201"/>
    <w:rsid w:val="2EAF7FC9"/>
    <w:rsid w:val="2EB43A9F"/>
    <w:rsid w:val="2EF15B93"/>
    <w:rsid w:val="2EF4286A"/>
    <w:rsid w:val="2EFA2FA2"/>
    <w:rsid w:val="2F0D059B"/>
    <w:rsid w:val="2FD35994"/>
    <w:rsid w:val="2FEC5BD9"/>
    <w:rsid w:val="30267A4B"/>
    <w:rsid w:val="30676825"/>
    <w:rsid w:val="30A545FC"/>
    <w:rsid w:val="30EC3CFA"/>
    <w:rsid w:val="30F92DED"/>
    <w:rsid w:val="31457AAF"/>
    <w:rsid w:val="316468FE"/>
    <w:rsid w:val="31785B51"/>
    <w:rsid w:val="31CC262D"/>
    <w:rsid w:val="31DF7107"/>
    <w:rsid w:val="3232569C"/>
    <w:rsid w:val="32370731"/>
    <w:rsid w:val="326F2ADD"/>
    <w:rsid w:val="32801D1B"/>
    <w:rsid w:val="328E1BC4"/>
    <w:rsid w:val="32B45041"/>
    <w:rsid w:val="32D92CAF"/>
    <w:rsid w:val="32F279D0"/>
    <w:rsid w:val="330520EE"/>
    <w:rsid w:val="331C09AD"/>
    <w:rsid w:val="333B058A"/>
    <w:rsid w:val="33BB2E75"/>
    <w:rsid w:val="33E276FA"/>
    <w:rsid w:val="33E835C2"/>
    <w:rsid w:val="340D7E84"/>
    <w:rsid w:val="34194E8E"/>
    <w:rsid w:val="341A6BA7"/>
    <w:rsid w:val="344B203A"/>
    <w:rsid w:val="34D53173"/>
    <w:rsid w:val="350077B2"/>
    <w:rsid w:val="351F6EF6"/>
    <w:rsid w:val="353E082A"/>
    <w:rsid w:val="35625D95"/>
    <w:rsid w:val="357C4A73"/>
    <w:rsid w:val="35887AB4"/>
    <w:rsid w:val="35BB693C"/>
    <w:rsid w:val="35C91960"/>
    <w:rsid w:val="35CD4130"/>
    <w:rsid w:val="35DB1C31"/>
    <w:rsid w:val="35E435C7"/>
    <w:rsid w:val="3608256A"/>
    <w:rsid w:val="362903B0"/>
    <w:rsid w:val="364276C7"/>
    <w:rsid w:val="364A0EEE"/>
    <w:rsid w:val="364F1D5C"/>
    <w:rsid w:val="36567945"/>
    <w:rsid w:val="367B6C58"/>
    <w:rsid w:val="369304EE"/>
    <w:rsid w:val="36A570F8"/>
    <w:rsid w:val="36B67DD1"/>
    <w:rsid w:val="37117C11"/>
    <w:rsid w:val="3758463B"/>
    <w:rsid w:val="37643469"/>
    <w:rsid w:val="37934318"/>
    <w:rsid w:val="37A4102C"/>
    <w:rsid w:val="37EA4FD1"/>
    <w:rsid w:val="37EE0924"/>
    <w:rsid w:val="37EE5C65"/>
    <w:rsid w:val="37F466BD"/>
    <w:rsid w:val="37FE57BD"/>
    <w:rsid w:val="384C7B20"/>
    <w:rsid w:val="38B66E55"/>
    <w:rsid w:val="38C95C28"/>
    <w:rsid w:val="390723F0"/>
    <w:rsid w:val="390C52E8"/>
    <w:rsid w:val="396D246D"/>
    <w:rsid w:val="39C0164E"/>
    <w:rsid w:val="39EF42B6"/>
    <w:rsid w:val="39F263EF"/>
    <w:rsid w:val="3A161C5F"/>
    <w:rsid w:val="3A1B0BE8"/>
    <w:rsid w:val="3A226ED8"/>
    <w:rsid w:val="3A54463B"/>
    <w:rsid w:val="3A54480C"/>
    <w:rsid w:val="3A586313"/>
    <w:rsid w:val="3A9218A5"/>
    <w:rsid w:val="3A9A2420"/>
    <w:rsid w:val="3AA05D7C"/>
    <w:rsid w:val="3AFB7AA3"/>
    <w:rsid w:val="3B0D3E44"/>
    <w:rsid w:val="3B24447E"/>
    <w:rsid w:val="3B4D1BC1"/>
    <w:rsid w:val="3B5638AB"/>
    <w:rsid w:val="3B6437C6"/>
    <w:rsid w:val="3BAD0518"/>
    <w:rsid w:val="3C692666"/>
    <w:rsid w:val="3CA00F50"/>
    <w:rsid w:val="3D322604"/>
    <w:rsid w:val="3D360489"/>
    <w:rsid w:val="3D362822"/>
    <w:rsid w:val="3D951F26"/>
    <w:rsid w:val="3DE156EF"/>
    <w:rsid w:val="3DF569D8"/>
    <w:rsid w:val="3DF767CE"/>
    <w:rsid w:val="3E4114AE"/>
    <w:rsid w:val="3E4A7C5A"/>
    <w:rsid w:val="3E50631E"/>
    <w:rsid w:val="3E645049"/>
    <w:rsid w:val="3E686D5E"/>
    <w:rsid w:val="3E8C69F3"/>
    <w:rsid w:val="3EA3630D"/>
    <w:rsid w:val="3EDF329F"/>
    <w:rsid w:val="3EE73BDF"/>
    <w:rsid w:val="3F212E4E"/>
    <w:rsid w:val="3F2322A9"/>
    <w:rsid w:val="3F5C1729"/>
    <w:rsid w:val="3F7B0E34"/>
    <w:rsid w:val="3F8F1DDE"/>
    <w:rsid w:val="3FA42F05"/>
    <w:rsid w:val="3FBC2D58"/>
    <w:rsid w:val="40146F66"/>
    <w:rsid w:val="405B5F25"/>
    <w:rsid w:val="40A62C13"/>
    <w:rsid w:val="40D548B0"/>
    <w:rsid w:val="40F0618B"/>
    <w:rsid w:val="413450E5"/>
    <w:rsid w:val="414F6C22"/>
    <w:rsid w:val="42201C95"/>
    <w:rsid w:val="42587A75"/>
    <w:rsid w:val="426D369C"/>
    <w:rsid w:val="4270320E"/>
    <w:rsid w:val="429A574A"/>
    <w:rsid w:val="42A86E57"/>
    <w:rsid w:val="42CF3BB0"/>
    <w:rsid w:val="431445EA"/>
    <w:rsid w:val="431E71E9"/>
    <w:rsid w:val="431F1244"/>
    <w:rsid w:val="43D4769D"/>
    <w:rsid w:val="440202A6"/>
    <w:rsid w:val="442F5917"/>
    <w:rsid w:val="44345D52"/>
    <w:rsid w:val="446A436B"/>
    <w:rsid w:val="44A2460E"/>
    <w:rsid w:val="44EC2FFC"/>
    <w:rsid w:val="45375FFE"/>
    <w:rsid w:val="454540D8"/>
    <w:rsid w:val="45793E44"/>
    <w:rsid w:val="458349B3"/>
    <w:rsid w:val="45945773"/>
    <w:rsid w:val="45F24FA7"/>
    <w:rsid w:val="461B57A5"/>
    <w:rsid w:val="46342FB7"/>
    <w:rsid w:val="467C0DC1"/>
    <w:rsid w:val="468C2A4A"/>
    <w:rsid w:val="46AE21AB"/>
    <w:rsid w:val="46C120FD"/>
    <w:rsid w:val="47047166"/>
    <w:rsid w:val="470C0146"/>
    <w:rsid w:val="471E5124"/>
    <w:rsid w:val="473B13BC"/>
    <w:rsid w:val="474E4446"/>
    <w:rsid w:val="47A46DE2"/>
    <w:rsid w:val="47BE11E2"/>
    <w:rsid w:val="47FC31FC"/>
    <w:rsid w:val="4809284C"/>
    <w:rsid w:val="480F4B02"/>
    <w:rsid w:val="48155DFB"/>
    <w:rsid w:val="48237B86"/>
    <w:rsid w:val="484F0DF0"/>
    <w:rsid w:val="484F170D"/>
    <w:rsid w:val="48652A1E"/>
    <w:rsid w:val="488C1F5C"/>
    <w:rsid w:val="48AB0044"/>
    <w:rsid w:val="48C409D4"/>
    <w:rsid w:val="48F33889"/>
    <w:rsid w:val="48FE1A08"/>
    <w:rsid w:val="49261001"/>
    <w:rsid w:val="49673AB8"/>
    <w:rsid w:val="496F1353"/>
    <w:rsid w:val="49A821CF"/>
    <w:rsid w:val="49F3586C"/>
    <w:rsid w:val="4A165C09"/>
    <w:rsid w:val="4B370160"/>
    <w:rsid w:val="4B50433C"/>
    <w:rsid w:val="4B52772E"/>
    <w:rsid w:val="4B6069B4"/>
    <w:rsid w:val="4C1101CD"/>
    <w:rsid w:val="4C324334"/>
    <w:rsid w:val="4C3E27F5"/>
    <w:rsid w:val="4C4C5AFF"/>
    <w:rsid w:val="4C5365E6"/>
    <w:rsid w:val="4C566168"/>
    <w:rsid w:val="4C705DCA"/>
    <w:rsid w:val="4C735E77"/>
    <w:rsid w:val="4C8F4EB1"/>
    <w:rsid w:val="4CB96E4C"/>
    <w:rsid w:val="4CE419D2"/>
    <w:rsid w:val="4CF238DB"/>
    <w:rsid w:val="4D0F546E"/>
    <w:rsid w:val="4D371A2F"/>
    <w:rsid w:val="4D5473EC"/>
    <w:rsid w:val="4D746E0E"/>
    <w:rsid w:val="4D8A30B7"/>
    <w:rsid w:val="4D9C053F"/>
    <w:rsid w:val="4DB02CB4"/>
    <w:rsid w:val="4DB85AC9"/>
    <w:rsid w:val="4DC02CD1"/>
    <w:rsid w:val="4DD44A26"/>
    <w:rsid w:val="4DFC3FD8"/>
    <w:rsid w:val="4E0500EF"/>
    <w:rsid w:val="4E447114"/>
    <w:rsid w:val="4E7A1523"/>
    <w:rsid w:val="4EA7551C"/>
    <w:rsid w:val="4EAB37DE"/>
    <w:rsid w:val="4EAE08B2"/>
    <w:rsid w:val="4EB01091"/>
    <w:rsid w:val="4EB2495A"/>
    <w:rsid w:val="4ED973D5"/>
    <w:rsid w:val="4EDB1BFA"/>
    <w:rsid w:val="4F3A2317"/>
    <w:rsid w:val="4F4311E3"/>
    <w:rsid w:val="4F4B4F2F"/>
    <w:rsid w:val="4F730CC0"/>
    <w:rsid w:val="4F9A336B"/>
    <w:rsid w:val="4FAE0669"/>
    <w:rsid w:val="4FC566F4"/>
    <w:rsid w:val="5000170C"/>
    <w:rsid w:val="50B248CE"/>
    <w:rsid w:val="50D75054"/>
    <w:rsid w:val="50E301F2"/>
    <w:rsid w:val="50F006AE"/>
    <w:rsid w:val="511A21CC"/>
    <w:rsid w:val="51300538"/>
    <w:rsid w:val="51594DFB"/>
    <w:rsid w:val="5192791B"/>
    <w:rsid w:val="51B50689"/>
    <w:rsid w:val="51D654F3"/>
    <w:rsid w:val="5223024C"/>
    <w:rsid w:val="522F5B83"/>
    <w:rsid w:val="527E45A5"/>
    <w:rsid w:val="52DB2AA0"/>
    <w:rsid w:val="536D49D7"/>
    <w:rsid w:val="53750224"/>
    <w:rsid w:val="53BC6365"/>
    <w:rsid w:val="53D45B72"/>
    <w:rsid w:val="540467AD"/>
    <w:rsid w:val="543220FA"/>
    <w:rsid w:val="54571326"/>
    <w:rsid w:val="55034D51"/>
    <w:rsid w:val="550A093B"/>
    <w:rsid w:val="554C0815"/>
    <w:rsid w:val="554E432F"/>
    <w:rsid w:val="55605140"/>
    <w:rsid w:val="556B097D"/>
    <w:rsid w:val="558B0ACB"/>
    <w:rsid w:val="561119B3"/>
    <w:rsid w:val="561918A4"/>
    <w:rsid w:val="565A5723"/>
    <w:rsid w:val="567740EB"/>
    <w:rsid w:val="56CD2E9B"/>
    <w:rsid w:val="56FC4315"/>
    <w:rsid w:val="570E10D1"/>
    <w:rsid w:val="571866F2"/>
    <w:rsid w:val="574B4506"/>
    <w:rsid w:val="575743F3"/>
    <w:rsid w:val="578A6582"/>
    <w:rsid w:val="579C09EC"/>
    <w:rsid w:val="57AF62A7"/>
    <w:rsid w:val="57FB4F9F"/>
    <w:rsid w:val="580636CF"/>
    <w:rsid w:val="5809555A"/>
    <w:rsid w:val="582C2B42"/>
    <w:rsid w:val="58415B2E"/>
    <w:rsid w:val="5842466D"/>
    <w:rsid w:val="58577DF7"/>
    <w:rsid w:val="58A11B0A"/>
    <w:rsid w:val="58AD5AFA"/>
    <w:rsid w:val="58F5641C"/>
    <w:rsid w:val="58F922FD"/>
    <w:rsid w:val="58FD0FDD"/>
    <w:rsid w:val="59134F83"/>
    <w:rsid w:val="5928563E"/>
    <w:rsid w:val="592F7A8D"/>
    <w:rsid w:val="59BB43B3"/>
    <w:rsid w:val="59C217AE"/>
    <w:rsid w:val="59EF3ED1"/>
    <w:rsid w:val="5A015859"/>
    <w:rsid w:val="5A0B5AA1"/>
    <w:rsid w:val="5A4D1DE1"/>
    <w:rsid w:val="5A5D3AF6"/>
    <w:rsid w:val="5A8C5093"/>
    <w:rsid w:val="5A9A066E"/>
    <w:rsid w:val="5AB4343D"/>
    <w:rsid w:val="5ACB4565"/>
    <w:rsid w:val="5AF07728"/>
    <w:rsid w:val="5AF52F79"/>
    <w:rsid w:val="5AFE222E"/>
    <w:rsid w:val="5B173082"/>
    <w:rsid w:val="5B280BD4"/>
    <w:rsid w:val="5B2C3171"/>
    <w:rsid w:val="5B2F68BC"/>
    <w:rsid w:val="5B716016"/>
    <w:rsid w:val="5B9D3E04"/>
    <w:rsid w:val="5BC9647C"/>
    <w:rsid w:val="5BEA6E84"/>
    <w:rsid w:val="5BF213D2"/>
    <w:rsid w:val="5C1B74D9"/>
    <w:rsid w:val="5C3E6254"/>
    <w:rsid w:val="5C467F13"/>
    <w:rsid w:val="5C5C3ED8"/>
    <w:rsid w:val="5C79206A"/>
    <w:rsid w:val="5C7B4C4E"/>
    <w:rsid w:val="5CFB3923"/>
    <w:rsid w:val="5D16539A"/>
    <w:rsid w:val="5D2759F8"/>
    <w:rsid w:val="5D475FF5"/>
    <w:rsid w:val="5D4B2637"/>
    <w:rsid w:val="5D631F16"/>
    <w:rsid w:val="5D8C725E"/>
    <w:rsid w:val="5DAE625B"/>
    <w:rsid w:val="5DBA6EC1"/>
    <w:rsid w:val="5DC3764E"/>
    <w:rsid w:val="5DD22198"/>
    <w:rsid w:val="5DE623F0"/>
    <w:rsid w:val="5E652158"/>
    <w:rsid w:val="5E7C453B"/>
    <w:rsid w:val="5ED32B8B"/>
    <w:rsid w:val="5F8E4B52"/>
    <w:rsid w:val="5FA57EA3"/>
    <w:rsid w:val="5FC71E3C"/>
    <w:rsid w:val="5FD86AC3"/>
    <w:rsid w:val="60045ECF"/>
    <w:rsid w:val="60240127"/>
    <w:rsid w:val="603E107B"/>
    <w:rsid w:val="60735DD4"/>
    <w:rsid w:val="6087271F"/>
    <w:rsid w:val="60A21DE6"/>
    <w:rsid w:val="60AA2EAE"/>
    <w:rsid w:val="60B85A75"/>
    <w:rsid w:val="60F12759"/>
    <w:rsid w:val="60FF074B"/>
    <w:rsid w:val="610B2C98"/>
    <w:rsid w:val="615535C8"/>
    <w:rsid w:val="61712A6F"/>
    <w:rsid w:val="61A23CD3"/>
    <w:rsid w:val="62473C10"/>
    <w:rsid w:val="629516DA"/>
    <w:rsid w:val="62B65004"/>
    <w:rsid w:val="62ED1168"/>
    <w:rsid w:val="631832E3"/>
    <w:rsid w:val="63D82F9B"/>
    <w:rsid w:val="63EB14E2"/>
    <w:rsid w:val="642141E8"/>
    <w:rsid w:val="645A22BC"/>
    <w:rsid w:val="6474541D"/>
    <w:rsid w:val="64C73932"/>
    <w:rsid w:val="64C768C5"/>
    <w:rsid w:val="64D25F87"/>
    <w:rsid w:val="64EC113A"/>
    <w:rsid w:val="650A0F6F"/>
    <w:rsid w:val="65746F26"/>
    <w:rsid w:val="659D1225"/>
    <w:rsid w:val="65B807E8"/>
    <w:rsid w:val="65D85759"/>
    <w:rsid w:val="65E82E9E"/>
    <w:rsid w:val="65F23AD1"/>
    <w:rsid w:val="660B1193"/>
    <w:rsid w:val="661E145F"/>
    <w:rsid w:val="665801D2"/>
    <w:rsid w:val="666925A1"/>
    <w:rsid w:val="66926B9D"/>
    <w:rsid w:val="66B16A1B"/>
    <w:rsid w:val="66E64A3F"/>
    <w:rsid w:val="66EE0864"/>
    <w:rsid w:val="66F46295"/>
    <w:rsid w:val="66FA0C33"/>
    <w:rsid w:val="67374962"/>
    <w:rsid w:val="674F5619"/>
    <w:rsid w:val="67945E67"/>
    <w:rsid w:val="67FB57B8"/>
    <w:rsid w:val="68363714"/>
    <w:rsid w:val="68394E5F"/>
    <w:rsid w:val="685A5791"/>
    <w:rsid w:val="688639D1"/>
    <w:rsid w:val="688815B1"/>
    <w:rsid w:val="68915DBC"/>
    <w:rsid w:val="68CC2717"/>
    <w:rsid w:val="692E31CF"/>
    <w:rsid w:val="69307F01"/>
    <w:rsid w:val="693C40C5"/>
    <w:rsid w:val="693F47DA"/>
    <w:rsid w:val="6958691B"/>
    <w:rsid w:val="69E801BB"/>
    <w:rsid w:val="6A1673D8"/>
    <w:rsid w:val="6A424675"/>
    <w:rsid w:val="6A5416C7"/>
    <w:rsid w:val="6A6B3159"/>
    <w:rsid w:val="6A6B67FF"/>
    <w:rsid w:val="6A9367E3"/>
    <w:rsid w:val="6AE35A08"/>
    <w:rsid w:val="6AF602B6"/>
    <w:rsid w:val="6B563E32"/>
    <w:rsid w:val="6B740726"/>
    <w:rsid w:val="6BD017B2"/>
    <w:rsid w:val="6BD90C26"/>
    <w:rsid w:val="6BF3632D"/>
    <w:rsid w:val="6BF62F7B"/>
    <w:rsid w:val="6BF92874"/>
    <w:rsid w:val="6C2D6B7C"/>
    <w:rsid w:val="6C715026"/>
    <w:rsid w:val="6CA0204E"/>
    <w:rsid w:val="6D4A5554"/>
    <w:rsid w:val="6D5376AE"/>
    <w:rsid w:val="6D675D6F"/>
    <w:rsid w:val="6D6A4A6C"/>
    <w:rsid w:val="6DAA0B4D"/>
    <w:rsid w:val="6DB230B3"/>
    <w:rsid w:val="6DBD162E"/>
    <w:rsid w:val="6DF17723"/>
    <w:rsid w:val="6E00753B"/>
    <w:rsid w:val="6E2764F5"/>
    <w:rsid w:val="6E464028"/>
    <w:rsid w:val="6E5B57A5"/>
    <w:rsid w:val="6E961CB7"/>
    <w:rsid w:val="6EAC00A1"/>
    <w:rsid w:val="6F213709"/>
    <w:rsid w:val="6F615651"/>
    <w:rsid w:val="6F816755"/>
    <w:rsid w:val="6FA4003C"/>
    <w:rsid w:val="6FCF5564"/>
    <w:rsid w:val="700B0484"/>
    <w:rsid w:val="70350161"/>
    <w:rsid w:val="70362B0D"/>
    <w:rsid w:val="705802B9"/>
    <w:rsid w:val="7069292C"/>
    <w:rsid w:val="707C196A"/>
    <w:rsid w:val="714A120D"/>
    <w:rsid w:val="71981E2C"/>
    <w:rsid w:val="71B51D03"/>
    <w:rsid w:val="71BB74F2"/>
    <w:rsid w:val="71DC1BD2"/>
    <w:rsid w:val="72185C27"/>
    <w:rsid w:val="724F5642"/>
    <w:rsid w:val="725C6E11"/>
    <w:rsid w:val="72A32D04"/>
    <w:rsid w:val="72BB092C"/>
    <w:rsid w:val="72CF74FD"/>
    <w:rsid w:val="72E66AD9"/>
    <w:rsid w:val="733B2C46"/>
    <w:rsid w:val="735C112E"/>
    <w:rsid w:val="737D20FD"/>
    <w:rsid w:val="738D3AA3"/>
    <w:rsid w:val="739A6387"/>
    <w:rsid w:val="73AD2D51"/>
    <w:rsid w:val="73C20425"/>
    <w:rsid w:val="73C75BD2"/>
    <w:rsid w:val="73EC203F"/>
    <w:rsid w:val="73FB748D"/>
    <w:rsid w:val="73FB77A4"/>
    <w:rsid w:val="74235525"/>
    <w:rsid w:val="743145B2"/>
    <w:rsid w:val="74353E73"/>
    <w:rsid w:val="74B01923"/>
    <w:rsid w:val="75176742"/>
    <w:rsid w:val="7544120A"/>
    <w:rsid w:val="75511B49"/>
    <w:rsid w:val="757451FD"/>
    <w:rsid w:val="75B811D1"/>
    <w:rsid w:val="75BB54C7"/>
    <w:rsid w:val="75DC6924"/>
    <w:rsid w:val="76055F74"/>
    <w:rsid w:val="76600FF6"/>
    <w:rsid w:val="768957A5"/>
    <w:rsid w:val="768A490E"/>
    <w:rsid w:val="76EF6ACE"/>
    <w:rsid w:val="76F456C0"/>
    <w:rsid w:val="777549D1"/>
    <w:rsid w:val="779A7A6A"/>
    <w:rsid w:val="77AE2E11"/>
    <w:rsid w:val="77B6435A"/>
    <w:rsid w:val="77BC067B"/>
    <w:rsid w:val="77CE2C24"/>
    <w:rsid w:val="77E12BF9"/>
    <w:rsid w:val="784B7B8A"/>
    <w:rsid w:val="785B17CD"/>
    <w:rsid w:val="792F008A"/>
    <w:rsid w:val="79901B38"/>
    <w:rsid w:val="79A34DCD"/>
    <w:rsid w:val="79AD397F"/>
    <w:rsid w:val="79BA1C06"/>
    <w:rsid w:val="79CA67B5"/>
    <w:rsid w:val="79CD1400"/>
    <w:rsid w:val="79FF2B40"/>
    <w:rsid w:val="7A147B24"/>
    <w:rsid w:val="7A1D6722"/>
    <w:rsid w:val="7A83732B"/>
    <w:rsid w:val="7A9971FA"/>
    <w:rsid w:val="7A9E244C"/>
    <w:rsid w:val="7AB61FB4"/>
    <w:rsid w:val="7AB62211"/>
    <w:rsid w:val="7ABA4E4C"/>
    <w:rsid w:val="7ACE2C4E"/>
    <w:rsid w:val="7ADC7A92"/>
    <w:rsid w:val="7ADE26A5"/>
    <w:rsid w:val="7AE64783"/>
    <w:rsid w:val="7B210965"/>
    <w:rsid w:val="7B3C4FA1"/>
    <w:rsid w:val="7B3F2D33"/>
    <w:rsid w:val="7BC345AC"/>
    <w:rsid w:val="7BD34ADA"/>
    <w:rsid w:val="7C615F71"/>
    <w:rsid w:val="7C707C7F"/>
    <w:rsid w:val="7C7B4522"/>
    <w:rsid w:val="7C995D97"/>
    <w:rsid w:val="7C9967B5"/>
    <w:rsid w:val="7D805CFD"/>
    <w:rsid w:val="7D9377EF"/>
    <w:rsid w:val="7DA02F58"/>
    <w:rsid w:val="7DE73C53"/>
    <w:rsid w:val="7DF27EC5"/>
    <w:rsid w:val="7DF7790F"/>
    <w:rsid w:val="7E1A4BC8"/>
    <w:rsid w:val="7E421A24"/>
    <w:rsid w:val="7E510C2C"/>
    <w:rsid w:val="7E84376D"/>
    <w:rsid w:val="7E94154B"/>
    <w:rsid w:val="7E9A2903"/>
    <w:rsid w:val="7EC73F50"/>
    <w:rsid w:val="7F2E3E47"/>
    <w:rsid w:val="7F964083"/>
    <w:rsid w:val="7FA84A86"/>
    <w:rsid w:val="7FFA61F7"/>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semiHidden="0" w:name="Normal Indent" w:locked="1"/>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qFormat="1" w:uiPriority="99" w:semiHidden="0" w:name="footnote reference" w:locked="1"/>
    <w:lsdException w:uiPriority="99" w:name="annotation reference" w:locked="1"/>
    <w:lsdException w:uiPriority="99" w:name="line number" w:locked="1"/>
    <w:lsdException w:qFormat="1" w:uiPriority="99"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ocked="1"/>
    <w:lsdException w:uiPriority="99" w:name="Closing" w:locked="1"/>
    <w:lsdException w:uiPriority="99" w:name="Signature" w:locked="1"/>
    <w:lsdException w:qFormat="1" w:uiPriority="1" w:semiHidden="0" w:name="Default Paragraph Font"/>
    <w:lsdException w:qFormat="1" w:unhideWhenUsed="0" w:uiPriority="0"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qFormat="1" w:unhideWhenUsed="0" w:uiPriority="0" w:semiHidden="0" w:name="Body Text 3" w:locked="1"/>
    <w:lsdException w:uiPriority="99" w:name="Body Text Indent 2" w:locked="1"/>
    <w:lsdException w:qFormat="1" w:unhideWhenUsed="0" w:uiPriority="0" w:semiHidden="0"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iPriority="0" w:semiHidden="0"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qFormat="1" w:unhideWhenUsed="0" w:uiPriority="0" w:semiHidden="0"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400" w:firstLineChars="200"/>
    </w:pPr>
    <w:rPr>
      <w:rFonts w:ascii="方正仿宋_GBK" w:hAnsi="方正仿宋_GBK" w:eastAsia="方正仿宋_GBK" w:cs="Times New Roman"/>
      <w:sz w:val="32"/>
      <w:szCs w:val="22"/>
      <w:lang w:val="en-US" w:eastAsia="en-US" w:bidi="ar-SA"/>
    </w:rPr>
  </w:style>
  <w:style w:type="paragraph" w:styleId="3">
    <w:name w:val="heading 1"/>
    <w:basedOn w:val="1"/>
    <w:next w:val="1"/>
    <w:link w:val="40"/>
    <w:qFormat/>
    <w:uiPriority w:val="0"/>
    <w:pPr>
      <w:ind w:left="0"/>
      <w:outlineLvl w:val="0"/>
    </w:pPr>
    <w:rPr>
      <w:rFonts w:ascii="Microsoft JhengHei" w:hAnsi="Microsoft JhengHei" w:eastAsia="方正黑体_GBK"/>
      <w:b/>
      <w:bCs/>
      <w:sz w:val="32"/>
      <w:szCs w:val="44"/>
    </w:rPr>
  </w:style>
  <w:style w:type="paragraph" w:styleId="4">
    <w:name w:val="heading 2"/>
    <w:basedOn w:val="1"/>
    <w:next w:val="1"/>
    <w:link w:val="42"/>
    <w:qFormat/>
    <w:uiPriority w:val="0"/>
    <w:pPr>
      <w:ind w:left="100"/>
      <w:outlineLvl w:val="1"/>
    </w:pPr>
    <w:rPr>
      <w:rFonts w:ascii="方正楷体_GBK" w:hAnsi="方正楷体_GBK" w:eastAsia="方正楷体_GBK"/>
      <w:bCs/>
      <w:szCs w:val="32"/>
    </w:rPr>
  </w:style>
  <w:style w:type="paragraph" w:styleId="5">
    <w:name w:val="heading 3"/>
    <w:basedOn w:val="1"/>
    <w:next w:val="1"/>
    <w:link w:val="43"/>
    <w:qFormat/>
    <w:uiPriority w:val="0"/>
    <w:pPr>
      <w:ind w:left="237"/>
      <w:outlineLvl w:val="2"/>
    </w:pPr>
    <w:rPr>
      <w:rFonts w:ascii="宋体" w:hAnsi="宋体"/>
      <w:sz w:val="28"/>
      <w:szCs w:val="28"/>
    </w:rPr>
  </w:style>
  <w:style w:type="paragraph" w:styleId="6">
    <w:name w:val="heading 4"/>
    <w:basedOn w:val="1"/>
    <w:next w:val="1"/>
    <w:link w:val="44"/>
    <w:qFormat/>
    <w:uiPriority w:val="0"/>
    <w:pPr>
      <w:ind w:left="522"/>
      <w:outlineLvl w:val="3"/>
    </w:pPr>
    <w:rPr>
      <w:rFonts w:ascii="Times New Roman" w:hAnsi="Times New Roman"/>
      <w:b/>
      <w:bCs/>
      <w:sz w:val="21"/>
      <w:szCs w:val="21"/>
    </w:rPr>
  </w:style>
  <w:style w:type="paragraph" w:styleId="7">
    <w:name w:val="heading 6"/>
    <w:basedOn w:val="1"/>
    <w:next w:val="1"/>
    <w:link w:val="45"/>
    <w:qFormat/>
    <w:locked/>
    <w:uiPriority w:val="0"/>
    <w:pPr>
      <w:keepNext/>
      <w:keepLines/>
      <w:widowControl/>
      <w:tabs>
        <w:tab w:val="left" w:pos="1440"/>
      </w:tabs>
      <w:spacing w:before="240" w:after="64" w:line="320" w:lineRule="auto"/>
      <w:ind w:left="1152" w:hanging="1152"/>
      <w:outlineLvl w:val="5"/>
    </w:pPr>
    <w:rPr>
      <w:rFonts w:ascii="Arial" w:hAnsi="Arial" w:eastAsia="黑体"/>
      <w:b/>
      <w:bCs/>
      <w:sz w:val="24"/>
      <w:szCs w:val="24"/>
      <w:lang w:eastAsia="zh-CN"/>
    </w:rPr>
  </w:style>
  <w:style w:type="paragraph" w:styleId="8">
    <w:name w:val="heading 7"/>
    <w:basedOn w:val="1"/>
    <w:next w:val="1"/>
    <w:link w:val="46"/>
    <w:qFormat/>
    <w:locked/>
    <w:uiPriority w:val="0"/>
    <w:pPr>
      <w:keepNext/>
      <w:keepLines/>
      <w:widowControl/>
      <w:tabs>
        <w:tab w:val="left" w:pos="2520"/>
      </w:tabs>
      <w:spacing w:before="240" w:after="64" w:line="320" w:lineRule="auto"/>
      <w:ind w:left="1296" w:hanging="1296"/>
      <w:outlineLvl w:val="6"/>
    </w:pPr>
    <w:rPr>
      <w:rFonts w:ascii="Times New Roman" w:hAnsi="Times New Roman"/>
      <w:b/>
      <w:bCs/>
      <w:sz w:val="24"/>
      <w:szCs w:val="24"/>
      <w:lang w:eastAsia="zh-CN"/>
    </w:rPr>
  </w:style>
  <w:style w:type="paragraph" w:styleId="9">
    <w:name w:val="heading 8"/>
    <w:basedOn w:val="1"/>
    <w:next w:val="1"/>
    <w:link w:val="47"/>
    <w:qFormat/>
    <w:locked/>
    <w:uiPriority w:val="0"/>
    <w:pPr>
      <w:keepNext/>
      <w:keepLines/>
      <w:widowControl/>
      <w:tabs>
        <w:tab w:val="left" w:pos="1440"/>
      </w:tabs>
      <w:spacing w:before="240" w:after="64" w:line="320" w:lineRule="auto"/>
      <w:ind w:left="1440" w:hanging="1440"/>
      <w:outlineLvl w:val="7"/>
    </w:pPr>
    <w:rPr>
      <w:rFonts w:ascii="Arial" w:hAnsi="Arial" w:eastAsia="黑体"/>
      <w:sz w:val="24"/>
      <w:szCs w:val="24"/>
      <w:lang w:eastAsia="zh-CN"/>
    </w:rPr>
  </w:style>
  <w:style w:type="paragraph" w:styleId="10">
    <w:name w:val="heading 9"/>
    <w:basedOn w:val="1"/>
    <w:next w:val="1"/>
    <w:link w:val="48"/>
    <w:qFormat/>
    <w:locked/>
    <w:uiPriority w:val="0"/>
    <w:pPr>
      <w:keepNext/>
      <w:keepLines/>
      <w:widowControl/>
      <w:tabs>
        <w:tab w:val="left" w:pos="1584"/>
      </w:tabs>
      <w:spacing w:before="240" w:after="64" w:line="320" w:lineRule="auto"/>
      <w:ind w:left="1584" w:hanging="1584"/>
      <w:outlineLvl w:val="8"/>
    </w:pPr>
    <w:rPr>
      <w:rFonts w:ascii="Arial" w:hAnsi="Arial" w:eastAsia="黑体"/>
      <w:sz w:val="20"/>
      <w:szCs w:val="21"/>
      <w:lang w:eastAsia="zh-CN"/>
    </w:rPr>
  </w:style>
  <w:style w:type="character" w:default="1" w:styleId="35">
    <w:name w:val="Default Paragraph Font"/>
    <w:unhideWhenUsed/>
    <w:qFormat/>
    <w:uiPriority w:val="1"/>
  </w:style>
  <w:style w:type="table" w:default="1" w:styleId="34">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link w:val="50"/>
    <w:qFormat/>
    <w:uiPriority w:val="0"/>
    <w:pPr>
      <w:ind w:left="100"/>
    </w:pPr>
    <w:rPr>
      <w:rFonts w:ascii="宋体" w:hAnsi="宋体"/>
      <w:sz w:val="21"/>
      <w:szCs w:val="21"/>
    </w:rPr>
  </w:style>
  <w:style w:type="paragraph" w:styleId="11">
    <w:name w:val="toc 7"/>
    <w:basedOn w:val="1"/>
    <w:next w:val="1"/>
    <w:qFormat/>
    <w:uiPriority w:val="39"/>
    <w:pPr>
      <w:ind w:left="2520" w:leftChars="1200"/>
      <w:jc w:val="both"/>
    </w:pPr>
    <w:rPr>
      <w:kern w:val="2"/>
      <w:sz w:val="21"/>
      <w:lang w:eastAsia="zh-CN"/>
    </w:rPr>
  </w:style>
  <w:style w:type="paragraph" w:styleId="12">
    <w:name w:val="Normal Indent"/>
    <w:basedOn w:val="1"/>
    <w:unhideWhenUsed/>
    <w:qFormat/>
    <w:locked/>
    <w:uiPriority w:val="99"/>
    <w:pPr>
      <w:ind w:firstLine="420"/>
    </w:pPr>
  </w:style>
  <w:style w:type="paragraph" w:styleId="13">
    <w:name w:val="Document Map"/>
    <w:basedOn w:val="1"/>
    <w:link w:val="100"/>
    <w:unhideWhenUsed/>
    <w:qFormat/>
    <w:locked/>
    <w:uiPriority w:val="0"/>
    <w:pPr>
      <w:jc w:val="both"/>
    </w:pPr>
    <w:rPr>
      <w:rFonts w:ascii="宋体"/>
      <w:kern w:val="2"/>
      <w:sz w:val="18"/>
      <w:szCs w:val="18"/>
      <w:lang w:eastAsia="zh-CN"/>
    </w:rPr>
  </w:style>
  <w:style w:type="paragraph" w:styleId="14">
    <w:name w:val="annotation text"/>
    <w:basedOn w:val="1"/>
    <w:link w:val="59"/>
    <w:qFormat/>
    <w:uiPriority w:val="99"/>
    <w:rPr>
      <w:rFonts w:ascii="Times New Roman" w:hAnsi="Times New Roman"/>
      <w:kern w:val="2"/>
      <w:sz w:val="21"/>
      <w:lang w:eastAsia="zh-CN"/>
    </w:rPr>
  </w:style>
  <w:style w:type="paragraph" w:styleId="15">
    <w:name w:val="Body Text 3"/>
    <w:basedOn w:val="1"/>
    <w:link w:val="125"/>
    <w:qFormat/>
    <w:locked/>
    <w:uiPriority w:val="0"/>
    <w:pPr>
      <w:jc w:val="both"/>
    </w:pPr>
    <w:rPr>
      <w:rFonts w:ascii="宋体"/>
      <w:sz w:val="24"/>
      <w:szCs w:val="20"/>
      <w:lang w:eastAsia="zh-CN"/>
    </w:rPr>
  </w:style>
  <w:style w:type="paragraph" w:styleId="16">
    <w:name w:val="Body Text Indent"/>
    <w:basedOn w:val="1"/>
    <w:link w:val="131"/>
    <w:qFormat/>
    <w:locked/>
    <w:uiPriority w:val="0"/>
    <w:pPr>
      <w:spacing w:after="120"/>
      <w:ind w:left="420" w:leftChars="200"/>
      <w:jc w:val="both"/>
    </w:pPr>
    <w:rPr>
      <w:sz w:val="20"/>
      <w:szCs w:val="24"/>
      <w:lang w:eastAsia="zh-CN"/>
    </w:rPr>
  </w:style>
  <w:style w:type="paragraph" w:styleId="17">
    <w:name w:val="toc 5"/>
    <w:basedOn w:val="1"/>
    <w:next w:val="1"/>
    <w:qFormat/>
    <w:uiPriority w:val="39"/>
    <w:pPr>
      <w:ind w:left="1680" w:leftChars="800"/>
      <w:jc w:val="both"/>
    </w:pPr>
    <w:rPr>
      <w:kern w:val="2"/>
      <w:sz w:val="21"/>
      <w:lang w:eastAsia="zh-CN"/>
    </w:rPr>
  </w:style>
  <w:style w:type="paragraph" w:styleId="18">
    <w:name w:val="toc 3"/>
    <w:basedOn w:val="1"/>
    <w:next w:val="1"/>
    <w:qFormat/>
    <w:uiPriority w:val="39"/>
    <w:pPr>
      <w:ind w:left="940"/>
    </w:pPr>
    <w:rPr>
      <w:rFonts w:ascii="宋体" w:hAnsi="宋体"/>
      <w:sz w:val="21"/>
      <w:szCs w:val="21"/>
    </w:rPr>
  </w:style>
  <w:style w:type="paragraph" w:styleId="19">
    <w:name w:val="toc 8"/>
    <w:basedOn w:val="1"/>
    <w:next w:val="1"/>
    <w:qFormat/>
    <w:uiPriority w:val="39"/>
    <w:pPr>
      <w:ind w:left="2940" w:leftChars="1400"/>
      <w:jc w:val="both"/>
    </w:pPr>
    <w:rPr>
      <w:kern w:val="2"/>
      <w:sz w:val="21"/>
      <w:lang w:eastAsia="zh-CN"/>
    </w:rPr>
  </w:style>
  <w:style w:type="paragraph" w:styleId="20">
    <w:name w:val="Date"/>
    <w:basedOn w:val="1"/>
    <w:next w:val="1"/>
    <w:link w:val="60"/>
    <w:qFormat/>
    <w:uiPriority w:val="0"/>
    <w:pPr>
      <w:ind w:left="100" w:leftChars="2500"/>
      <w:jc w:val="both"/>
    </w:pPr>
    <w:rPr>
      <w:kern w:val="2"/>
      <w:sz w:val="21"/>
      <w:lang w:eastAsia="zh-CN"/>
    </w:rPr>
  </w:style>
  <w:style w:type="paragraph" w:styleId="21">
    <w:name w:val="Balloon Text"/>
    <w:basedOn w:val="1"/>
    <w:link w:val="54"/>
    <w:qFormat/>
    <w:uiPriority w:val="0"/>
    <w:rPr>
      <w:sz w:val="18"/>
      <w:szCs w:val="18"/>
    </w:rPr>
  </w:style>
  <w:style w:type="paragraph" w:styleId="22">
    <w:name w:val="footer"/>
    <w:basedOn w:val="1"/>
    <w:link w:val="56"/>
    <w:qFormat/>
    <w:uiPriority w:val="99"/>
    <w:pPr>
      <w:tabs>
        <w:tab w:val="center" w:pos="4153"/>
        <w:tab w:val="right" w:pos="8306"/>
      </w:tabs>
      <w:snapToGrid w:val="0"/>
    </w:pPr>
    <w:rPr>
      <w:sz w:val="18"/>
      <w:szCs w:val="18"/>
    </w:rPr>
  </w:style>
  <w:style w:type="paragraph" w:styleId="23">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ind w:left="100"/>
    </w:pPr>
    <w:rPr>
      <w:rFonts w:ascii="宋体" w:hAnsi="宋体"/>
      <w:sz w:val="21"/>
      <w:szCs w:val="21"/>
    </w:rPr>
  </w:style>
  <w:style w:type="paragraph" w:styleId="25">
    <w:name w:val="toc 4"/>
    <w:basedOn w:val="1"/>
    <w:next w:val="1"/>
    <w:qFormat/>
    <w:uiPriority w:val="39"/>
    <w:pPr>
      <w:ind w:left="1260" w:leftChars="600"/>
      <w:jc w:val="both"/>
    </w:pPr>
    <w:rPr>
      <w:kern w:val="2"/>
      <w:sz w:val="21"/>
      <w:lang w:eastAsia="zh-CN"/>
    </w:rPr>
  </w:style>
  <w:style w:type="paragraph" w:styleId="26">
    <w:name w:val="footnote text"/>
    <w:basedOn w:val="1"/>
    <w:link w:val="96"/>
    <w:qFormat/>
    <w:uiPriority w:val="99"/>
    <w:pPr>
      <w:snapToGrid w:val="0"/>
    </w:pPr>
    <w:rPr>
      <w:kern w:val="2"/>
      <w:sz w:val="18"/>
      <w:szCs w:val="18"/>
      <w:lang w:eastAsia="zh-CN"/>
    </w:rPr>
  </w:style>
  <w:style w:type="paragraph" w:styleId="27">
    <w:name w:val="toc 6"/>
    <w:basedOn w:val="1"/>
    <w:next w:val="1"/>
    <w:qFormat/>
    <w:uiPriority w:val="39"/>
    <w:pPr>
      <w:ind w:left="2100" w:leftChars="1000"/>
      <w:jc w:val="both"/>
    </w:pPr>
    <w:rPr>
      <w:kern w:val="2"/>
      <w:sz w:val="21"/>
      <w:lang w:eastAsia="zh-CN"/>
    </w:rPr>
  </w:style>
  <w:style w:type="paragraph" w:styleId="28">
    <w:name w:val="Body Text Indent 3"/>
    <w:basedOn w:val="1"/>
    <w:link w:val="127"/>
    <w:qFormat/>
    <w:locked/>
    <w:uiPriority w:val="0"/>
    <w:pPr>
      <w:spacing w:after="120"/>
      <w:ind w:left="420" w:leftChars="200"/>
      <w:jc w:val="both"/>
    </w:pPr>
    <w:rPr>
      <w:sz w:val="16"/>
      <w:szCs w:val="16"/>
      <w:lang w:eastAsia="zh-CN"/>
    </w:rPr>
  </w:style>
  <w:style w:type="paragraph" w:styleId="29">
    <w:name w:val="toc 2"/>
    <w:basedOn w:val="1"/>
    <w:next w:val="1"/>
    <w:qFormat/>
    <w:uiPriority w:val="39"/>
    <w:pPr>
      <w:ind w:left="520"/>
    </w:pPr>
    <w:rPr>
      <w:rFonts w:ascii="宋体" w:hAnsi="宋体"/>
      <w:sz w:val="21"/>
      <w:szCs w:val="21"/>
    </w:rPr>
  </w:style>
  <w:style w:type="paragraph" w:styleId="30">
    <w:name w:val="toc 9"/>
    <w:basedOn w:val="1"/>
    <w:next w:val="1"/>
    <w:qFormat/>
    <w:uiPriority w:val="39"/>
    <w:pPr>
      <w:ind w:left="3360" w:leftChars="1600"/>
      <w:jc w:val="both"/>
    </w:pPr>
    <w:rPr>
      <w:kern w:val="2"/>
      <w:sz w:val="21"/>
      <w:lang w:eastAsia="zh-CN"/>
    </w:rPr>
  </w:style>
  <w:style w:type="paragraph" w:styleId="31">
    <w:name w:val="Normal (Web)"/>
    <w:basedOn w:val="1"/>
    <w:qFormat/>
    <w:uiPriority w:val="99"/>
    <w:pPr>
      <w:widowControl/>
      <w:spacing w:before="100" w:beforeAutospacing="1" w:after="100" w:afterAutospacing="1"/>
    </w:pPr>
    <w:rPr>
      <w:rFonts w:ascii="宋体" w:hAnsi="宋体" w:cs="宋体"/>
      <w:sz w:val="24"/>
      <w:szCs w:val="24"/>
      <w:lang w:eastAsia="zh-CN"/>
    </w:rPr>
  </w:style>
  <w:style w:type="paragraph" w:styleId="32">
    <w:name w:val="Title"/>
    <w:basedOn w:val="1"/>
    <w:next w:val="1"/>
    <w:link w:val="41"/>
    <w:qFormat/>
    <w:locked/>
    <w:uiPriority w:val="0"/>
    <w:pPr>
      <w:adjustRightInd w:val="0"/>
      <w:spacing w:before="240" w:after="60" w:line="420" w:lineRule="atLeast"/>
      <w:jc w:val="center"/>
      <w:textAlignment w:val="baseline"/>
      <w:outlineLvl w:val="0"/>
    </w:pPr>
    <w:rPr>
      <w:rFonts w:ascii="Arial" w:hAnsi="Arial"/>
      <w:b/>
      <w:sz w:val="32"/>
      <w:szCs w:val="20"/>
      <w:lang w:eastAsia="zh-CN"/>
    </w:rPr>
  </w:style>
  <w:style w:type="paragraph" w:styleId="33">
    <w:name w:val="annotation subject"/>
    <w:basedOn w:val="14"/>
    <w:next w:val="14"/>
    <w:link w:val="129"/>
    <w:qFormat/>
    <w:locked/>
    <w:uiPriority w:val="0"/>
    <w:rPr>
      <w:rFonts w:ascii="Calibri" w:hAnsi="Calibri"/>
      <w:b/>
      <w:bCs/>
      <w:kern w:val="0"/>
      <w:sz w:val="20"/>
      <w:szCs w:val="24"/>
    </w:rPr>
  </w:style>
  <w:style w:type="character" w:styleId="36">
    <w:name w:val="page number"/>
    <w:basedOn w:val="35"/>
    <w:unhideWhenUsed/>
    <w:qFormat/>
    <w:locked/>
    <w:uiPriority w:val="99"/>
  </w:style>
  <w:style w:type="character" w:styleId="37">
    <w:name w:val="FollowedHyperlink"/>
    <w:qFormat/>
    <w:uiPriority w:val="99"/>
    <w:rPr>
      <w:rFonts w:cs="Times New Roman"/>
      <w:color w:val="800080"/>
      <w:u w:val="single"/>
    </w:rPr>
  </w:style>
  <w:style w:type="character" w:styleId="38">
    <w:name w:val="Hyperlink"/>
    <w:basedOn w:val="35"/>
    <w:qFormat/>
    <w:uiPriority w:val="99"/>
    <w:rPr>
      <w:rFonts w:cs="Times New Roman"/>
      <w:color w:val="0000FF"/>
      <w:u w:val="single"/>
    </w:rPr>
  </w:style>
  <w:style w:type="character" w:styleId="39">
    <w:name w:val="footnote reference"/>
    <w:unhideWhenUsed/>
    <w:qFormat/>
    <w:locked/>
    <w:uiPriority w:val="99"/>
    <w:rPr>
      <w:vertAlign w:val="superscript"/>
    </w:rPr>
  </w:style>
  <w:style w:type="character" w:customStyle="1" w:styleId="40">
    <w:name w:val="标题 1 Char"/>
    <w:link w:val="3"/>
    <w:qFormat/>
    <w:locked/>
    <w:uiPriority w:val="0"/>
    <w:rPr>
      <w:rFonts w:ascii="Microsoft JhengHei" w:hAnsi="Microsoft JhengHei" w:eastAsia="方正黑体_GBK" w:cs="Times New Roman"/>
      <w:b/>
      <w:bCs/>
      <w:sz w:val="32"/>
      <w:szCs w:val="44"/>
    </w:rPr>
  </w:style>
  <w:style w:type="character" w:customStyle="1" w:styleId="41">
    <w:name w:val="标题 Char"/>
    <w:link w:val="32"/>
    <w:qFormat/>
    <w:uiPriority w:val="0"/>
    <w:rPr>
      <w:rFonts w:ascii="Arial" w:hAnsi="Arial"/>
      <w:b/>
      <w:sz w:val="32"/>
    </w:rPr>
  </w:style>
  <w:style w:type="character" w:customStyle="1" w:styleId="42">
    <w:name w:val="标题 2 Char"/>
    <w:link w:val="4"/>
    <w:qFormat/>
    <w:locked/>
    <w:uiPriority w:val="0"/>
    <w:rPr>
      <w:rFonts w:ascii="方正楷体_GBK" w:hAnsi="方正楷体_GBK" w:eastAsia="方正楷体_GBK" w:cs="Times New Roman"/>
      <w:bCs/>
      <w:sz w:val="32"/>
      <w:szCs w:val="32"/>
    </w:rPr>
  </w:style>
  <w:style w:type="character" w:customStyle="1" w:styleId="43">
    <w:name w:val="标题 3 Char"/>
    <w:link w:val="5"/>
    <w:qFormat/>
    <w:locked/>
    <w:uiPriority w:val="0"/>
    <w:rPr>
      <w:rFonts w:ascii="宋体" w:hAnsi="宋体" w:eastAsia="宋体" w:cs="Times New Roman"/>
      <w:sz w:val="28"/>
      <w:szCs w:val="28"/>
    </w:rPr>
  </w:style>
  <w:style w:type="character" w:customStyle="1" w:styleId="44">
    <w:name w:val="标题 4 Char"/>
    <w:link w:val="6"/>
    <w:qFormat/>
    <w:locked/>
    <w:uiPriority w:val="0"/>
    <w:rPr>
      <w:rFonts w:ascii="Cambria" w:hAnsi="Cambria" w:eastAsia="宋体" w:cs="Times New Roman"/>
      <w:b/>
      <w:bCs/>
      <w:kern w:val="0"/>
      <w:sz w:val="28"/>
      <w:szCs w:val="28"/>
      <w:lang w:eastAsia="en-US"/>
    </w:rPr>
  </w:style>
  <w:style w:type="character" w:customStyle="1" w:styleId="45">
    <w:name w:val="标题 6 Char"/>
    <w:link w:val="7"/>
    <w:qFormat/>
    <w:uiPriority w:val="0"/>
    <w:rPr>
      <w:rFonts w:ascii="Arial" w:hAnsi="Arial" w:eastAsia="黑体"/>
      <w:b/>
      <w:bCs/>
      <w:sz w:val="24"/>
      <w:szCs w:val="24"/>
    </w:rPr>
  </w:style>
  <w:style w:type="character" w:customStyle="1" w:styleId="46">
    <w:name w:val="标题 7 Char"/>
    <w:link w:val="8"/>
    <w:qFormat/>
    <w:uiPriority w:val="0"/>
    <w:rPr>
      <w:rFonts w:ascii="Times New Roman" w:hAnsi="Times New Roman"/>
      <w:b/>
      <w:bCs/>
      <w:sz w:val="24"/>
      <w:szCs w:val="24"/>
    </w:rPr>
  </w:style>
  <w:style w:type="character" w:customStyle="1" w:styleId="47">
    <w:name w:val="标题 8 Char"/>
    <w:link w:val="9"/>
    <w:qFormat/>
    <w:uiPriority w:val="0"/>
    <w:rPr>
      <w:rFonts w:ascii="Arial" w:hAnsi="Arial" w:eastAsia="黑体"/>
      <w:sz w:val="24"/>
      <w:szCs w:val="24"/>
    </w:rPr>
  </w:style>
  <w:style w:type="character" w:customStyle="1" w:styleId="48">
    <w:name w:val="标题 9 Char"/>
    <w:link w:val="10"/>
    <w:qFormat/>
    <w:uiPriority w:val="0"/>
    <w:rPr>
      <w:rFonts w:ascii="Arial" w:hAnsi="Arial" w:eastAsia="黑体"/>
      <w:szCs w:val="21"/>
    </w:rPr>
  </w:style>
  <w:style w:type="table" w:customStyle="1" w:styleId="49">
    <w:name w:val="Table Normal1"/>
    <w:semiHidden/>
    <w:qFormat/>
    <w:uiPriority w:val="99"/>
    <w:pPr>
      <w:widowControl w:val="0"/>
    </w:pPr>
    <w:rPr>
      <w:sz w:val="22"/>
      <w:szCs w:val="22"/>
      <w:lang w:eastAsia="en-US"/>
    </w:rPr>
    <w:tblPr>
      <w:tblLayout w:type="fixed"/>
      <w:tblCellMar>
        <w:top w:w="0" w:type="dxa"/>
        <w:left w:w="0" w:type="dxa"/>
        <w:bottom w:w="0" w:type="dxa"/>
        <w:right w:w="0" w:type="dxa"/>
      </w:tblCellMar>
    </w:tblPr>
  </w:style>
  <w:style w:type="character" w:customStyle="1" w:styleId="50">
    <w:name w:val="正文文本 Char"/>
    <w:link w:val="2"/>
    <w:qFormat/>
    <w:locked/>
    <w:uiPriority w:val="0"/>
    <w:rPr>
      <w:rFonts w:cs="Times New Roman"/>
      <w:kern w:val="0"/>
      <w:sz w:val="22"/>
      <w:lang w:eastAsia="en-US"/>
    </w:rPr>
  </w:style>
  <w:style w:type="paragraph" w:customStyle="1" w:styleId="51">
    <w:name w:val="列出段落1"/>
    <w:basedOn w:val="1"/>
    <w:link w:val="52"/>
    <w:qFormat/>
    <w:uiPriority w:val="99"/>
  </w:style>
  <w:style w:type="character" w:customStyle="1" w:styleId="52">
    <w:name w:val="列出段落 Char"/>
    <w:link w:val="51"/>
    <w:qFormat/>
    <w:locked/>
    <w:uiPriority w:val="34"/>
  </w:style>
  <w:style w:type="paragraph" w:customStyle="1" w:styleId="53">
    <w:name w:val="Table Paragraph"/>
    <w:basedOn w:val="1"/>
    <w:qFormat/>
    <w:uiPriority w:val="99"/>
  </w:style>
  <w:style w:type="character" w:customStyle="1" w:styleId="54">
    <w:name w:val="批注框文本 Char"/>
    <w:link w:val="21"/>
    <w:qFormat/>
    <w:locked/>
    <w:uiPriority w:val="0"/>
    <w:rPr>
      <w:rFonts w:cs="Times New Roman"/>
      <w:sz w:val="18"/>
      <w:szCs w:val="18"/>
    </w:rPr>
  </w:style>
  <w:style w:type="character" w:customStyle="1" w:styleId="55">
    <w:name w:val="页眉 Char"/>
    <w:link w:val="23"/>
    <w:qFormat/>
    <w:locked/>
    <w:uiPriority w:val="99"/>
    <w:rPr>
      <w:rFonts w:cs="Times New Roman"/>
      <w:sz w:val="18"/>
      <w:szCs w:val="18"/>
    </w:rPr>
  </w:style>
  <w:style w:type="character" w:customStyle="1" w:styleId="56">
    <w:name w:val="页脚 Char"/>
    <w:link w:val="22"/>
    <w:qFormat/>
    <w:locked/>
    <w:uiPriority w:val="99"/>
    <w:rPr>
      <w:rFonts w:cs="Times New Roman"/>
      <w:sz w:val="18"/>
      <w:szCs w:val="18"/>
    </w:rPr>
  </w:style>
  <w:style w:type="paragraph" w:customStyle="1" w:styleId="57">
    <w:name w:val="p0"/>
    <w:basedOn w:val="1"/>
    <w:qFormat/>
    <w:uiPriority w:val="0"/>
    <w:pPr>
      <w:widowControl/>
      <w:jc w:val="both"/>
    </w:pPr>
    <w:rPr>
      <w:rFonts w:cs="宋体"/>
      <w:sz w:val="21"/>
      <w:szCs w:val="21"/>
      <w:lang w:eastAsia="zh-CN"/>
    </w:rPr>
  </w:style>
  <w:style w:type="paragraph" w:customStyle="1" w:styleId="58">
    <w:name w:val="列出段落111"/>
    <w:basedOn w:val="1"/>
    <w:qFormat/>
    <w:uiPriority w:val="34"/>
    <w:pPr>
      <w:ind w:firstLine="420" w:firstLineChars="200"/>
      <w:jc w:val="both"/>
    </w:pPr>
    <w:rPr>
      <w:rFonts w:ascii="Times New Roman" w:hAnsi="Times New Roman"/>
      <w:kern w:val="2"/>
      <w:sz w:val="21"/>
      <w:szCs w:val="24"/>
      <w:lang w:eastAsia="zh-CN"/>
    </w:rPr>
  </w:style>
  <w:style w:type="character" w:customStyle="1" w:styleId="59">
    <w:name w:val="批注文字 Char"/>
    <w:link w:val="14"/>
    <w:qFormat/>
    <w:locked/>
    <w:uiPriority w:val="99"/>
    <w:rPr>
      <w:rFonts w:ascii="Times New Roman" w:hAnsi="Times New Roman" w:cs="Times New Roman"/>
      <w:kern w:val="2"/>
      <w:sz w:val="21"/>
      <w:lang w:eastAsia="zh-CN"/>
    </w:rPr>
  </w:style>
  <w:style w:type="character" w:customStyle="1" w:styleId="60">
    <w:name w:val="日期 Char"/>
    <w:link w:val="20"/>
    <w:qFormat/>
    <w:locked/>
    <w:uiPriority w:val="0"/>
    <w:rPr>
      <w:rFonts w:cs="Times New Roman"/>
      <w:kern w:val="2"/>
      <w:sz w:val="21"/>
      <w:lang w:eastAsia="zh-CN"/>
    </w:rPr>
  </w:style>
  <w:style w:type="character" w:customStyle="1" w:styleId="61">
    <w:name w:val="页脚 Char1"/>
    <w:qFormat/>
    <w:uiPriority w:val="0"/>
    <w:rPr>
      <w:rFonts w:ascii="Calibri" w:hAnsi="Calibri" w:eastAsia="宋体"/>
      <w:kern w:val="2"/>
      <w:sz w:val="18"/>
    </w:rPr>
  </w:style>
  <w:style w:type="character" w:customStyle="1" w:styleId="62">
    <w:name w:val="页眉 Char1"/>
    <w:qFormat/>
    <w:uiPriority w:val="0"/>
    <w:rPr>
      <w:rFonts w:ascii="Calibri" w:hAnsi="Calibri" w:eastAsia="宋体"/>
      <w:kern w:val="2"/>
      <w:sz w:val="18"/>
    </w:rPr>
  </w:style>
  <w:style w:type="character" w:customStyle="1" w:styleId="63">
    <w:name w:val="样式9 Char"/>
    <w:link w:val="64"/>
    <w:qFormat/>
    <w:locked/>
    <w:uiPriority w:val="0"/>
    <w:rPr>
      <w:rFonts w:ascii="仿宋_GB2312" w:hAnsi="Times New Roman" w:eastAsia="仿宋_GB2312"/>
      <w:sz w:val="32"/>
    </w:rPr>
  </w:style>
  <w:style w:type="paragraph" w:customStyle="1" w:styleId="64">
    <w:name w:val="样式9"/>
    <w:basedOn w:val="1"/>
    <w:link w:val="63"/>
    <w:qFormat/>
    <w:uiPriority w:val="0"/>
    <w:pPr>
      <w:widowControl/>
      <w:spacing w:line="360" w:lineRule="auto"/>
      <w:ind w:left="1271" w:hanging="420"/>
      <w:jc w:val="both"/>
    </w:pPr>
    <w:rPr>
      <w:rFonts w:ascii="仿宋_GB2312" w:hAnsi="Times New Roman" w:eastAsia="仿宋_GB2312"/>
      <w:sz w:val="32"/>
      <w:szCs w:val="20"/>
    </w:rPr>
  </w:style>
  <w:style w:type="paragraph" w:customStyle="1" w:styleId="65">
    <w:name w:val="p15"/>
    <w:basedOn w:val="1"/>
    <w:qFormat/>
    <w:uiPriority w:val="0"/>
    <w:pPr>
      <w:widowControl/>
      <w:spacing w:line="240" w:lineRule="atLeast"/>
      <w:jc w:val="both"/>
    </w:pPr>
    <w:rPr>
      <w:rFonts w:ascii="Times New Roman" w:hAnsi="Times New Roman"/>
      <w:sz w:val="32"/>
      <w:lang w:eastAsia="zh-CN"/>
    </w:rPr>
  </w:style>
  <w:style w:type="paragraph" w:customStyle="1" w:styleId="66">
    <w:name w:val="List Paragraph1"/>
    <w:basedOn w:val="1"/>
    <w:qFormat/>
    <w:uiPriority w:val="0"/>
    <w:pPr>
      <w:ind w:firstLine="420" w:firstLineChars="200"/>
      <w:jc w:val="both"/>
    </w:pPr>
    <w:rPr>
      <w:kern w:val="2"/>
      <w:sz w:val="21"/>
      <w:lang w:eastAsia="zh-CN"/>
    </w:rPr>
  </w:style>
  <w:style w:type="paragraph" w:customStyle="1" w:styleId="67">
    <w:name w:val="列出段落2"/>
    <w:basedOn w:val="1"/>
    <w:qFormat/>
    <w:uiPriority w:val="0"/>
    <w:pPr>
      <w:ind w:firstLine="420" w:firstLineChars="200"/>
      <w:jc w:val="both"/>
    </w:pPr>
    <w:rPr>
      <w:rFonts w:ascii="Times New Roman" w:hAnsi="Times New Roman"/>
      <w:kern w:val="2"/>
      <w:sz w:val="21"/>
      <w:lang w:eastAsia="zh-CN"/>
    </w:rPr>
  </w:style>
  <w:style w:type="paragraph" w:customStyle="1" w:styleId="68">
    <w:name w:val="普通(网站)1"/>
    <w:basedOn w:val="1"/>
    <w:qFormat/>
    <w:uiPriority w:val="0"/>
    <w:pPr>
      <w:widowControl/>
      <w:spacing w:before="100" w:beforeAutospacing="1" w:after="100" w:afterAutospacing="1"/>
    </w:pPr>
    <w:rPr>
      <w:rFonts w:ascii="宋体" w:hAnsi="宋体" w:cs="宋体"/>
      <w:color w:val="000000"/>
      <w:sz w:val="24"/>
      <w:szCs w:val="24"/>
      <w:lang w:eastAsia="zh-CN"/>
    </w:rPr>
  </w:style>
  <w:style w:type="paragraph" w:customStyle="1" w:styleId="69">
    <w:name w:val="纯文本1"/>
    <w:qFormat/>
    <w:uiPriority w:val="0"/>
    <w:pPr>
      <w:suppressAutoHyphens/>
    </w:pPr>
    <w:rPr>
      <w:rFonts w:ascii="宋体" w:hAnsi="宋体" w:eastAsia="宋体" w:cs="宋体"/>
      <w:kern w:val="1"/>
      <w:lang w:val="en-US" w:eastAsia="ar-SA" w:bidi="ar-SA"/>
    </w:rPr>
  </w:style>
  <w:style w:type="paragraph" w:customStyle="1" w:styleId="70">
    <w:name w:val="p17"/>
    <w:basedOn w:val="1"/>
    <w:qFormat/>
    <w:uiPriority w:val="0"/>
    <w:pPr>
      <w:widowControl/>
      <w:spacing w:line="240" w:lineRule="atLeast"/>
      <w:jc w:val="both"/>
    </w:pPr>
    <w:rPr>
      <w:rFonts w:ascii="宋体" w:hAnsi="宋体" w:cs="宋体"/>
      <w:sz w:val="32"/>
      <w:szCs w:val="32"/>
      <w:lang w:eastAsia="zh-CN"/>
    </w:rPr>
  </w:style>
  <w:style w:type="paragraph" w:customStyle="1" w:styleId="71">
    <w:name w:val="font5"/>
    <w:basedOn w:val="1"/>
    <w:qFormat/>
    <w:uiPriority w:val="0"/>
    <w:pPr>
      <w:widowControl/>
      <w:spacing w:before="100" w:beforeAutospacing="1" w:after="100" w:afterAutospacing="1"/>
    </w:pPr>
    <w:rPr>
      <w:rFonts w:ascii="宋体" w:hAnsi="宋体" w:cs="宋体"/>
      <w:sz w:val="18"/>
      <w:szCs w:val="18"/>
      <w:lang w:eastAsia="zh-CN"/>
    </w:rPr>
  </w:style>
  <w:style w:type="paragraph" w:customStyle="1" w:styleId="72">
    <w:name w:val="font6"/>
    <w:basedOn w:val="1"/>
    <w:qFormat/>
    <w:uiPriority w:val="0"/>
    <w:pPr>
      <w:widowControl/>
      <w:spacing w:before="100" w:beforeAutospacing="1" w:after="100" w:afterAutospacing="1"/>
    </w:pPr>
    <w:rPr>
      <w:rFonts w:ascii="宋体" w:hAnsi="宋体" w:cs="宋体"/>
      <w:sz w:val="18"/>
      <w:szCs w:val="18"/>
      <w:lang w:eastAsia="zh-CN"/>
    </w:rPr>
  </w:style>
  <w:style w:type="paragraph" w:customStyle="1" w:styleId="73">
    <w:name w:val="font7"/>
    <w:basedOn w:val="1"/>
    <w:qFormat/>
    <w:uiPriority w:val="0"/>
    <w:pPr>
      <w:widowControl/>
      <w:spacing w:before="100" w:beforeAutospacing="1" w:after="100" w:afterAutospacing="1"/>
    </w:pPr>
    <w:rPr>
      <w:rFonts w:ascii="仿宋" w:hAnsi="仿宋" w:eastAsia="仿宋" w:cs="宋体"/>
      <w:color w:val="000000"/>
      <w:sz w:val="18"/>
      <w:szCs w:val="18"/>
      <w:lang w:eastAsia="zh-CN"/>
    </w:rPr>
  </w:style>
  <w:style w:type="paragraph" w:customStyle="1" w:styleId="74">
    <w:name w:val="font8"/>
    <w:basedOn w:val="1"/>
    <w:qFormat/>
    <w:uiPriority w:val="0"/>
    <w:pPr>
      <w:widowControl/>
      <w:spacing w:before="100" w:beforeAutospacing="1" w:after="100" w:afterAutospacing="1"/>
    </w:pPr>
    <w:rPr>
      <w:rFonts w:ascii="仿宋" w:hAnsi="仿宋" w:eastAsia="仿宋" w:cs="宋体"/>
      <w:b/>
      <w:bCs/>
      <w:i/>
      <w:iCs/>
      <w:color w:val="FF0000"/>
      <w:sz w:val="18"/>
      <w:szCs w:val="18"/>
      <w:u w:val="single"/>
      <w:lang w:eastAsia="zh-CN"/>
    </w:rPr>
  </w:style>
  <w:style w:type="paragraph" w:customStyle="1" w:styleId="75">
    <w:name w:val="xl66"/>
    <w:basedOn w:val="1"/>
    <w:qFormat/>
    <w:uiPriority w:val="0"/>
    <w:pPr>
      <w:widowControl/>
      <w:spacing w:before="100" w:beforeAutospacing="1" w:after="100" w:afterAutospacing="1"/>
      <w:jc w:val="center"/>
      <w:textAlignment w:val="center"/>
    </w:pPr>
    <w:rPr>
      <w:rFonts w:ascii="宋体" w:hAnsi="宋体" w:cs="宋体"/>
      <w:sz w:val="24"/>
      <w:szCs w:val="24"/>
      <w:lang w:eastAsia="zh-CN"/>
    </w:rPr>
  </w:style>
  <w:style w:type="paragraph" w:customStyle="1" w:styleId="76">
    <w:name w:val="xl67"/>
    <w:basedOn w:val="1"/>
    <w:qFormat/>
    <w:uiPriority w:val="0"/>
    <w:pPr>
      <w:widowControl/>
      <w:spacing w:before="100" w:beforeAutospacing="1" w:after="100" w:afterAutospacing="1"/>
      <w:jc w:val="center"/>
      <w:textAlignment w:val="center"/>
    </w:pPr>
    <w:rPr>
      <w:rFonts w:ascii="仿宋" w:hAnsi="仿宋" w:eastAsia="仿宋" w:cs="宋体"/>
      <w:sz w:val="20"/>
      <w:lang w:eastAsia="zh-CN"/>
    </w:rPr>
  </w:style>
  <w:style w:type="paragraph" w:customStyle="1" w:styleId="7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20"/>
      <w:lang w:eastAsia="zh-CN"/>
    </w:rPr>
  </w:style>
  <w:style w:type="paragraph" w:customStyle="1" w:styleId="7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sz w:val="20"/>
      <w:lang w:eastAsia="zh-CN"/>
    </w:rPr>
  </w:style>
  <w:style w:type="paragraph" w:customStyle="1" w:styleId="79">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20"/>
      <w:lang w:eastAsia="zh-CN"/>
    </w:rPr>
  </w:style>
  <w:style w:type="paragraph" w:customStyle="1" w:styleId="80">
    <w:name w:val="xl71"/>
    <w:basedOn w:val="1"/>
    <w:qFormat/>
    <w:uiPriority w:val="0"/>
    <w:pPr>
      <w:widowControl/>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81">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8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4"/>
      <w:szCs w:val="24"/>
      <w:lang w:eastAsia="zh-CN"/>
    </w:rPr>
  </w:style>
  <w:style w:type="paragraph" w:customStyle="1" w:styleId="8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24"/>
      <w:szCs w:val="24"/>
      <w:lang w:eastAsia="zh-CN"/>
    </w:rPr>
  </w:style>
  <w:style w:type="paragraph" w:customStyle="1" w:styleId="8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18"/>
      <w:szCs w:val="18"/>
      <w:lang w:eastAsia="zh-CN"/>
    </w:rPr>
  </w:style>
  <w:style w:type="paragraph" w:customStyle="1" w:styleId="8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i/>
      <w:iCs/>
      <w:color w:val="FF0000"/>
      <w:sz w:val="18"/>
      <w:szCs w:val="18"/>
      <w:lang w:eastAsia="zh-CN"/>
    </w:rPr>
  </w:style>
  <w:style w:type="paragraph" w:customStyle="1" w:styleId="8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24"/>
      <w:szCs w:val="24"/>
      <w:lang w:eastAsia="zh-CN"/>
    </w:rPr>
  </w:style>
  <w:style w:type="paragraph" w:customStyle="1" w:styleId="8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18"/>
      <w:szCs w:val="18"/>
      <w:lang w:eastAsia="zh-CN"/>
    </w:rPr>
  </w:style>
  <w:style w:type="paragraph" w:customStyle="1" w:styleId="8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000000"/>
      <w:sz w:val="18"/>
      <w:szCs w:val="18"/>
      <w:lang w:eastAsia="zh-CN"/>
    </w:rPr>
  </w:style>
  <w:style w:type="paragraph" w:customStyle="1" w:styleId="8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sz w:val="24"/>
      <w:szCs w:val="24"/>
      <w:lang w:eastAsia="zh-CN"/>
    </w:rPr>
  </w:style>
  <w:style w:type="paragraph" w:customStyle="1" w:styleId="90">
    <w:name w:val="xl81"/>
    <w:basedOn w:val="1"/>
    <w:qFormat/>
    <w:uiPriority w:val="0"/>
    <w:pPr>
      <w:widowControl/>
      <w:spacing w:before="100" w:beforeAutospacing="1" w:after="100" w:afterAutospacing="1"/>
      <w:jc w:val="center"/>
      <w:textAlignment w:val="center"/>
    </w:pPr>
    <w:rPr>
      <w:rFonts w:ascii="宋体" w:hAnsi="宋体" w:cs="宋体"/>
      <w:b/>
      <w:bCs/>
      <w:sz w:val="24"/>
      <w:szCs w:val="24"/>
      <w:lang w:eastAsia="zh-CN"/>
    </w:rPr>
  </w:style>
  <w:style w:type="paragraph" w:customStyle="1" w:styleId="9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sz w:val="24"/>
      <w:szCs w:val="24"/>
      <w:lang w:eastAsia="zh-CN"/>
    </w:rPr>
  </w:style>
  <w:style w:type="paragraph" w:customStyle="1" w:styleId="92">
    <w:name w:val="_Style 1"/>
    <w:basedOn w:val="1"/>
    <w:qFormat/>
    <w:uiPriority w:val="34"/>
    <w:pPr>
      <w:ind w:firstLine="420" w:firstLineChars="200"/>
      <w:jc w:val="both"/>
    </w:pPr>
    <w:rPr>
      <w:rFonts w:ascii="Times New Roman" w:hAnsi="Times New Roman"/>
      <w:kern w:val="2"/>
      <w:sz w:val="21"/>
      <w:szCs w:val="20"/>
      <w:lang w:eastAsia="zh-CN"/>
    </w:rPr>
  </w:style>
  <w:style w:type="character" w:customStyle="1" w:styleId="93">
    <w:name w:val="标题1 Char"/>
    <w:link w:val="94"/>
    <w:semiHidden/>
    <w:qFormat/>
    <w:locked/>
    <w:uiPriority w:val="0"/>
    <w:rPr>
      <w:rFonts w:ascii="Times New Roman" w:hAnsi="Times New Roman" w:eastAsia="黑体"/>
      <w:b/>
      <w:kern w:val="44"/>
      <w:sz w:val="24"/>
    </w:rPr>
  </w:style>
  <w:style w:type="paragraph" w:customStyle="1" w:styleId="94">
    <w:name w:val="标题1"/>
    <w:basedOn w:val="3"/>
    <w:link w:val="93"/>
    <w:semiHidden/>
    <w:qFormat/>
    <w:uiPriority w:val="0"/>
    <w:pPr>
      <w:keepNext/>
      <w:keepLines/>
      <w:pageBreakBefore/>
      <w:widowControl/>
      <w:tabs>
        <w:tab w:val="left" w:pos="1000"/>
      </w:tabs>
      <w:adjustRightInd w:val="0"/>
      <w:spacing w:before="120" w:after="120" w:line="360" w:lineRule="auto"/>
      <w:ind w:left="0"/>
    </w:pPr>
    <w:rPr>
      <w:rFonts w:ascii="Times New Roman" w:hAnsi="Times New Roman" w:eastAsia="黑体"/>
      <w:bCs w:val="0"/>
      <w:kern w:val="44"/>
      <w:sz w:val="24"/>
      <w:szCs w:val="20"/>
    </w:rPr>
  </w:style>
  <w:style w:type="character" w:customStyle="1" w:styleId="95">
    <w:name w:val="Footnote Text Char"/>
    <w:semiHidden/>
    <w:qFormat/>
    <w:locked/>
    <w:uiPriority w:val="99"/>
    <w:rPr>
      <w:rFonts w:cs="Times New Roman"/>
      <w:kern w:val="2"/>
      <w:sz w:val="18"/>
      <w:szCs w:val="18"/>
      <w:lang w:eastAsia="zh-CN"/>
    </w:rPr>
  </w:style>
  <w:style w:type="character" w:customStyle="1" w:styleId="96">
    <w:name w:val="脚注文本 Char"/>
    <w:link w:val="26"/>
    <w:semiHidden/>
    <w:qFormat/>
    <w:locked/>
    <w:uiPriority w:val="99"/>
    <w:rPr>
      <w:rFonts w:cs="Times New Roman"/>
      <w:kern w:val="0"/>
      <w:sz w:val="18"/>
      <w:szCs w:val="18"/>
      <w:lang w:eastAsia="en-US"/>
    </w:rPr>
  </w:style>
  <w:style w:type="paragraph" w:customStyle="1" w:styleId="97">
    <w:name w:val="列出段落11"/>
    <w:basedOn w:val="1"/>
    <w:qFormat/>
    <w:uiPriority w:val="34"/>
    <w:pPr>
      <w:ind w:firstLine="420" w:firstLineChars="200"/>
      <w:jc w:val="both"/>
    </w:pPr>
    <w:rPr>
      <w:rFonts w:ascii="Times New Roman" w:hAnsi="Times New Roman"/>
      <w:kern w:val="2"/>
      <w:sz w:val="21"/>
      <w:szCs w:val="24"/>
      <w:lang w:eastAsia="zh-CN"/>
    </w:rPr>
  </w:style>
  <w:style w:type="paragraph" w:customStyle="1" w:styleId="98">
    <w:name w:val="列出段落3"/>
    <w:basedOn w:val="1"/>
    <w:qFormat/>
    <w:uiPriority w:val="34"/>
    <w:pPr>
      <w:ind w:firstLine="420" w:firstLineChars="200"/>
      <w:jc w:val="both"/>
    </w:pPr>
    <w:rPr>
      <w:kern w:val="2"/>
      <w:sz w:val="21"/>
      <w:szCs w:val="20"/>
      <w:lang w:eastAsia="zh-CN"/>
    </w:rPr>
  </w:style>
  <w:style w:type="paragraph" w:customStyle="1" w:styleId="99">
    <w:name w:val="msonormalcxspmiddle"/>
    <w:basedOn w:val="1"/>
    <w:qFormat/>
    <w:uiPriority w:val="0"/>
    <w:pPr>
      <w:widowControl/>
      <w:spacing w:before="100" w:beforeAutospacing="1" w:after="100" w:afterAutospacing="1"/>
    </w:pPr>
    <w:rPr>
      <w:rFonts w:ascii="宋体" w:hAnsi="宋体" w:cs="宋体"/>
      <w:sz w:val="24"/>
      <w:lang w:eastAsia="zh-CN"/>
    </w:rPr>
  </w:style>
  <w:style w:type="character" w:customStyle="1" w:styleId="100">
    <w:name w:val="文档结构图 Char"/>
    <w:link w:val="13"/>
    <w:qFormat/>
    <w:uiPriority w:val="0"/>
    <w:rPr>
      <w:rFonts w:ascii="宋体"/>
      <w:kern w:val="2"/>
      <w:sz w:val="18"/>
      <w:szCs w:val="18"/>
    </w:rPr>
  </w:style>
  <w:style w:type="paragraph" w:customStyle="1" w:styleId="101">
    <w:name w:val="xl83"/>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2">
    <w:name w:val="xl8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lang w:eastAsia="zh-CN"/>
    </w:rPr>
  </w:style>
  <w:style w:type="paragraph" w:customStyle="1" w:styleId="103">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b/>
      <w:bCs/>
      <w:sz w:val="24"/>
      <w:szCs w:val="24"/>
      <w:lang w:eastAsia="zh-CN"/>
    </w:rPr>
  </w:style>
  <w:style w:type="paragraph" w:customStyle="1" w:styleId="10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5">
    <w:name w:val="xl87"/>
    <w:basedOn w:val="1"/>
    <w:qFormat/>
    <w:uiPriority w:val="0"/>
    <w:pPr>
      <w:widowControl/>
      <w:pBdr>
        <w:top w:val="single" w:color="auto" w:sz="4" w:space="0"/>
        <w:left w:val="single" w:color="auto" w:sz="4" w:space="0"/>
      </w:pBdr>
      <w:spacing w:before="100" w:beforeAutospacing="1" w:after="100" w:afterAutospacing="1"/>
    </w:pPr>
    <w:rPr>
      <w:rFonts w:ascii="宋体" w:hAnsi="宋体" w:cs="宋体"/>
      <w:sz w:val="24"/>
      <w:szCs w:val="24"/>
      <w:lang w:eastAsia="zh-CN"/>
    </w:rPr>
  </w:style>
  <w:style w:type="paragraph" w:customStyle="1" w:styleId="106">
    <w:name w:val="xl88"/>
    <w:basedOn w:val="1"/>
    <w:qFormat/>
    <w:uiPriority w:val="0"/>
    <w:pPr>
      <w:widowControl/>
      <w:pBdr>
        <w:left w:val="single" w:color="auto" w:sz="4" w:space="0"/>
      </w:pBdr>
      <w:spacing w:before="100" w:beforeAutospacing="1" w:after="100" w:afterAutospacing="1"/>
    </w:pPr>
    <w:rPr>
      <w:rFonts w:ascii="宋体" w:hAnsi="宋体" w:cs="宋体"/>
      <w:sz w:val="24"/>
      <w:szCs w:val="24"/>
      <w:lang w:eastAsia="zh-CN"/>
    </w:rPr>
  </w:style>
  <w:style w:type="paragraph" w:customStyle="1" w:styleId="107">
    <w:name w:val="xl89"/>
    <w:basedOn w:val="1"/>
    <w:qFormat/>
    <w:uiPriority w:val="0"/>
    <w:pPr>
      <w:widowControl/>
      <w:pBdr>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8">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9">
    <w:name w:val="xl91"/>
    <w:basedOn w:val="1"/>
    <w:qFormat/>
    <w:uiPriority w:val="0"/>
    <w:pPr>
      <w:widowControl/>
      <w:spacing w:before="100" w:beforeAutospacing="1" w:after="100" w:afterAutospacing="1"/>
      <w:jc w:val="center"/>
    </w:pPr>
    <w:rPr>
      <w:rFonts w:ascii="宋体" w:hAnsi="宋体" w:cs="宋体"/>
      <w:b/>
      <w:bCs/>
      <w:color w:val="000000"/>
      <w:sz w:val="32"/>
      <w:szCs w:val="32"/>
      <w:lang w:eastAsia="zh-CN"/>
    </w:rPr>
  </w:style>
  <w:style w:type="paragraph" w:customStyle="1" w:styleId="11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lang w:eastAsia="zh-CN"/>
    </w:rPr>
  </w:style>
  <w:style w:type="paragraph" w:customStyle="1" w:styleId="11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both"/>
    </w:pPr>
    <w:rPr>
      <w:rFonts w:ascii="宋体" w:hAnsi="宋体" w:cs="宋体"/>
      <w:sz w:val="24"/>
      <w:szCs w:val="24"/>
      <w:lang w:eastAsia="zh-CN"/>
    </w:rPr>
  </w:style>
  <w:style w:type="paragraph" w:customStyle="1" w:styleId="112">
    <w:name w:val="xl94"/>
    <w:basedOn w:val="1"/>
    <w:qFormat/>
    <w:uiPriority w:val="0"/>
    <w:pPr>
      <w:widowControl/>
      <w:pBdr>
        <w:top w:val="single" w:color="000000" w:sz="4" w:space="0"/>
        <w:left w:val="single" w:color="000000" w:sz="4" w:space="0"/>
        <w:right w:val="single" w:color="000000" w:sz="4" w:space="0"/>
      </w:pBdr>
      <w:spacing w:before="100" w:beforeAutospacing="1" w:after="100" w:afterAutospacing="1"/>
    </w:pPr>
    <w:rPr>
      <w:rFonts w:ascii="宋体" w:hAnsi="宋体" w:cs="宋体"/>
      <w:color w:val="000000"/>
      <w:sz w:val="24"/>
      <w:szCs w:val="24"/>
      <w:lang w:eastAsia="zh-CN"/>
    </w:rPr>
  </w:style>
  <w:style w:type="paragraph" w:customStyle="1" w:styleId="113">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lang w:eastAsia="zh-CN"/>
    </w:rPr>
  </w:style>
  <w:style w:type="paragraph" w:customStyle="1" w:styleId="114">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lang w:eastAsia="zh-CN"/>
    </w:rPr>
  </w:style>
  <w:style w:type="paragraph" w:customStyle="1" w:styleId="115">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lang w:eastAsia="zh-CN"/>
    </w:rPr>
  </w:style>
  <w:style w:type="paragraph" w:customStyle="1" w:styleId="116">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7">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8">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9">
    <w:name w:val="xl101"/>
    <w:basedOn w:val="1"/>
    <w:qFormat/>
    <w:uiPriority w:val="0"/>
    <w:pPr>
      <w:widowControl/>
      <w:spacing w:before="100" w:beforeAutospacing="1" w:after="100" w:afterAutospacing="1"/>
      <w:jc w:val="center"/>
    </w:pPr>
    <w:rPr>
      <w:rFonts w:ascii="宋体" w:hAnsi="宋体" w:cs="宋体"/>
      <w:b/>
      <w:bCs/>
      <w:sz w:val="32"/>
      <w:szCs w:val="32"/>
      <w:lang w:eastAsia="zh-CN"/>
    </w:rPr>
  </w:style>
  <w:style w:type="paragraph" w:customStyle="1" w:styleId="120">
    <w:name w:val="xl102"/>
    <w:basedOn w:val="1"/>
    <w:qFormat/>
    <w:uiPriority w:val="0"/>
    <w:pPr>
      <w:widowControl/>
      <w:spacing w:before="100" w:beforeAutospacing="1" w:after="100" w:afterAutospacing="1"/>
      <w:jc w:val="center"/>
    </w:pPr>
    <w:rPr>
      <w:rFonts w:ascii="宋体" w:hAnsi="宋体" w:cs="宋体"/>
      <w:b/>
      <w:bCs/>
      <w:sz w:val="24"/>
      <w:szCs w:val="24"/>
      <w:lang w:eastAsia="zh-CN"/>
    </w:rPr>
  </w:style>
  <w:style w:type="paragraph" w:customStyle="1" w:styleId="121">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szCs w:val="24"/>
      <w:lang w:eastAsia="zh-CN"/>
    </w:rPr>
  </w:style>
  <w:style w:type="character" w:customStyle="1" w:styleId="122">
    <w:name w:val="font01"/>
    <w:qFormat/>
    <w:uiPriority w:val="0"/>
    <w:rPr>
      <w:rFonts w:hint="default" w:ascii="Times New Roman" w:hAnsi="Times New Roman" w:cs="Times New Roman"/>
      <w:color w:val="000000"/>
      <w:sz w:val="20"/>
      <w:szCs w:val="20"/>
      <w:u w:val="none"/>
    </w:rPr>
  </w:style>
  <w:style w:type="character" w:customStyle="1" w:styleId="123">
    <w:name w:val="font21"/>
    <w:qFormat/>
    <w:uiPriority w:val="0"/>
    <w:rPr>
      <w:rFonts w:hint="eastAsia" w:ascii="宋体" w:hAnsi="宋体" w:eastAsia="宋体"/>
      <w:color w:val="000000"/>
      <w:sz w:val="20"/>
      <w:szCs w:val="20"/>
      <w:u w:val="none"/>
    </w:rPr>
  </w:style>
  <w:style w:type="character" w:customStyle="1" w:styleId="124">
    <w:name w:val="标题 Char1"/>
    <w:qFormat/>
    <w:uiPriority w:val="10"/>
    <w:rPr>
      <w:rFonts w:ascii="Cambria" w:hAnsi="Cambria" w:cs="Times New Roman"/>
      <w:b/>
      <w:bCs/>
      <w:sz w:val="32"/>
      <w:szCs w:val="32"/>
      <w:lang w:eastAsia="en-US"/>
    </w:rPr>
  </w:style>
  <w:style w:type="character" w:customStyle="1" w:styleId="125">
    <w:name w:val="正文文本 3 Char"/>
    <w:link w:val="15"/>
    <w:qFormat/>
    <w:uiPriority w:val="0"/>
    <w:rPr>
      <w:rFonts w:ascii="宋体"/>
      <w:sz w:val="24"/>
    </w:rPr>
  </w:style>
  <w:style w:type="character" w:customStyle="1" w:styleId="126">
    <w:name w:val="正文文本 3 Char1"/>
    <w:semiHidden/>
    <w:qFormat/>
    <w:uiPriority w:val="99"/>
    <w:rPr>
      <w:sz w:val="16"/>
      <w:szCs w:val="16"/>
      <w:lang w:eastAsia="en-US"/>
    </w:rPr>
  </w:style>
  <w:style w:type="character" w:customStyle="1" w:styleId="127">
    <w:name w:val="正文文本缩进 3 Char"/>
    <w:link w:val="28"/>
    <w:qFormat/>
    <w:uiPriority w:val="0"/>
    <w:rPr>
      <w:sz w:val="16"/>
      <w:szCs w:val="16"/>
    </w:rPr>
  </w:style>
  <w:style w:type="character" w:customStyle="1" w:styleId="128">
    <w:name w:val="正文文本缩进 3 Char1"/>
    <w:semiHidden/>
    <w:qFormat/>
    <w:uiPriority w:val="99"/>
    <w:rPr>
      <w:sz w:val="16"/>
      <w:szCs w:val="16"/>
      <w:lang w:eastAsia="en-US"/>
    </w:rPr>
  </w:style>
  <w:style w:type="character" w:customStyle="1" w:styleId="129">
    <w:name w:val="批注主题 Char"/>
    <w:link w:val="33"/>
    <w:qFormat/>
    <w:uiPriority w:val="0"/>
    <w:rPr>
      <w:b/>
      <w:bCs/>
      <w:szCs w:val="24"/>
    </w:rPr>
  </w:style>
  <w:style w:type="character" w:customStyle="1" w:styleId="130">
    <w:name w:val="批注主题 Char1"/>
    <w:semiHidden/>
    <w:qFormat/>
    <w:uiPriority w:val="99"/>
    <w:rPr>
      <w:rFonts w:ascii="Times New Roman" w:hAnsi="Times New Roman" w:cs="Times New Roman"/>
      <w:b/>
      <w:bCs/>
      <w:kern w:val="2"/>
      <w:sz w:val="22"/>
      <w:szCs w:val="22"/>
      <w:lang w:eastAsia="en-US"/>
    </w:rPr>
  </w:style>
  <w:style w:type="character" w:customStyle="1" w:styleId="131">
    <w:name w:val="正文文本缩进 Char"/>
    <w:link w:val="16"/>
    <w:qFormat/>
    <w:uiPriority w:val="0"/>
    <w:rPr>
      <w:szCs w:val="24"/>
    </w:rPr>
  </w:style>
  <w:style w:type="character" w:customStyle="1" w:styleId="132">
    <w:name w:val="正文文本缩进 Char1"/>
    <w:semiHidden/>
    <w:qFormat/>
    <w:uiPriority w:val="99"/>
    <w:rPr>
      <w:sz w:val="22"/>
      <w:szCs w:val="22"/>
      <w:lang w:eastAsia="en-US"/>
    </w:rPr>
  </w:style>
  <w:style w:type="paragraph" w:customStyle="1" w:styleId="133">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34">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5">
    <w:name w:val="p0 New"/>
    <w:basedOn w:val="134"/>
    <w:qFormat/>
    <w:uiPriority w:val="0"/>
    <w:pPr>
      <w:widowControl/>
    </w:pPr>
    <w:rPr>
      <w:kern w:val="0"/>
      <w:szCs w:val="20"/>
    </w:rPr>
  </w:style>
  <w:style w:type="paragraph" w:customStyle="1" w:styleId="136">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4"/>
      <w:szCs w:val="24"/>
      <w:lang w:eastAsia="zh-CN"/>
    </w:rPr>
  </w:style>
  <w:style w:type="paragraph" w:customStyle="1" w:styleId="13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4"/>
      <w:szCs w:val="24"/>
      <w:lang w:eastAsia="zh-CN"/>
    </w:rPr>
  </w:style>
  <w:style w:type="paragraph" w:customStyle="1" w:styleId="138">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4"/>
      <w:szCs w:val="24"/>
      <w:lang w:eastAsia="zh-CN"/>
    </w:rPr>
  </w:style>
  <w:style w:type="paragraph" w:customStyle="1" w:styleId="13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93453-FF47-47EE-8B30-EAD3BEE49B65}">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45</Pages>
  <Words>9630</Words>
  <Characters>54893</Characters>
  <Lines>457</Lines>
  <Paragraphs>128</Paragraphs>
  <TotalTime>0</TotalTime>
  <ScaleCrop>false</ScaleCrop>
  <LinksUpToDate>false</LinksUpToDate>
  <CharactersWithSpaces>64395</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2018-10-26T07:49:00Z</dcterms:created>
  <dc:creator>袁静</dc:creator>
  <cp:lastModifiedBy>sss</cp:lastModifiedBy>
  <cp:lastPrinted>2020-10-27T10:49:00Z</cp:lastPrinted>
  <dcterms:modified xsi:type="dcterms:W3CDTF">2021-03-25T04:02:14Z</dcterms:modified>
  <dc:title>中华人民共和国</dc:title>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2013</vt:lpwstr>
  </property>
  <property fmtid="{D5CDD505-2E9C-101B-9397-08002B2CF9AE}" pid="3" name="KSOProductBuildVer">
    <vt:lpwstr>2052-11.8.2.8276</vt:lpwstr>
  </property>
</Properties>
</file>