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pPr>
      <w:bookmarkStart w:id="0" w:name="_GoBack"/>
      <w:bookmarkEnd w:id="0"/>
      <w:r>
        <w:rPr>
          <w:rFonts w:hint="eastAsia"/>
        </w:rPr>
        <w:t>附件2：专用资质业绩要求</w:t>
      </w:r>
    </w:p>
    <w:tbl>
      <w:tblPr>
        <w:tblStyle w:val="77"/>
        <w:tblW w:w="13804" w:type="dxa"/>
        <w:tblInd w:w="0" w:type="dxa"/>
        <w:tblLayout w:type="fixed"/>
        <w:tblCellMar>
          <w:top w:w="0" w:type="dxa"/>
          <w:left w:w="0" w:type="dxa"/>
          <w:bottom w:w="0" w:type="dxa"/>
          <w:right w:w="0" w:type="dxa"/>
        </w:tblCellMar>
      </w:tblPr>
      <w:tblGrid>
        <w:gridCol w:w="658"/>
        <w:gridCol w:w="1173"/>
        <w:gridCol w:w="1350"/>
        <w:gridCol w:w="1363"/>
        <w:gridCol w:w="1691"/>
        <w:gridCol w:w="805"/>
        <w:gridCol w:w="1282"/>
        <w:gridCol w:w="709"/>
        <w:gridCol w:w="1173"/>
        <w:gridCol w:w="1527"/>
        <w:gridCol w:w="1173"/>
        <w:gridCol w:w="900"/>
      </w:tblGrid>
      <w:tr>
        <w:tblPrEx>
          <w:tblLayout w:type="fixed"/>
          <w:tblCellMar>
            <w:top w:w="0" w:type="dxa"/>
            <w:left w:w="0" w:type="dxa"/>
            <w:bottom w:w="0" w:type="dxa"/>
            <w:right w:w="0" w:type="dxa"/>
          </w:tblCellMar>
        </w:tblPrEx>
        <w:trPr>
          <w:trHeight w:val="675" w:hRule="atLeast"/>
          <w:tblHeader/>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lang w:val="en-US" w:eastAsia="zh-CN"/>
              </w:rPr>
            </w:pPr>
            <w:r>
              <w:rPr>
                <w:rFonts w:hint="eastAsia" w:asciiTheme="minorEastAsia" w:hAnsiTheme="minorEastAsia" w:eastAsiaTheme="minorEastAsia" w:cstheme="minorEastAsia"/>
                <w:b/>
                <w:color w:val="000000"/>
                <w:kern w:val="0"/>
                <w:sz w:val="20"/>
                <w:szCs w:val="20"/>
                <w:lang w:val="en-US" w:eastAsia="zh-CN"/>
              </w:rPr>
              <w:t>序号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适用标包</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小类</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供货业绩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生产设备</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生产能力</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生产许可证</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入网许可证/其他资质要求</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产品型式试验报告或检测报告或鉴定报告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3C认证证书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ind w:left="0" w:leftChars="0" w:firstLine="0" w:firstLineChars="0"/>
              <w:jc w:val="center"/>
              <w:textAlignment w:val="center"/>
              <w:rPr>
                <w:rFonts w:hint="eastAsia" w:asciiTheme="minorEastAsia" w:hAnsiTheme="minorEastAsia" w:eastAsiaTheme="minorEastAsia" w:cstheme="minorEastAsia"/>
                <w:b/>
                <w:color w:val="000000"/>
                <w:kern w:val="0"/>
                <w:sz w:val="20"/>
                <w:szCs w:val="20"/>
              </w:rPr>
            </w:pPr>
            <w:r>
              <w:rPr>
                <w:rFonts w:hint="eastAsia" w:asciiTheme="minorEastAsia" w:hAnsiTheme="minorEastAsia" w:eastAsiaTheme="minorEastAsia" w:cstheme="minorEastAsia"/>
                <w:b/>
                <w:color w:val="000000"/>
                <w:kern w:val="0"/>
                <w:sz w:val="20"/>
                <w:szCs w:val="20"/>
                <w:lang w:val="en-US" w:eastAsia="zh-CN"/>
              </w:rPr>
              <w:t>其他</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001变压器包1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10kV变压器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100台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002高压开关柜包1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高压开关柜</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003交流避雷器包1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交流避雷器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近三年累计销售业绩不少于1000台</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ISO9000系列质量管理体系认证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004智能变电站辅助系统综合监控平台包1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智能变电站辅助系统综合监控平台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005故障录波装置包1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故障录波装置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006保护装置包1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累计销售业绩不少于100套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007电源系统包1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有同类产品销售数量的少于10套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注册资本金不少于3000万元人民币</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008直流试验电源包1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直流试验电源</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009在线监测装置包1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线路在线监测装置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应提供国家认可第三方权威检测机构的有效的型式试验报告（检测报告或鉴定报告），精度达到A级</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009在线监测装置包2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变电在线监测装置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009在线监测装置包3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智能变电站变压器油中溶解气体在线监测装置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009在线监测装置包4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010运维班全面监视系统包1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运维班全面监视系统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012端子箱及交流配电屏包1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交流配电屏</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有同类产品合同业绩即可</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具有同类型完整的制造、工艺装备和试验设备（需提供制造、工艺装备和试验设备清单）；具有同类型产品的研发、设计、制造和出厂检测能力</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013二次系统安全防护设备包1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二次系统安全防护设备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同电压等级及以上累计销售业绩 3套及以上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014配电自动化子站包1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配电自动化子站</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2018年1月1日至2020年12月31日配电自动化主站系统、调度自动化主站系统供货总业绩不少于10套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需提供中国电科院出具的配电自动化主站型式试验报告。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015营销类物资包1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拆回电能表分拣装置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同类产品合同业绩500台及以上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017电力市场技术支持系统包5</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具有投标产品相关业绩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具有CMMI3资质及以上认证；具有ITSS认证证书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具有有效的终端整机3C认证证书的供应商直供（自助服务终端）</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018存储介质数据处置设备包1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有相关产品合同业绩（100万以上）不少于3个</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019资源管理系统包1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有相关产品合同业绩</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具有ISO9001系列质量管理体系认证、ISO14000环境管理体系认证、GB/T28001/2001职业健康管理体系认证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020运维管理系统包1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运维管理系统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具有火电机组300MW及以上仿真机业绩不少于3套及以上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具有ISO9001系列质量管理体系认证、ISO14000环境管理体系认证、GB/T28001/2001职业健康管理体系认证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具有软件著作权登记书，登记书中软件名称须包含仿真</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021电视会议终端设备包1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021电视会议终端设备包1</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022通信设备包1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023网络流量控制系统包1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网络流量控制系统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29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024隔离设备包1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隔离设备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025数字程控交换系统包1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数字程控交换系统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026无线通信设备包1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无线通信设备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027接入设备包1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接入设备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028模块化数据中心包1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模块化数据中心</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具有计算机系统集成、安防监控系统集成、办公自动化设备的销售等</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029上网行为管理包1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上网行为管理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涉密乙级及以上资质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030数据仓库一体机包1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数据仓库一体机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有相关产品合同业绩（100万以上）不少于3个</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具有ISO27001信息安全体系认证证书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具有CMMI3资质及以上认证                          具有信息系统安全集成服务资质2级及以上级别认证证书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031厨房成套设备包1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厨房成套设备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近三年业绩300万以上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具有ISO9001系列质量管理体系认证、ISO14000环境管理体系认证、GB/T28001/2001职业健康管理体系认证</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具有相应产品生产许可资质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提供所投产品质量监督部门出具的产品检验报告。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032办公家具包1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办公家具</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生产商：近三年（2018年-2020年）办公</w:t>
            </w:r>
            <w:r>
              <w:rPr>
                <w:rFonts w:hint="eastAsia" w:ascii="宋体" w:hAnsi="宋体" w:eastAsia="宋体" w:cs="宋体"/>
                <w:i w:val="0"/>
                <w:color w:val="000000"/>
                <w:kern w:val="0"/>
                <w:sz w:val="13"/>
                <w:szCs w:val="13"/>
                <w:u w:val="none"/>
                <w:lang w:val="en-US" w:eastAsia="zh-CN" w:bidi="ar"/>
              </w:rPr>
              <w:br w:type="textWrapping"/>
            </w:r>
            <w:r>
              <w:rPr>
                <w:rFonts w:hint="eastAsia" w:ascii="宋体" w:hAnsi="宋体" w:eastAsia="宋体" w:cs="宋体"/>
                <w:i w:val="0"/>
                <w:color w:val="000000"/>
                <w:kern w:val="0"/>
                <w:sz w:val="13"/>
                <w:szCs w:val="13"/>
                <w:u w:val="none"/>
                <w:lang w:val="en-US" w:eastAsia="zh-CN" w:bidi="ar"/>
              </w:rPr>
              <w:t>家具销售业绩不少于1亿元；代理商：近三年（2018年-2020年）办公家具销售业绩不少于5000万元</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投标厂商除具备ISO9000质量管理体系认证外，还需提供ISO14001国际环境体系认证和有效的环境标志产品认证、GB/T28001职业健康安全管理体系认证证书、CQC中国环保产品认证证书、CEC中国环境标志产品认证证书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1、提供2018年至2020年投标人获得市级或市级以上家具产品质量监督检验中心出具的原材料检验报告须包括：中密度纤维板、大宝油漆（面漆）、胡桃木木皮、实木、防火板、饰面板、头层牛皮、韩皮、万向轮、多层实木板；                        2、提供2018年至2020年投标人获得市级或市级以上家具产品质量监督检验中心出具的成品检验报告，产品包括实木办公桌、办公屏风、办公椅、钢制文件柜、会议桌、沙发、班椅、茶几</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注册资金不少于5000万元人民币</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033运行环境智能调控装置包1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运行环境智能调控装置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近三年的智能化项目业绩不少于3项</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具备电子智能化工程专业承包贰及资质、重要技术参数响应须按照具体技术要求，提供相应证明材料并加盖公章</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39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034仓储配套工具包1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035排油系统包1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排油系统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036机床减震装置包1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机床附件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037X射线数字成像系统包1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X射线数字成像系统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038电导率测试仪包1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039SF6电气设备故障测试仪包1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040工频升压试验装置包1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工频升压试验装置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041继电保护测试仪包1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绝缘子憎水性检测仪</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042电网仿真分析数据平台包1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042电网仿真分析数据平台包2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累计销售业绩不少于3套</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49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044制氧设备包1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制氧设备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具有ISO9000系列质量保证体系认证证书及年检记录</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045抢修塔包1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抢修塔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046除冰装置包1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除冰装置</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047消防系统及火灾报警系统包1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累计销售业绩20台及以上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具有公安消防检测机构出具的有效检验报告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048机动起重专用车包1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机动起重专用车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同类产品累计销售业绩10台及以上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具有国家权威部门颁发的和招标产品对应的有限生产许可证</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国家权威部门颁发的3C认证证书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049RFID电子标签包1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RFID电子标签</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050集气瓶及包装用具包1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051床上用品及灭火器包1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具有消防用品的销售资质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052实验台包1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053超声波清洗器包1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59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054运维物资包1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有同类产品合同业绩即可</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64</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055普通客车包5</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65</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055普通客车包6</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具有车辆销售资质</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66</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055普通客车包7</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普通客车</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67</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056防鸟设备包1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防鸟设备</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有同类产品合同业绩即可</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68</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059普通光缆包1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普通光缆</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同型号普通光缆累计销售业绩不少于300Km</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69</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061铁塔包1</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铁塔</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等电压等级及以上铁塔研发、设计、制造和出厂试验的能力；具有完整的制造、工艺装备和试验设备，且角钢塔生产装备要求：具备角钢及板材自动生产线；具备焊接探伤等无损检测设备；具备12米长度构件的热镀锌能力；具备试组装场地及设备。大跨越和钢管塔的生产装备要求，除满足角钢塔要求外，还应满足以下条件：具备剪板机、12米长或两台6米长的折弯机、数控相贯式切割机；具备可处理12米长钢材的火焰自动切割机、自动焊接设备；具备相应根开的钢管塔立式组装条件。</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应提供国家认可第三方权威检测机构的有效的型式试验报告（检测报告或鉴定报告）</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70</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062软件包2</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成熟套装软件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电力大数据建设相关项目3个及以上</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具有CMMI5资质及以上认证</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71</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062软件包3</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生产管理系统</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近三年具有无人机巡检业务模块业绩不低于1项</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具有软件著作权登记书</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72</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062软件包4</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成熟套装软件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具有ISO9000系列质量保证体系认证证书</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r>
        <w:tblPrEx>
          <w:tblLayout w:type="fixed"/>
          <w:tblCellMar>
            <w:top w:w="0" w:type="dxa"/>
            <w:left w:w="0" w:type="dxa"/>
            <w:bottom w:w="0" w:type="dxa"/>
            <w:right w:w="0" w:type="dxa"/>
          </w:tblCellMar>
        </w:tblPrEx>
        <w:trPr>
          <w:trHeight w:val="675" w:hRule="atLeast"/>
        </w:trPr>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73</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062软件包5</w:t>
            </w:r>
          </w:p>
        </w:tc>
        <w:tc>
          <w:tcPr>
            <w:tcW w:w="13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图形处理软件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具有同等规模大型集团软件服务或代理经验</w:t>
            </w:r>
          </w:p>
        </w:tc>
        <w:tc>
          <w:tcPr>
            <w:tcW w:w="1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8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2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70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52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11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260" w:firstLineChars="200"/>
              <w:jc w:val="center"/>
              <w:textAlignment w:val="center"/>
              <w:rPr>
                <w:rFonts w:hint="eastAsia" w:ascii="宋体" w:hAnsi="宋体" w:eastAsia="宋体" w:cs="宋体"/>
                <w:i w:val="0"/>
                <w:color w:val="000000"/>
                <w:kern w:val="0"/>
                <w:sz w:val="13"/>
                <w:szCs w:val="13"/>
                <w:u w:val="none"/>
                <w:lang w:val="en-US" w:eastAsia="zh-CN" w:bidi="ar"/>
              </w:rPr>
            </w:pPr>
            <w:r>
              <w:rPr>
                <w:rFonts w:hint="eastAsia" w:ascii="宋体" w:hAnsi="宋体" w:eastAsia="宋体" w:cs="宋体"/>
                <w:i w:val="0"/>
                <w:color w:val="000000"/>
                <w:kern w:val="0"/>
                <w:sz w:val="13"/>
                <w:szCs w:val="13"/>
                <w:u w:val="none"/>
                <w:lang w:val="en-US" w:eastAsia="zh-CN" w:bidi="ar"/>
              </w:rPr>
              <w:t>-</w:t>
            </w:r>
          </w:p>
        </w:tc>
      </w:tr>
    </w:tbl>
    <w:p>
      <w:pPr>
        <w:rPr>
          <w:b/>
        </w:rPr>
      </w:pPr>
    </w:p>
    <w:p>
      <w:pPr>
        <w:pStyle w:val="3"/>
        <w:bidi w:val="0"/>
      </w:pPr>
      <w:r>
        <w:rPr>
          <w:rFonts w:hint="eastAsia"/>
        </w:rPr>
        <w:t>附件3：</w:t>
      </w:r>
      <w:r>
        <w:rPr>
          <w:rFonts w:hint="eastAsia"/>
          <w:lang w:eastAsia="zh-CN"/>
        </w:rPr>
        <w:t>国网青海省电力公司2021年第三次物资招标采购(批次编号：282103)项目</w:t>
      </w:r>
      <w:r>
        <w:rPr>
          <w:rFonts w:hint="eastAsia"/>
        </w:rPr>
        <w:t>最高投标限价清单及特殊要求。</w:t>
      </w:r>
    </w:p>
    <w:tbl>
      <w:tblPr>
        <w:tblStyle w:val="77"/>
        <w:tblW w:w="13722" w:type="dxa"/>
        <w:tblInd w:w="0" w:type="dxa"/>
        <w:tblLayout w:type="fixed"/>
        <w:tblCellMar>
          <w:top w:w="15" w:type="dxa"/>
          <w:left w:w="15" w:type="dxa"/>
          <w:bottom w:w="15" w:type="dxa"/>
          <w:right w:w="15" w:type="dxa"/>
        </w:tblCellMar>
      </w:tblPr>
      <w:tblGrid>
        <w:gridCol w:w="754"/>
        <w:gridCol w:w="1295"/>
        <w:gridCol w:w="1050"/>
        <w:gridCol w:w="582"/>
        <w:gridCol w:w="1478"/>
        <w:gridCol w:w="2031"/>
        <w:gridCol w:w="3464"/>
        <w:gridCol w:w="709"/>
        <w:gridCol w:w="927"/>
        <w:gridCol w:w="1432"/>
      </w:tblGrid>
      <w:tr>
        <w:tblPrEx>
          <w:tblLayout w:type="fixed"/>
          <w:tblCellMar>
            <w:top w:w="15" w:type="dxa"/>
            <w:left w:w="15" w:type="dxa"/>
            <w:bottom w:w="15" w:type="dxa"/>
            <w:right w:w="15" w:type="dxa"/>
          </w:tblCellMar>
        </w:tblPrEx>
        <w:trPr>
          <w:trHeight w:val="658" w:hRule="atLeast"/>
          <w:tblHeader/>
        </w:trPr>
        <w:tc>
          <w:tcPr>
            <w:tcW w:w="75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jc w:val="both"/>
              <w:textAlignment w:val="center"/>
              <w:rPr>
                <w:rFonts w:hint="eastAsia" w:asciiTheme="minorEastAsia" w:hAnsiTheme="minorEastAsia" w:eastAsiaTheme="minorEastAsia" w:cstheme="minorEastAsia"/>
                <w:b/>
                <w:color w:val="000000"/>
                <w:sz w:val="18"/>
                <w:szCs w:val="18"/>
                <w:lang w:val="en-US" w:eastAsia="zh-CN"/>
              </w:rPr>
            </w:pPr>
            <w:r>
              <w:rPr>
                <w:rFonts w:hint="default" w:ascii="Calibri" w:hAnsi="Calibri" w:eastAsia="宋体" w:cs="Calibri"/>
                <w:b/>
                <w:i w:val="0"/>
                <w:color w:val="000000"/>
                <w:kern w:val="0"/>
                <w:sz w:val="18"/>
                <w:szCs w:val="18"/>
                <w:u w:val="none"/>
                <w:lang w:val="en-US" w:eastAsia="zh-CN" w:bidi="ar"/>
              </w:rPr>
              <w:t>序号</w:t>
            </w:r>
          </w:p>
        </w:tc>
        <w:tc>
          <w:tcPr>
            <w:tcW w:w="1295"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采购申请号帐号</w:t>
            </w:r>
          </w:p>
        </w:tc>
        <w:tc>
          <w:tcPr>
            <w:tcW w:w="1050"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分标名称</w:t>
            </w:r>
          </w:p>
        </w:tc>
        <w:tc>
          <w:tcPr>
            <w:tcW w:w="582"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分包</w:t>
            </w:r>
          </w:p>
        </w:tc>
        <w:tc>
          <w:tcPr>
            <w:tcW w:w="147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361" w:firstLineChars="2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项目单位</w:t>
            </w:r>
          </w:p>
        </w:tc>
        <w:tc>
          <w:tcPr>
            <w:tcW w:w="2031"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542" w:firstLineChars="3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工程名称</w:t>
            </w:r>
          </w:p>
        </w:tc>
        <w:tc>
          <w:tcPr>
            <w:tcW w:w="34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723" w:firstLineChars="40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物资描述</w:t>
            </w:r>
          </w:p>
        </w:tc>
        <w:tc>
          <w:tcPr>
            <w:tcW w:w="70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单位</w:t>
            </w:r>
          </w:p>
        </w:tc>
        <w:tc>
          <w:tcPr>
            <w:tcW w:w="927"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181" w:firstLineChars="100"/>
              <w:jc w:val="both"/>
              <w:textAlignment w:val="center"/>
              <w:rPr>
                <w:rFonts w:hint="eastAsia" w:asciiTheme="minorEastAsia" w:hAnsiTheme="minorEastAsia" w:eastAsiaTheme="minorEastAsia" w:cstheme="minorEastAsia"/>
                <w:b/>
                <w:color w:val="000000"/>
                <w:sz w:val="18"/>
                <w:szCs w:val="18"/>
              </w:rPr>
            </w:pPr>
            <w:r>
              <w:rPr>
                <w:rFonts w:hint="default" w:ascii="Calibri" w:hAnsi="Calibri" w:eastAsia="宋体" w:cs="Calibri"/>
                <w:b/>
                <w:i w:val="0"/>
                <w:color w:val="000000"/>
                <w:kern w:val="0"/>
                <w:sz w:val="18"/>
                <w:szCs w:val="18"/>
                <w:u w:val="none"/>
                <w:lang w:val="en-US" w:eastAsia="zh-CN" w:bidi="ar"/>
              </w:rPr>
              <w:t>数量</w:t>
            </w:r>
          </w:p>
        </w:tc>
        <w:tc>
          <w:tcPr>
            <w:tcW w:w="1432"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181" w:leftChars="0" w:hanging="181" w:hangingChars="100"/>
              <w:jc w:val="both"/>
              <w:textAlignment w:val="center"/>
              <w:rPr>
                <w:rFonts w:hint="eastAsia" w:asciiTheme="minorEastAsia" w:hAnsiTheme="minorEastAsia" w:eastAsiaTheme="minorEastAsia" w:cstheme="minorEastAsia"/>
                <w:b/>
                <w:color w:val="000000"/>
                <w:sz w:val="18"/>
                <w:szCs w:val="18"/>
              </w:rPr>
            </w:pPr>
            <w:r>
              <w:rPr>
                <w:rFonts w:hint="eastAsia" w:ascii="宋体" w:hAnsi="宋体" w:eastAsia="宋体" w:cs="宋体"/>
                <w:b/>
                <w:i w:val="0"/>
                <w:color w:val="000000"/>
                <w:kern w:val="0"/>
                <w:sz w:val="18"/>
                <w:szCs w:val="18"/>
                <w:u w:val="none"/>
                <w:lang w:val="en-US" w:eastAsia="zh-CN" w:bidi="ar"/>
              </w:rPr>
              <w:t>最高限价（含税总价/万元）</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050033160200010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001变压器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国网青海海西供电公司阿里腾110kV变电站10kV接地变改造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接地变压器-电压等级:AC10kV,额定容量:1200kVA,绝缘方式:干式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9.383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050033163000010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001变压器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国网青海黄化尖扎县供电公司生产综合用房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10kV变压器-额定容量:1250kVA,安装方式:普通,铁芯材质:硅钢片,绝缘方式:干式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050033149400020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002高压开关柜</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充气式高压开关柜-电压等级:AC10kV,类型:馈线开关柜,额定电流:1250A,额定开断电流:31.5kA,绝缘气体:SF6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002高压开关柜</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充气式高压开关柜-电压等级:AC10kV,类型:进线开关柜,额定电流:1250A,额定开断电流:31.5kA,绝缘气体:SF6</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050033209900010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002高压开关柜</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国网青海海东供电公司110kV沙塘川变电站10kV配网接地故障快速处置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高压开关柜-电压等级:AC10kV,类型:接地变柜,柜型:小车式,额定电流:1250A,额定开断电流:31.5kA,断路器灭弧介质:真空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050032366600080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002高压开关柜</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青海果洛当洛35KV变电站增容扩建工程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电容器柜-电压等级:AC10kV,额定容量:600kVar,单台容量:100kVar,电抗率:12%</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22.035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050033143100010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003交流避雷器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国网青海玉树供电公司110kV秀结线线路差异化防雷整治</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215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96.75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050033143200010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003交流避雷器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国网青海玉树供电公司110kV玉结II回线路差异化防雷整治</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22.05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050033143000010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003交流避雷器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国网青海玉树供电公司110kV玉治I回线路差异化防雷整治</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交流避雷器-电压等级:AC110kV,额定电压:102kV,外绝缘材质:硅橡胶,雷电额定残压:266kV,是否带间隙:带间隙</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280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050033133300080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004辅助系统综合监控平台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智能变电站辅助系统综合监控平台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050033133300050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005故障录波装置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时间同步装置-电压等级:AC35kV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5.035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050033041100010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变压器保护-电压等级:AC10kV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050033068900030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国网青海海北供电公司门源输变配专业实训基地改造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030008307900010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国网青海果洛供电公司2021年配电备自投装置购置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050032416900080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国网青海海北供电公司门源输变配专业实训基地改造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PT并列装置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050033068900020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国网青海海北供电公司门源输变配专业实训基地改造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线路保护-电压等级:AC10kV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6.78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050032416900090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国网青海海北供电公司门源输变配专业实训基地改造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母联（分段）保护-电压等级:AC10kV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030008255200010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国网青海海北供电公司2021年配网移动式低压备自投（2进6出）购置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备用设备及备用电源自动投入-电压等级:AC35,20,10kV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050033022800010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006保护装置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国网青海西宁供电公司后勤服务中心综合楼电气分系统配电柜改造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线路保护-电压等级:AC10kV</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国网青海信通公司330kV湟源变电站等3个站点通信电源改造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UPS电源（不间断电源）-额定容量:5kVA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050033135300050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蓄电池组-单节蓄电池电压:DC12V,容量:200Ah,类型:阀控式密封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050033135300030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蓄电池组-单节蓄电池电压:DC2V,容量:300Ah,类型:阀控式密封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5.616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050033133300070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智能一体化电源系统-电压等级:DC220V,充电单元容量:40A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050033135300020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蓄电池组-单节蓄电池电压:DC2V,容量:400Ah,类型:阀控式密封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3.744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050033135300040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蓄电池组-单节蓄电池电压:DC12V,容量:100Ah,类型:阀控式密封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国网青海检修公司750kV鱼卡开关站蓄电池组更换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蓄电池组-单节蓄电池电压:DC2V,容量:1000Ah,类型:阀控式密封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国网青海信通公司西宁地区物资公司等6个站点蓄电池组更换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蓄电池组-单节蓄电池电压:DC12V,容量:200Ah,类型:阀控式密封</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050033144400020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国网青海信通公司330kV湟源变电站等3个站点通信电源改造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逆变电源-容量:3kVA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050032416900100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007电源系统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国网青海海北供电公司门源输变配专业实训基地改造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直流电源系统-输出电压:DC220V,充电电流:40A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030008273100010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008直流试验电源</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国网青海黄化供电公司2021年配网多功能移动电源购置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直流试验电源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030008305900010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008直流试验电源</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国网青海果洛供电公司2021年配网多功能移动电源购置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直流试验电源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009在线监测装置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国网青海检修公司±400kV柴达木换流站换流变油在线监测装置改造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变电在线监测装置-类型:变压器在线监测系统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002007912300010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009在线监测装置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变电在线监测装置-类型:主变铁芯监测系统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030008283500010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009在线监测装置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国网青海电科院2021年油在线监测装置现场校验仪购置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在线监测装置检验装置-检验对象:油中溶解气体在线监测装置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102.6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010运维班全面监视系统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国网青海检修公司西宁运维分部变电运维一班等16个变电运维班主设备监控系统终端改造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运维班全面监视系统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30.18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010运维班全面监视系统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国网青海检修公司格尔木运维分部变电运维一班等6个变电运维班主设备监控系统终端改造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运维班全面监视系统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011电力营销仿真培训系统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国网青海海东供电公司2021年台区降损挖潜（采集运维仿真实训装置建设）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电力营销仿真培训系统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050033156600020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011电力营销仿真培训系统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保安营配电实训基地改造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电力营销仿真培训系统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050033156600010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011电力营销仿真培训系统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保安营配电实训基地改造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三相电能表接线仿真系统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9.299999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050033156600030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011电力营销仿真培训系统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保安营配电实训基地改造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电力营销仿真培训系统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11.95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012端子箱及交流配电屏</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端子箱</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012端子箱及交流配电屏</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国网青海检修公司330kV乌兰变电站380V配电柜更换</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交流配电屏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面</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71.25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050033140900010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012端子箱及交流配电屏</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青海西宁双旗35kV变电站增容扩建工程变电站工程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端子箱</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030008621500010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013二次系统安全防护设备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国网青海玉树供电公司2021年便携式漏洞扫描仪购置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二次系统安全防护设备-类型:安全扫描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030008605200010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013二次系统安全防护设备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国网青海果洛供电公司2021年便携式漏洞扫描仪购置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二次系统安全防护设备-类型:安全扫描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16.02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050033140200020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国网青海玉树供电公司2021年计量资产全寿命周期管理（拆回分拣装置建设）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拆回电能表分拣装置-相别:单相,图像识别单元:有,通信测试单元:有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050032366600050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青海果洛当洛35KV变电站增容扩建工程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三相智能电能表-准确度等级:0.5S级,费控方式:无,负荷开关:无控,通信模块接口:无,电压规格:3×100V,电流规格:1.5A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050033133300060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智能变电站电能量采集终端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050033160300010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青海海西110千伏渔水河变35千伏间隔扩建工程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三相智能电能表-准确度等级:0.2S级,费控方式:无,负荷开关:无控,通信模块接口:无,电压规格:3×57.7/100V,电流规格:1.5A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0.791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050032366800140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青海果洛东倾沟35KV变电站增容扩建工程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三相智能电能表-准确度等级:0.5S级,费控方式:无,负荷开关:无控,通信模块接口:无,电压规格:3×100V,电流规格:0.3A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050033140200010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国网青海玉树供电公司2021年计量资产全寿命周期管理（拆回分拣装置建设）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拆回电能表分拣装置-相别:三相,图像识别单元:有,通信测试单元:有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050032366700130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015营销类物资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青海果洛龙恩35KV变电站2号主变扩建工程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三相智能电能表-准确度等级:0.5S级,费控方式:无,负荷开关:无控,通信模块接口:无,电压规格:3×100V,电流规格:0.3A</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016营销类设备配件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国网青海海东供电公司2021年用电信息采集系统建设与改造（HPLC故障诊断模块建</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营销类设备配件-类型:营销服务移动作业终端配件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017电力市场技术支持系统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国网青海海东供电公司2021年供电营业厅转型升级改造（平安计量楼营业厅、平安区公</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生产管理系统等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包限价153.65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050033133700040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017电力市场技术支持系统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国网青海海西供电公司2021年供电营业厅转型升级改造（巴音营业厅）</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运维管理系统等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包限价109.1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050033153000020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017电力市场技术支持系统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国网青海海西供电公司2021年供电营业厅转型升级改造（希里沟营业厅）</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电力市场技术支持系统等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包限价89.04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050033144900040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017电力市场技术支持系统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国网青海西宁供电公司2021年供电营业厅转型升级改造（禾田居、七一路等4个营业厅</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运维管理系统等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包限价323.58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050033175000030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017电力市场技术支持系统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包5</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国网青海果洛供电公司2021年供电营业厅转型升级改造（甘德、达日2个B级营业厅）</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生产管理系统等</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包限价214.51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018存储介质数据处置设备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国网青海信通公司-新能源行业工业互联网平台分布式存储扩容-硬件购置项目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存储介质数据处置设备-类型:数据擦除检测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83.97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050033115900010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019资源管理系统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国网青海电科院基于物联网技术的智能仪器仪表管理系统建设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资源管理系统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355.62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050033124600010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020运维管理系统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国网青海电科院调相机仿真实验平台建设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运维管理系统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257.17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030008247100010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021电视会议终端设备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国网青海检修公司2021年视频会议终端购置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电视会议终端设备-制式:H.323,接口方式:IP</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050032385900020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青海西宁财富天街10kV开闭所新建工程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050032385500020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青海西宁10kV新村开闭所、世通开闭所进线改接工程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0.96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050032484700020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青海西宁10kV嘉荣华开闭所进线改接工程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050032385400020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青海西宁110kV学院变10kV配出工程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光缆终端设备(OLT)-电源输入方式:双电源输入,PON口数量:不少于96口</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青海西宁110kV学院变10kV配出工程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1.196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050032385700020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青海西宁10kV东四、东五、博五、博十九路网架优化工程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青海西宁财富天街10kV开闭所新建工程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0.046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050032385400030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青海西宁110kV学院变10kV配出工程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PCM设备-类型:多方向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青海西宁石头磊110kV变电站10kV新建线路与孙五、孙七路网架完善工程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0.092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青海西宁兴旺110kV变电站10kV配出工程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1.104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通信监控系统-安装位置:子站</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青海西宁旱台（新寨）110kV输变电工程（变电工程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PCM设备-类型:多方向</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青海西宁10kV东四、东五、博五、博十九路网架优化工程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0.276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050032385600020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青海西宁石头磊110kV变电站10kV新建线路与孙五、孙七路网架完善工程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050032484700010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青海西宁10kV嘉荣华开闭所进线改接工程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0.092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050032385300020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青海西宁兴旺110kV变电站10kV配出工程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光缆终端设备(OLT)-电源输入方式:双电源输入,PON口数量:不少于96口</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050032385300030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青海西宁兴旺110kV变电站10kV配出工程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7.68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050032385800020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青海西宁110kV石头磊变新出10kV线路与薇七、薇十三路网架优化工程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光网络单元设备(ONU)-电源输入方式:直流输入,PON口:2,FE接口:4,POTS接口:无,RS485接口:4,CATV接口:无,使用环境:户外</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青海西宁10kV新村开闭所、世通开闭所进线改接工程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0.138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050032385800010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022通信设备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青海西宁110kV石头磊变新出10kV线路与薇七、薇十三路网架优化工程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分光器-分光方式:一分二,分光比:10%:90%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0.184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023网络流量控制系统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国网青海信通公司-网络全流量性能监控分析系统-安全产品购置项目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网络流量控制系统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164.99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023网络流量控制系统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国网青海信通公司-网络全流量性能监控分析系统-安全产品购置项目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网络流量控制系统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139.59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024隔离设备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国网青海信通公司-网络攻击阻断平台-安全产品购置项目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隔离设备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050033144200040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025数字程控交换系统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数字程控交换系统-类型:调度交换机,配置容量:512,信令种类:Q</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050033144200050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025数字程控交换系统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数字程控交换系统-类型:调度交换机,配置容量:512,信令种类:Q</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025数字程控交换系统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050033144200030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025数字程控交换系统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050033144200020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025数字程控交换系统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国网青海信通公司地市主备调调度交换系统改造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数字程控交换系统-类型:调度交换机,配置容量:2000,信令种类:Q</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030008239200010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026无线通信设备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国网青海检修公司应急通信箱购置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无线通信设备-频段:2.4G,类型:数字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030008225200010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026无线通信设备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国网青海黄化供电公司2021年应急通信箱购置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无线通信设备-频段:2.4G,类型:数字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050033148700010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028模块化数据中心</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国网青海经研院（能研院）科研综合楼网改造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模块化数据中心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33.57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028模块化数据中心</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 xml:space="preserve">        国网青海省电力公司培训中心</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国网青海培训中心综合楼多媒体教室改造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模块化数据中心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84.08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029上网行为管理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国网青海信通公司-计算机终端保密检查系统-软硬件购置项目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上网行为管理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030数据仓库一体机</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国网青海信通公司-2021年外网资源池扩容-软硬件购置项目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数据仓库一体机-机柜:1/4机架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84.89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030数据仓库一体机</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国网青海信通公司-2021年外网资源池扩容-软硬件购置项目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数据仓库一体机-机柜:1/4机架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84.89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030008240000010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031厨房成套设备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国网青海检修公司2021年食品加工设备购置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厨房成套设备-规模:300-500人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68.99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030008264200010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031厨房成套设备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国网青海黄化供电公司食品加工设备购置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厨具-种类:餐饮用具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22.4983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030008244400010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031厨房成套设备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国网青海省电力公司本部</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国网青海电力本部2021年食品加工设备报废更新</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厨房成套设备-规模:200-300人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5.81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030008264100010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031厨房成套设备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国网青海黄化供电公司食品加工设备购置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厨具-种类:餐饮用具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22.4983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030008236200010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031厨房成套设备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国网青海省电力公司物资公司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国网青海物资公司食品加工设备购置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厨房成套设备-规模:10-200人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18.58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020005578500160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032办公家具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国网青海检修公司2021年新建生产业务用房家具购置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办公家具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张</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2529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包限价519.32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050033022500010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033运行环境智能调控装置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国网青海检修公司生产业务用房</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运行环境智能调控装置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300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030008635500010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国网海南供电公司2021年仓储点电动叉车购置项目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轮式自行机械车-类型:叉车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030008635600010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国网海南供电公司2021年仓储点电缆液压放线架购置项目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放线架-形式:液压式,额定负荷:100kN</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030008630500010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国网青海西宁供电公司2021年手动液压搬运叉车购置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手动液压叉车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0.4972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030008630500020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国网青海西宁供电公司2021年手动液压搬运叉车购置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手动液压叉车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0.4972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030008628900010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国网海南供电公司2021年仓储点仓储笼购置项目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030008635400010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国网海南供电公司2021年共和仓库电动垃圾清扫车购置项目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扫地机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030008628900020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034仓储配套工具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国网海南供电公司2021年仓储点仓储笼购置项目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仓储配套工具-类型:仓储笼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050033149800010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035排油系统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国网青海检修公司±400kV柴达木换流站换流变排油系统改造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排油系统-排油主体:换流变本体</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181.3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030008631300010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037X射线数字成像系统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国网青海检修公司2021年X射线数字成像探伤检测系统（750kV）购置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X射线数字成像系统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030008276900010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国网青海海西供电公司2021年电导率测试仪购置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电导率测试仪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030008248400010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国网青海玉树供电公司2021年电压监测仪检验装置购置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电压监测仪检定装置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030008194800010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国网青海海南供电公司2021年钳形电流表校验装置购置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电流表检定装置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030008194600010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国网青海海南供电公司2021年GIS超声波焊缝检测仪购置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探伤仪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030008194700010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国网青海海南供电公司2021年绝缘电阻测试仪检验装置购置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标准电阻检定装置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030008307600010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038电导率测试仪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国网青海果洛供电公司2021年电导率测试仪购置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电导率测试仪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030008293400010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039SF6电气设备故障测试仪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国网青海电科院2021年GIS重症监护系统购置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故障检测仪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030008283600010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039SF6电气设备故障测试仪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国网青海电科院2021年手持式故障测试仪购置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SF6电气设备故障测试仪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030008293300010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039SF6电气设备故障测试仪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国网青海电科院2021年GIS高性能故障检测仪（诊断型）购置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SF6电气设备故障测试仪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050031818000020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040工频升压试验装置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国网青海电科院1200kV/1.2A工频试验变压器测量控制系统大修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工频升压试验装置</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26.9053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030008237600010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041继电保护测试仪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国网青海检修公司2021年输电线路零值绝缘子检测机器人购置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绝缘子憎水性检测仪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030008625000010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041继电保护测试仪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国网青海海东供电公司2021年继电保护测试仪（常规型）购置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继电保护测试仪-类型:模拟式,通道数:六相</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6.75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030008600600010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041继电保护测试仪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国网青海省电力公司海东供电公司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国网青海海东供电公司2021年手持式光数字测试仪购置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继电保护测试仪-类型:手持式,通道数:无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030008615900010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041继电保护测试仪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国网青海省果洛供电公司2021年手持光数字测试仪购置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继电保护测试仪-类型:手持式,通道数:无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030008605300010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041继电保护测试仪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国网青海果洛供电公司2021年便携式直流系统接地选线仪购置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直流系统测试仪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8.955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050033115800020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042电网仿真分析数据平台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国网青海电科院特高压直流控制保护系统仿真分析平台建设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电网仿真分析数据平台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535.9148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050033115800010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042电网仿真分析数据平台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国网青海电科院特高压直流控制保护系统仿真分析平台建设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电网仿真分析数据平台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263.3052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050033131300010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042电网仿真分析数据平台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国网青海电科院中低压配电网动模仿真试验平台建设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电网仿真分析数据平台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316.95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050033131300020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042电网仿真分析数据平台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国网青海省电力公司电力科学研究院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国网青海电科院中低压配电网动模仿真试验平台建设</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电网仿真分析数据平台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244.14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030008292400010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043识别仪</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国网青海西宁供电公司2021年输电电缆声波定位成像仪购置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识别仪-用途:电缆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030008268300010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044制氧设备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国网青海海北供电公司2021年制氧设备（含加湿系统）购置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制氧设备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212.309999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030008260100010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国网青海检修公司2020年330kV全绝缘应急抢修直线塔购置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75.6</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030008277000010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国网青海海西供电公司2020年110kV全绝缘应急抢修直线塔购置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030008241100010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国网青海黄化供电公司2020年110kV全绝缘应急抢修直线塔购置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139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030008288500010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国网青海西宁供电公司2020年110kV全绝缘应急抢修耐张塔购置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030008261000010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国网青海检修公司2020年330kV全绝缘应急抢修耐张塔购置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109.8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030008288400010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国网青海西宁供电公司2020年110kV全绝缘应急抢修直线塔购置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030008248800010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国网青海海北供电公司2021年输电抢修塔起吊装置购置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抱杆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030007195000010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045抢修塔</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国网青海果洛供电公司2020年110kV全绝缘应急抢修直线塔购置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抢修塔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基</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030008280200010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国网青海省电力公司海西供电公司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国网青海海西供电公司2021年输电线路机械振动除冰装置购置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030008255100010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030008254800010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030008294500010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国网青海海南供电公司2021年输电线路机械振动除冰装置购置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030008288200010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030008237700010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046除冰装置</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国网青海检修公司2021年输电线路机械振动除冰装置购置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除冰装置-用途:架空导线</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国网青海检修公司750kV海西变电站消防监控室改造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27.63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国网青海检修公司750kV西宁变电站消防监控室改造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27.78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国网青海检修公司750kV日月山变电站消防监控室改造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27.73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国网青海检修公司750kV塔拉变电站消防监控室改造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27.58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国网青海信通公司综合楼十楼信息通信机房等25处中心机房气体消防装置改造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50.285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050033144300020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047消防系统及火灾报警系统</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国网青海信通公司综合楼十楼信息通信机房等25处中心机房气体消防装置改造</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消防系统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201.14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030008307800010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048机动起重专用车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国网青海果洛供电公司2021年随车起重运输车购置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030008236600010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048机动起重专用车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国网青海海北供电公司2021年随车起重运输车购置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030008251000010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048机动起重专用车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国网青海黄化供电公司2021年随车起重运输车购置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机动起重专用车-起重量:5t～50t(起重汽车)</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002007914000010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049RFID电子标签</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RFID电子标签-内部电源:无源</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550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22.11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无人机-类型:旋翼,规格:小型,海拔适应性:高海拔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架</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1.7244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经纬仪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集气瓶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直流故障测试仪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002007918900010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扫地机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6.637168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包装用具-种类:塑料箱</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7.44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智能终端-类型:变压器本体</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050集气瓶及包装用具</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综合自动化系统校验仪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051床上用品及灭火器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打印机-类型:通用类型,色彩:通用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2.9767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169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002007912600010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051床上用品及灭火器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标识牌-材质:不锈钢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面</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002007912800010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051床上用品及灭火器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灭火器-灭火介质:干粉,类型:推车式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1157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85.0395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002007912500010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051床上用品及灭火器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床上用品-类别:棉被</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件</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300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002007913000010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052实验台</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实验台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个</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14.15922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002007913100010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053超声波清洗器</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超声波清洗器</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050032366600070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054运维物资</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国网青海省电力公司果洛供电公司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青海果洛当洛35KV变电站增容扩建工程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变电站预制仓</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9.4581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030008600500010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国网青海省电力公司海北供电公司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国网青海海北供电公司本部2021年商务车购置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35.5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030008618700010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国网青海省电力公司检修公司西宁运维分部2021年生产普通用车青A26702报废更</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030008601200010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国网青海省电力公司检修公司西宁运维分部2021年生产普通用车青A26838报废更</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030008618600010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国网青海省电力公司检修公司特高压青南换流站2021年生产普通车辆中型客车购置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18.7</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179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030008619200010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国网青海省电力公司玉树供电公司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玉树供电公司2021年本部中型客车车辆购置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普通客车-规格:中型(车长&lt;6m,9人&lt;乘坐人数&lt;20人)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40</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030008623100010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国网青海西宁供电公司本部2021年公务车辆青A38888报废更新</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030008623200010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包5</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国网青海西宁供电公司本部2021年青A32378车辆报废更新</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030008623300010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包5</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国网青海西宁供电公司本部2021年青A42356车辆报废更新</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10.1</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030008623400010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包6</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国网青海西宁供电公司本部2021年青AF1809车辆报废更新</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普通客车-规格:小型(车长&lt;6m,乘坐人数≤9人)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184</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050032962700010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055普通客车</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包7</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国网青海省电力公司黄化供电公司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国网青海黄化同仁县公司2021年大客车购置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普通客车-规格:大型(车长≥6m,乘坐人数≥20人)</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辆</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45.4</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185</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002007912900010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056防鸟设备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海南换流站工程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防鸟设备</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186</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050033133300020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059普通光缆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青海西宁李家山35kV变电站增容扩建工程变电站工程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普通光缆-光缆芯数:24芯,纤芯类型:G.652,类型:非金属阻燃光缆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千米</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1.2</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187</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050033135500010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059普通光缆</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青海信通公司光缆及光通信系统改造工程</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普通光缆-光缆芯数:48芯,纤芯类型:G.652,类型:管道光缆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千米</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5.248</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188</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050033136800010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包1</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国网青海省电力公司西宁供电公司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国网青海西宁供电公司D5000系统安全防护完善</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成熟套装软件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11.5</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189</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050033151800010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国网青海信通公司-人工智能基础能力建设-软硬件购置及开发实施项目项目-资本性</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成熟套装软件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203.99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190</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050033151500010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包2</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国网青海省电力公司信息通信公司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国网青海信通公司-人工智能基础能力建设-软硬件购置及开发实施项目项目-资本性</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成熟套装软件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195.99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191</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050033167100010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包3</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国网青海省电力公司检修公司</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国网青海检修公司无人机巡检管控业务模块功能扩展</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生产管理系统</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449</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192</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050033163400010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包4</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国网青海经研院-2021年电力工程造价软件采购-软硬件购置项目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成熟套装软件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33.3</w:t>
            </w:r>
          </w:p>
        </w:tc>
      </w:tr>
      <w:tr>
        <w:tblPrEx>
          <w:tblLayout w:type="fixed"/>
          <w:tblCellMar>
            <w:top w:w="15" w:type="dxa"/>
            <w:left w:w="15" w:type="dxa"/>
            <w:bottom w:w="15" w:type="dxa"/>
            <w:right w:w="15" w:type="dxa"/>
          </w:tblCellMar>
        </w:tblPrEx>
        <w:trPr>
          <w:trHeight w:val="286" w:hRule="atLeast"/>
        </w:trPr>
        <w:tc>
          <w:tcPr>
            <w:tcW w:w="75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193</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050033163500010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062软件</w:t>
            </w:r>
          </w:p>
        </w:tc>
        <w:tc>
          <w:tcPr>
            <w:tcW w:w="5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包5</w:t>
            </w:r>
          </w:p>
        </w:tc>
        <w:tc>
          <w:tcPr>
            <w:tcW w:w="1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国网青海省电力公司经济技术研究院(国网青海省电力公司清洁能源发展研究院)</w:t>
            </w:r>
          </w:p>
        </w:tc>
        <w:tc>
          <w:tcPr>
            <w:tcW w:w="203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国网青海经研院-2021年电网规划评审涉及绘图业务软件采购-软硬件购置项目</w:t>
            </w:r>
          </w:p>
        </w:tc>
        <w:tc>
          <w:tcPr>
            <w:tcW w:w="3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图形处理软件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90</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ind w:left="0" w:leftChars="0" w:firstLine="0" w:firstLineChars="0"/>
              <w:jc w:val="center"/>
              <w:textAlignment w:val="center"/>
              <w:rPr>
                <w:rFonts w:hint="eastAsia" w:asciiTheme="minorEastAsia" w:hAnsiTheme="minorEastAsia" w:eastAsiaTheme="minorEastAsia" w:cstheme="minorEastAsia"/>
                <w:color w:val="000000"/>
                <w:kern w:val="0"/>
                <w:sz w:val="20"/>
                <w:szCs w:val="20"/>
                <w:lang w:val="en-US" w:eastAsia="zh-CN"/>
              </w:rPr>
            </w:pPr>
            <w:r>
              <w:rPr>
                <w:rFonts w:hint="default" w:asciiTheme="minorEastAsia" w:hAnsiTheme="minorEastAsia" w:eastAsiaTheme="minorEastAsia" w:cstheme="minorEastAsia"/>
                <w:color w:val="000000"/>
                <w:kern w:val="0"/>
                <w:sz w:val="20"/>
                <w:szCs w:val="20"/>
                <w:lang w:val="en-US" w:eastAsia="zh-CN"/>
              </w:rPr>
              <w:t>57.5</w:t>
            </w:r>
          </w:p>
        </w:tc>
      </w:tr>
    </w:tbl>
    <w:p>
      <w:pPr>
        <w:sectPr>
          <w:pgSz w:w="15840" w:h="12240" w:orient="landscape"/>
          <w:pgMar w:top="1134" w:right="1418" w:bottom="1134" w:left="1134" w:header="0" w:footer="0" w:gutter="0"/>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C54725"/>
    <w:rsid w:val="04CE4E8A"/>
    <w:rsid w:val="0518455A"/>
    <w:rsid w:val="052E1468"/>
    <w:rsid w:val="05782769"/>
    <w:rsid w:val="057C79F5"/>
    <w:rsid w:val="058658EF"/>
    <w:rsid w:val="058D2720"/>
    <w:rsid w:val="05966AF2"/>
    <w:rsid w:val="05A951C4"/>
    <w:rsid w:val="05DA5E72"/>
    <w:rsid w:val="0615392F"/>
    <w:rsid w:val="064E5053"/>
    <w:rsid w:val="06B0798D"/>
    <w:rsid w:val="06B51587"/>
    <w:rsid w:val="06B64DC2"/>
    <w:rsid w:val="06C61735"/>
    <w:rsid w:val="06F03FD7"/>
    <w:rsid w:val="07062D40"/>
    <w:rsid w:val="071945C3"/>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21F323F"/>
    <w:rsid w:val="122C051B"/>
    <w:rsid w:val="12401CB0"/>
    <w:rsid w:val="12596A52"/>
    <w:rsid w:val="12946E0A"/>
    <w:rsid w:val="12BD095F"/>
    <w:rsid w:val="12D039E8"/>
    <w:rsid w:val="12E21CD4"/>
    <w:rsid w:val="13106BB2"/>
    <w:rsid w:val="1319098D"/>
    <w:rsid w:val="131D233B"/>
    <w:rsid w:val="13320931"/>
    <w:rsid w:val="136F6586"/>
    <w:rsid w:val="13B46240"/>
    <w:rsid w:val="13D6188A"/>
    <w:rsid w:val="13DE3C6C"/>
    <w:rsid w:val="13EB63AC"/>
    <w:rsid w:val="13EF1D15"/>
    <w:rsid w:val="13F35025"/>
    <w:rsid w:val="13F40593"/>
    <w:rsid w:val="14A92703"/>
    <w:rsid w:val="14E075C1"/>
    <w:rsid w:val="14F26840"/>
    <w:rsid w:val="14FF4372"/>
    <w:rsid w:val="152A58ED"/>
    <w:rsid w:val="155E1021"/>
    <w:rsid w:val="158C4EE6"/>
    <w:rsid w:val="15AA7B75"/>
    <w:rsid w:val="15D02C45"/>
    <w:rsid w:val="16486142"/>
    <w:rsid w:val="16543A78"/>
    <w:rsid w:val="166E4D5D"/>
    <w:rsid w:val="166E61AC"/>
    <w:rsid w:val="167F57A3"/>
    <w:rsid w:val="16A75515"/>
    <w:rsid w:val="16D863B9"/>
    <w:rsid w:val="16F0060C"/>
    <w:rsid w:val="16F0105D"/>
    <w:rsid w:val="16FA727A"/>
    <w:rsid w:val="17AB25CA"/>
    <w:rsid w:val="18187FEE"/>
    <w:rsid w:val="184F2001"/>
    <w:rsid w:val="186009FD"/>
    <w:rsid w:val="18810377"/>
    <w:rsid w:val="18923D74"/>
    <w:rsid w:val="18C02394"/>
    <w:rsid w:val="18C64B2A"/>
    <w:rsid w:val="18D23AD4"/>
    <w:rsid w:val="18D27F6A"/>
    <w:rsid w:val="191C6A9A"/>
    <w:rsid w:val="192A177B"/>
    <w:rsid w:val="193611D6"/>
    <w:rsid w:val="193C5A5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B2327E"/>
    <w:rsid w:val="1EDE0EE7"/>
    <w:rsid w:val="1F670526"/>
    <w:rsid w:val="1F757FDA"/>
    <w:rsid w:val="1F8E0998"/>
    <w:rsid w:val="1FC110E7"/>
    <w:rsid w:val="1FCE30FB"/>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6141A4"/>
    <w:rsid w:val="2A7665B7"/>
    <w:rsid w:val="2A9A6448"/>
    <w:rsid w:val="2AA93353"/>
    <w:rsid w:val="2B1D11AB"/>
    <w:rsid w:val="2B1F51AF"/>
    <w:rsid w:val="2B31734C"/>
    <w:rsid w:val="2B5D4747"/>
    <w:rsid w:val="2B955EA0"/>
    <w:rsid w:val="2BD753BB"/>
    <w:rsid w:val="2C0A4740"/>
    <w:rsid w:val="2C63435E"/>
    <w:rsid w:val="2C7B254D"/>
    <w:rsid w:val="2CA05377"/>
    <w:rsid w:val="2CC664AC"/>
    <w:rsid w:val="2D554F07"/>
    <w:rsid w:val="2D8D1BED"/>
    <w:rsid w:val="2D972076"/>
    <w:rsid w:val="2DA33455"/>
    <w:rsid w:val="2DB2483C"/>
    <w:rsid w:val="2DD2110D"/>
    <w:rsid w:val="2DF823AB"/>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41A182D"/>
    <w:rsid w:val="341C54C2"/>
    <w:rsid w:val="34A51B4D"/>
    <w:rsid w:val="34A609A8"/>
    <w:rsid w:val="34D06ADA"/>
    <w:rsid w:val="34D31DD0"/>
    <w:rsid w:val="34DB27E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2F2A"/>
    <w:rsid w:val="37087FA5"/>
    <w:rsid w:val="37094544"/>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F908DE"/>
    <w:rsid w:val="3945623E"/>
    <w:rsid w:val="3951756A"/>
    <w:rsid w:val="39625603"/>
    <w:rsid w:val="39E61149"/>
    <w:rsid w:val="3A170892"/>
    <w:rsid w:val="3A4827E1"/>
    <w:rsid w:val="3A650565"/>
    <w:rsid w:val="3A7D02DA"/>
    <w:rsid w:val="3ACE4F60"/>
    <w:rsid w:val="3AFA513F"/>
    <w:rsid w:val="3B057BF5"/>
    <w:rsid w:val="3B277069"/>
    <w:rsid w:val="3B361C03"/>
    <w:rsid w:val="3BA17EE2"/>
    <w:rsid w:val="3BA55641"/>
    <w:rsid w:val="3BB06DFF"/>
    <w:rsid w:val="3BC61FED"/>
    <w:rsid w:val="3BE5247C"/>
    <w:rsid w:val="3BE8228E"/>
    <w:rsid w:val="3BE85536"/>
    <w:rsid w:val="3BF12E73"/>
    <w:rsid w:val="3C151608"/>
    <w:rsid w:val="3C2261B8"/>
    <w:rsid w:val="3C9334D3"/>
    <w:rsid w:val="3CFA0F81"/>
    <w:rsid w:val="3D0B67A9"/>
    <w:rsid w:val="3D2B2DC0"/>
    <w:rsid w:val="3D3071F1"/>
    <w:rsid w:val="3D561A38"/>
    <w:rsid w:val="3D901CAB"/>
    <w:rsid w:val="3DA95776"/>
    <w:rsid w:val="3DB053A6"/>
    <w:rsid w:val="3DBF3BC6"/>
    <w:rsid w:val="3DC20E35"/>
    <w:rsid w:val="3DD14E4A"/>
    <w:rsid w:val="3DFE0E2B"/>
    <w:rsid w:val="3E622447"/>
    <w:rsid w:val="3E6A2312"/>
    <w:rsid w:val="3EC25415"/>
    <w:rsid w:val="3F161AB5"/>
    <w:rsid w:val="3F171200"/>
    <w:rsid w:val="3F297FC8"/>
    <w:rsid w:val="3FCA258C"/>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E0FEB"/>
    <w:rsid w:val="44077D52"/>
    <w:rsid w:val="44266446"/>
    <w:rsid w:val="443E4946"/>
    <w:rsid w:val="44721A12"/>
    <w:rsid w:val="4487307F"/>
    <w:rsid w:val="44873A9F"/>
    <w:rsid w:val="44F43B6B"/>
    <w:rsid w:val="45093769"/>
    <w:rsid w:val="4539539D"/>
    <w:rsid w:val="45441EAD"/>
    <w:rsid w:val="45467E46"/>
    <w:rsid w:val="4579599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C0C5B0A"/>
    <w:rsid w:val="4C0C737C"/>
    <w:rsid w:val="4C165DE3"/>
    <w:rsid w:val="4C2747AD"/>
    <w:rsid w:val="4C3F4B95"/>
    <w:rsid w:val="4C3F6194"/>
    <w:rsid w:val="4CB13AC6"/>
    <w:rsid w:val="4CBE11BB"/>
    <w:rsid w:val="4CE21529"/>
    <w:rsid w:val="4CF25551"/>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9229D0"/>
    <w:rsid w:val="4F9278D1"/>
    <w:rsid w:val="4FD4118D"/>
    <w:rsid w:val="4FEA5C55"/>
    <w:rsid w:val="4FED349B"/>
    <w:rsid w:val="50475AA7"/>
    <w:rsid w:val="50542FB5"/>
    <w:rsid w:val="506D6F23"/>
    <w:rsid w:val="508F55FD"/>
    <w:rsid w:val="50B6698A"/>
    <w:rsid w:val="50C85572"/>
    <w:rsid w:val="50E60422"/>
    <w:rsid w:val="51084F6D"/>
    <w:rsid w:val="5109784A"/>
    <w:rsid w:val="51131B17"/>
    <w:rsid w:val="51264A23"/>
    <w:rsid w:val="515157CB"/>
    <w:rsid w:val="51532371"/>
    <w:rsid w:val="51F229AD"/>
    <w:rsid w:val="521B4326"/>
    <w:rsid w:val="52352B41"/>
    <w:rsid w:val="524E4A53"/>
    <w:rsid w:val="525D2118"/>
    <w:rsid w:val="52B162B2"/>
    <w:rsid w:val="53053CD8"/>
    <w:rsid w:val="53210FC8"/>
    <w:rsid w:val="536478F7"/>
    <w:rsid w:val="536D70D7"/>
    <w:rsid w:val="53AC4D1F"/>
    <w:rsid w:val="53B34C9B"/>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90758D"/>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C5C9D"/>
    <w:rsid w:val="5AAD31F0"/>
    <w:rsid w:val="5AC621B6"/>
    <w:rsid w:val="5AD223B4"/>
    <w:rsid w:val="5AEC4E67"/>
    <w:rsid w:val="5AF12D30"/>
    <w:rsid w:val="5AFB6322"/>
    <w:rsid w:val="5B1B3118"/>
    <w:rsid w:val="5B7F1FBF"/>
    <w:rsid w:val="5B7F343E"/>
    <w:rsid w:val="5BB6106F"/>
    <w:rsid w:val="5BCC77E1"/>
    <w:rsid w:val="5BF302E8"/>
    <w:rsid w:val="5BF804B6"/>
    <w:rsid w:val="5C5C5E00"/>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FB3EF3"/>
    <w:rsid w:val="5F24646E"/>
    <w:rsid w:val="5F3A59E9"/>
    <w:rsid w:val="5F3B6ACD"/>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7287C8B"/>
    <w:rsid w:val="675062E3"/>
    <w:rsid w:val="678C76EE"/>
    <w:rsid w:val="67A1509A"/>
    <w:rsid w:val="67C86D6E"/>
    <w:rsid w:val="67DC1C71"/>
    <w:rsid w:val="67EB1093"/>
    <w:rsid w:val="68121626"/>
    <w:rsid w:val="683632E0"/>
    <w:rsid w:val="68B45AAA"/>
    <w:rsid w:val="690E371C"/>
    <w:rsid w:val="694834DA"/>
    <w:rsid w:val="6979465B"/>
    <w:rsid w:val="697C5296"/>
    <w:rsid w:val="69D97353"/>
    <w:rsid w:val="69DD7D0C"/>
    <w:rsid w:val="6A050A2C"/>
    <w:rsid w:val="6A26114C"/>
    <w:rsid w:val="6B012D13"/>
    <w:rsid w:val="6B0E47A6"/>
    <w:rsid w:val="6B294766"/>
    <w:rsid w:val="6B5D070C"/>
    <w:rsid w:val="6B753CE8"/>
    <w:rsid w:val="6B9F39DA"/>
    <w:rsid w:val="6BA47C2E"/>
    <w:rsid w:val="6BA93887"/>
    <w:rsid w:val="6BB50D65"/>
    <w:rsid w:val="6BB847A2"/>
    <w:rsid w:val="6BC661AF"/>
    <w:rsid w:val="6BD36B24"/>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46195"/>
    <w:rsid w:val="6FE74354"/>
    <w:rsid w:val="70427B86"/>
    <w:rsid w:val="70704AB5"/>
    <w:rsid w:val="709119E7"/>
    <w:rsid w:val="70D951AA"/>
    <w:rsid w:val="70DB0BB9"/>
    <w:rsid w:val="7106701A"/>
    <w:rsid w:val="71380525"/>
    <w:rsid w:val="71395239"/>
    <w:rsid w:val="714A05B2"/>
    <w:rsid w:val="71603A0C"/>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977539"/>
    <w:rsid w:val="779E1FCE"/>
    <w:rsid w:val="77FB1843"/>
    <w:rsid w:val="77FB4322"/>
    <w:rsid w:val="78022B0F"/>
    <w:rsid w:val="780D56CC"/>
    <w:rsid w:val="7849745D"/>
    <w:rsid w:val="785933AD"/>
    <w:rsid w:val="78D262C9"/>
    <w:rsid w:val="790659C1"/>
    <w:rsid w:val="790A2C68"/>
    <w:rsid w:val="791B051F"/>
    <w:rsid w:val="796C71E7"/>
    <w:rsid w:val="799F63ED"/>
    <w:rsid w:val="79A43E25"/>
    <w:rsid w:val="79CA483B"/>
    <w:rsid w:val="79FD19E0"/>
    <w:rsid w:val="7A3C396D"/>
    <w:rsid w:val="7A3D38C1"/>
    <w:rsid w:val="7AD47EB9"/>
    <w:rsid w:val="7AF51025"/>
    <w:rsid w:val="7AF96004"/>
    <w:rsid w:val="7B0F60CA"/>
    <w:rsid w:val="7B2D7FA7"/>
    <w:rsid w:val="7B3356A9"/>
    <w:rsid w:val="7B583FDA"/>
    <w:rsid w:val="7B831787"/>
    <w:rsid w:val="7BEC632B"/>
    <w:rsid w:val="7C1F6121"/>
    <w:rsid w:val="7C2879C7"/>
    <w:rsid w:val="7C637038"/>
    <w:rsid w:val="7C702829"/>
    <w:rsid w:val="7CC750CA"/>
    <w:rsid w:val="7CF24905"/>
    <w:rsid w:val="7D44514C"/>
    <w:rsid w:val="7D573A08"/>
    <w:rsid w:val="7D5A3EC0"/>
    <w:rsid w:val="7D672DA1"/>
    <w:rsid w:val="7D7A0200"/>
    <w:rsid w:val="7DB86E1E"/>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8"/>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3"/>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1"/>
    <w:qFormat/>
    <w:uiPriority w:val="0"/>
    <w:rPr>
      <w:rFonts w:ascii="Tahoma" w:hAnsi="Tahoma"/>
      <w:sz w:val="16"/>
      <w:szCs w:val="16"/>
    </w:rPr>
  </w:style>
  <w:style w:type="paragraph" w:styleId="24">
    <w:name w:val="annotation text"/>
    <w:basedOn w:val="1"/>
    <w:link w:val="158"/>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0"/>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1"/>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7"/>
    <w:qFormat/>
    <w:uiPriority w:val="0"/>
    <w:rPr>
      <w:rFonts w:ascii="Calibri" w:hAnsi="Calibri"/>
      <w:sz w:val="18"/>
      <w:szCs w:val="18"/>
    </w:rPr>
  </w:style>
  <w:style w:type="paragraph" w:styleId="47">
    <w:name w:val="footer"/>
    <w:basedOn w:val="1"/>
    <w:link w:val="144"/>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2"/>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4"/>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character" w:customStyle="1" w:styleId="142">
    <w:name w:val="页眉 Char1"/>
    <w:link w:val="49"/>
    <w:qFormat/>
    <w:uiPriority w:val="0"/>
    <w:rPr>
      <w:rFonts w:eastAsia="宋体"/>
      <w:kern w:val="2"/>
      <w:sz w:val="21"/>
      <w:szCs w:val="24"/>
      <w:lang w:bidi="ar-SA"/>
    </w:rPr>
  </w:style>
  <w:style w:type="character" w:customStyle="1" w:styleId="143">
    <w:name w:val="标题 3 Char"/>
    <w:link w:val="5"/>
    <w:qFormat/>
    <w:uiPriority w:val="0"/>
    <w:rPr>
      <w:rFonts w:eastAsia="宋体"/>
      <w:b/>
      <w:bCs/>
      <w:kern w:val="2"/>
      <w:sz w:val="24"/>
      <w:szCs w:val="32"/>
      <w:lang w:val="en-US" w:eastAsia="zh-CN" w:bidi="ar-SA"/>
    </w:rPr>
  </w:style>
  <w:style w:type="character" w:customStyle="1" w:styleId="144">
    <w:name w:val="页脚 Char1"/>
    <w:link w:val="47"/>
    <w:qFormat/>
    <w:uiPriority w:val="0"/>
    <w:rPr>
      <w:rFonts w:eastAsia="宋体"/>
      <w:kern w:val="2"/>
      <w:sz w:val="18"/>
      <w:szCs w:val="18"/>
      <w:lang w:bidi="ar-SA"/>
    </w:rPr>
  </w:style>
  <w:style w:type="character" w:customStyle="1" w:styleId="145">
    <w:name w:val="样式 Arial"/>
    <w:qFormat/>
    <w:uiPriority w:val="0"/>
    <w:rPr>
      <w:rFonts w:hint="default" w:ascii="Times New Roman" w:hAnsi="Times New Roman" w:eastAsia="宋体" w:cs="Times New Roman"/>
      <w:sz w:val="21"/>
      <w:szCs w:val="21"/>
    </w:rPr>
  </w:style>
  <w:style w:type="character" w:customStyle="1" w:styleId="146">
    <w:name w:val="页脚 Char"/>
    <w:qFormat/>
    <w:uiPriority w:val="99"/>
    <w:rPr>
      <w:rFonts w:eastAsia="宋体"/>
      <w:kern w:val="2"/>
      <w:sz w:val="18"/>
      <w:lang w:val="en-US" w:eastAsia="zh-CN" w:bidi="ar-SA"/>
    </w:rPr>
  </w:style>
  <w:style w:type="character" w:customStyle="1" w:styleId="147">
    <w:name w:val="批注框文本 Char"/>
    <w:link w:val="46"/>
    <w:qFormat/>
    <w:uiPriority w:val="0"/>
    <w:rPr>
      <w:rFonts w:eastAsia="宋体"/>
      <w:kern w:val="2"/>
      <w:sz w:val="18"/>
      <w:szCs w:val="18"/>
      <w:lang w:val="en-US" w:eastAsia="zh-CN" w:bidi="ar-SA"/>
    </w:rPr>
  </w:style>
  <w:style w:type="character" w:customStyle="1" w:styleId="148">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49">
    <w:name w:val="脚注文本 Char"/>
    <w:qFormat/>
    <w:uiPriority w:val="0"/>
    <w:rPr>
      <w:rFonts w:eastAsia="宋体"/>
      <w:kern w:val="2"/>
      <w:sz w:val="18"/>
      <w:lang w:val="en-US" w:eastAsia="zh-CN" w:bidi="ar-SA"/>
    </w:rPr>
  </w:style>
  <w:style w:type="character" w:customStyle="1" w:styleId="150">
    <w:name w:val="页眉 Char"/>
    <w:qFormat/>
    <w:uiPriority w:val="99"/>
    <w:rPr>
      <w:rFonts w:eastAsia="宋体"/>
      <w:kern w:val="2"/>
      <w:sz w:val="18"/>
      <w:lang w:val="en-US" w:eastAsia="zh-CN" w:bidi="ar-SA"/>
    </w:rPr>
  </w:style>
  <w:style w:type="character" w:customStyle="1" w:styleId="151">
    <w:name w:val="文档结构图 Char"/>
    <w:link w:val="23"/>
    <w:qFormat/>
    <w:uiPriority w:val="0"/>
    <w:rPr>
      <w:rFonts w:ascii="Tahoma" w:hAnsi="Tahoma" w:eastAsia="宋体"/>
      <w:kern w:val="2"/>
      <w:sz w:val="16"/>
      <w:szCs w:val="16"/>
      <w:lang w:bidi="ar-SA"/>
    </w:rPr>
  </w:style>
  <w:style w:type="character" w:customStyle="1" w:styleId="152">
    <w:name w:val="3z Char"/>
    <w:link w:val="153"/>
    <w:qFormat/>
    <w:locked/>
    <w:uiPriority w:val="0"/>
    <w:rPr>
      <w:rFonts w:ascii="EU-F1" w:eastAsia="黑体"/>
      <w:kern w:val="2"/>
      <w:sz w:val="21"/>
      <w:szCs w:val="21"/>
      <w:lang w:val="en-US" w:eastAsia="zh-CN" w:bidi="ar-SA"/>
    </w:rPr>
  </w:style>
  <w:style w:type="paragraph" w:customStyle="1" w:styleId="153">
    <w:name w:val="3z"/>
    <w:basedOn w:val="1"/>
    <w:link w:val="152"/>
    <w:qFormat/>
    <w:uiPriority w:val="0"/>
    <w:pPr>
      <w:topLinePunct/>
      <w:spacing w:line="312" w:lineRule="exact"/>
    </w:pPr>
    <w:rPr>
      <w:rFonts w:ascii="EU-F1" w:hAnsi="Calibri" w:eastAsia="黑体"/>
      <w:szCs w:val="21"/>
    </w:rPr>
  </w:style>
  <w:style w:type="character" w:customStyle="1" w:styleId="154">
    <w:name w:val="Char Char8"/>
    <w:qFormat/>
    <w:uiPriority w:val="0"/>
    <w:rPr>
      <w:rFonts w:ascii="Arial" w:hAnsi="Arial" w:eastAsia="黑体"/>
      <w:b/>
      <w:bCs/>
      <w:kern w:val="2"/>
      <w:sz w:val="32"/>
      <w:szCs w:val="32"/>
      <w:lang w:val="en-US" w:eastAsia="zh-CN" w:bidi="ar-SA"/>
    </w:rPr>
  </w:style>
  <w:style w:type="character" w:customStyle="1" w:styleId="155">
    <w:name w:val="font11"/>
    <w:basedOn w:val="122"/>
    <w:qFormat/>
    <w:uiPriority w:val="0"/>
    <w:rPr>
      <w:rFonts w:hint="eastAsia" w:ascii="宋体" w:hAnsi="宋体" w:eastAsia="宋体" w:cs="宋体"/>
      <w:color w:val="000000"/>
      <w:sz w:val="20"/>
      <w:szCs w:val="20"/>
      <w:u w:val="none"/>
    </w:rPr>
  </w:style>
  <w:style w:type="character" w:customStyle="1" w:styleId="156">
    <w:name w:val="样式6 Char"/>
    <w:link w:val="157"/>
    <w:qFormat/>
    <w:uiPriority w:val="0"/>
    <w:rPr>
      <w:rFonts w:eastAsia="黑体"/>
      <w:kern w:val="2"/>
      <w:sz w:val="21"/>
      <w:szCs w:val="21"/>
      <w:lang w:val="en-US" w:eastAsia="zh-CN" w:bidi="ar-SA"/>
    </w:rPr>
  </w:style>
  <w:style w:type="paragraph" w:customStyle="1" w:styleId="157">
    <w:name w:val="样式6"/>
    <w:basedOn w:val="1"/>
    <w:link w:val="156"/>
    <w:qFormat/>
    <w:uiPriority w:val="0"/>
    <w:pPr>
      <w:topLinePunct/>
      <w:spacing w:before="160" w:after="60"/>
      <w:jc w:val="center"/>
    </w:pPr>
    <w:rPr>
      <w:rFonts w:ascii="Calibri" w:hAnsi="Calibri" w:eastAsia="黑体"/>
      <w:szCs w:val="21"/>
    </w:rPr>
  </w:style>
  <w:style w:type="character" w:customStyle="1" w:styleId="158">
    <w:name w:val="批注文字 Char"/>
    <w:link w:val="24"/>
    <w:qFormat/>
    <w:uiPriority w:val="99"/>
    <w:rPr>
      <w:rFonts w:eastAsia="宋体"/>
      <w:kern w:val="2"/>
      <w:sz w:val="21"/>
      <w:szCs w:val="24"/>
      <w:lang w:val="en-US" w:eastAsia="zh-CN" w:bidi="ar-SA"/>
    </w:rPr>
  </w:style>
  <w:style w:type="character" w:customStyle="1" w:styleId="159">
    <w:name w:val="Char Char1"/>
    <w:qFormat/>
    <w:uiPriority w:val="0"/>
    <w:rPr>
      <w:rFonts w:eastAsia="华文仿宋"/>
      <w:kern w:val="2"/>
      <w:sz w:val="18"/>
      <w:lang w:val="en-US" w:eastAsia="zh-CN"/>
    </w:rPr>
  </w:style>
  <w:style w:type="character" w:customStyle="1" w:styleId="160">
    <w:name w:val="纯文本 Char"/>
    <w:link w:val="38"/>
    <w:qFormat/>
    <w:uiPriority w:val="0"/>
    <w:rPr>
      <w:rFonts w:ascii="宋体" w:hAnsi="Courier New" w:eastAsia="宋体" w:cs="Courier New"/>
      <w:kern w:val="2"/>
      <w:sz w:val="21"/>
      <w:szCs w:val="21"/>
      <w:lang w:val="en-US" w:eastAsia="zh-CN" w:bidi="ar-SA"/>
    </w:rPr>
  </w:style>
  <w:style w:type="character" w:customStyle="1" w:styleId="161">
    <w:name w:val="正文格式 Char"/>
    <w:link w:val="162"/>
    <w:qFormat/>
    <w:uiPriority w:val="0"/>
    <w:rPr>
      <w:rFonts w:ascii="宋体" w:hAnsi="宋体" w:eastAsia="宋体"/>
      <w:bCs/>
      <w:kern w:val="2"/>
      <w:sz w:val="21"/>
      <w:szCs w:val="21"/>
      <w:lang w:val="en-US" w:eastAsia="zh-CN" w:bidi="ar-SA"/>
    </w:rPr>
  </w:style>
  <w:style w:type="paragraph" w:customStyle="1" w:styleId="162">
    <w:name w:val="正文格式"/>
    <w:basedOn w:val="1"/>
    <w:link w:val="161"/>
    <w:qFormat/>
    <w:uiPriority w:val="0"/>
    <w:pPr>
      <w:topLinePunct/>
      <w:ind w:firstLine="420" w:firstLineChars="200"/>
    </w:pPr>
    <w:rPr>
      <w:rFonts w:ascii="宋体" w:hAnsi="宋体"/>
      <w:bCs/>
      <w:szCs w:val="21"/>
    </w:rPr>
  </w:style>
  <w:style w:type="character" w:customStyle="1" w:styleId="163">
    <w:name w:val="Char Char10"/>
    <w:qFormat/>
    <w:uiPriority w:val="0"/>
    <w:rPr>
      <w:b/>
      <w:kern w:val="2"/>
      <w:sz w:val="28"/>
    </w:rPr>
  </w:style>
  <w:style w:type="character" w:customStyle="1" w:styleId="164">
    <w:name w:val="jl 三级 Char Char"/>
    <w:link w:val="165"/>
    <w:qFormat/>
    <w:uiPriority w:val="0"/>
    <w:rPr>
      <w:rFonts w:ascii="宋体" w:hAnsi="宋体" w:eastAsia="宋体"/>
      <w:b/>
      <w:color w:val="000000"/>
      <w:kern w:val="2"/>
      <w:sz w:val="24"/>
      <w:szCs w:val="24"/>
      <w:lang w:val="en-US" w:eastAsia="zh-CN" w:bidi="ar-SA"/>
    </w:rPr>
  </w:style>
  <w:style w:type="paragraph" w:customStyle="1" w:styleId="165">
    <w:name w:val="jl 三级 Char"/>
    <w:basedOn w:val="1"/>
    <w:link w:val="164"/>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6">
    <w:name w:val="font41"/>
    <w:basedOn w:val="122"/>
    <w:qFormat/>
    <w:uiPriority w:val="0"/>
    <w:rPr>
      <w:rFonts w:hint="eastAsia" w:ascii="宋体" w:hAnsi="宋体" w:eastAsia="宋体" w:cs="宋体"/>
      <w:color w:val="000000"/>
      <w:sz w:val="36"/>
      <w:szCs w:val="36"/>
      <w:u w:val="none"/>
    </w:rPr>
  </w:style>
  <w:style w:type="character" w:customStyle="1" w:styleId="167">
    <w:name w:val="Char Char16"/>
    <w:qFormat/>
    <w:uiPriority w:val="0"/>
    <w:rPr>
      <w:rFonts w:ascii="Arial" w:hAnsi="Arial" w:eastAsia="黑体"/>
      <w:b/>
      <w:bCs/>
      <w:kern w:val="2"/>
      <w:sz w:val="32"/>
      <w:szCs w:val="32"/>
      <w:lang w:val="en-US" w:eastAsia="zh-CN" w:bidi="ar-SA"/>
    </w:rPr>
  </w:style>
  <w:style w:type="character" w:customStyle="1" w:styleId="168">
    <w:name w:val="Char Char9"/>
    <w:qFormat/>
    <w:uiPriority w:val="0"/>
    <w:rPr>
      <w:kern w:val="2"/>
      <w:sz w:val="18"/>
      <w:szCs w:val="18"/>
    </w:rPr>
  </w:style>
  <w:style w:type="character" w:customStyle="1" w:styleId="169">
    <w:name w:val="font21"/>
    <w:basedOn w:val="122"/>
    <w:qFormat/>
    <w:uiPriority w:val="0"/>
    <w:rPr>
      <w:rFonts w:ascii="Arial" w:hAnsi="Arial" w:cs="Arial"/>
      <w:color w:val="000000"/>
      <w:sz w:val="24"/>
      <w:szCs w:val="24"/>
      <w:u w:val="none"/>
    </w:rPr>
  </w:style>
  <w:style w:type="character" w:customStyle="1" w:styleId="170">
    <w:name w:val="Char Char11"/>
    <w:qFormat/>
    <w:uiPriority w:val="0"/>
    <w:rPr>
      <w:rFonts w:ascii="Arial" w:hAnsi="Arial" w:eastAsia="黑体"/>
      <w:b/>
      <w:kern w:val="2"/>
      <w:sz w:val="32"/>
    </w:rPr>
  </w:style>
  <w:style w:type="character" w:customStyle="1" w:styleId="171">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2">
    <w:name w:val="Footnote Text Char1"/>
    <w:qFormat/>
    <w:uiPriority w:val="0"/>
    <w:rPr>
      <w:kern w:val="2"/>
    </w:rPr>
  </w:style>
  <w:style w:type="character" w:customStyle="1" w:styleId="173">
    <w:name w:val="脚注文本 Char1"/>
    <w:qFormat/>
    <w:uiPriority w:val="0"/>
    <w:rPr>
      <w:kern w:val="2"/>
      <w:sz w:val="18"/>
      <w:szCs w:val="18"/>
    </w:rPr>
  </w:style>
  <w:style w:type="character" w:customStyle="1" w:styleId="174">
    <w:name w:val="脚注文本 Char2"/>
    <w:link w:val="59"/>
    <w:qFormat/>
    <w:uiPriority w:val="0"/>
    <w:rPr>
      <w:sz w:val="18"/>
      <w:lang w:bidi="ar-SA"/>
    </w:rPr>
  </w:style>
  <w:style w:type="character" w:customStyle="1" w:styleId="175">
    <w:name w:val="jl 正文 Char Char Char"/>
    <w:link w:val="176"/>
    <w:qFormat/>
    <w:uiPriority w:val="0"/>
    <w:rPr>
      <w:rFonts w:ascii="宋体" w:eastAsia="宋体"/>
      <w:kern w:val="2"/>
      <w:sz w:val="24"/>
      <w:szCs w:val="24"/>
      <w:lang w:val="en-US" w:eastAsia="zh-CN" w:bidi="ar-SA"/>
    </w:rPr>
  </w:style>
  <w:style w:type="paragraph" w:customStyle="1" w:styleId="176">
    <w:name w:val="jl 正文 Char Char"/>
    <w:basedOn w:val="1"/>
    <w:link w:val="175"/>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7">
    <w:name w:val="font01"/>
    <w:basedOn w:val="122"/>
    <w:qFormat/>
    <w:uiPriority w:val="0"/>
    <w:rPr>
      <w:rFonts w:hint="default" w:ascii="Arial" w:hAnsi="Arial" w:cs="Arial"/>
      <w:color w:val="000000"/>
      <w:sz w:val="20"/>
      <w:szCs w:val="20"/>
      <w:u w:val="none"/>
    </w:rPr>
  </w:style>
  <w:style w:type="character" w:customStyle="1" w:styleId="178">
    <w:name w:val="font31"/>
    <w:basedOn w:val="122"/>
    <w:qFormat/>
    <w:uiPriority w:val="0"/>
    <w:rPr>
      <w:rFonts w:ascii="Arial" w:hAnsi="Arial" w:cs="Arial"/>
      <w:color w:val="000000"/>
      <w:sz w:val="36"/>
      <w:szCs w:val="36"/>
      <w:u w:val="none"/>
    </w:rPr>
  </w:style>
  <w:style w:type="character" w:customStyle="1" w:styleId="179">
    <w:name w:val="Char Char7"/>
    <w:qFormat/>
    <w:uiPriority w:val="0"/>
    <w:rPr>
      <w:b/>
      <w:kern w:val="44"/>
      <w:sz w:val="44"/>
    </w:rPr>
  </w:style>
  <w:style w:type="character" w:customStyle="1" w:styleId="180">
    <w:name w:val="Char Char12"/>
    <w:qFormat/>
    <w:uiPriority w:val="0"/>
    <w:rPr>
      <w:b/>
      <w:kern w:val="44"/>
      <w:sz w:val="44"/>
    </w:rPr>
  </w:style>
  <w:style w:type="character" w:customStyle="1" w:styleId="181">
    <w:name w:val="表头 Char"/>
    <w:link w:val="182"/>
    <w:qFormat/>
    <w:uiPriority w:val="0"/>
    <w:rPr>
      <w:rFonts w:eastAsia="黑体"/>
      <w:kern w:val="2"/>
      <w:sz w:val="21"/>
      <w:szCs w:val="21"/>
      <w:lang w:val="en-US" w:eastAsia="zh-CN" w:bidi="ar-SA"/>
    </w:rPr>
  </w:style>
  <w:style w:type="paragraph" w:customStyle="1" w:styleId="182">
    <w:name w:val="表头"/>
    <w:basedOn w:val="1"/>
    <w:link w:val="181"/>
    <w:qFormat/>
    <w:uiPriority w:val="0"/>
    <w:pPr>
      <w:topLinePunct/>
      <w:spacing w:before="160" w:after="60"/>
      <w:jc w:val="center"/>
    </w:pPr>
    <w:rPr>
      <w:rFonts w:ascii="Calibri" w:hAnsi="Calibri" w:eastAsia="黑体"/>
      <w:szCs w:val="21"/>
    </w:rPr>
  </w:style>
  <w:style w:type="paragraph" w:customStyle="1" w:styleId="18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4">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5">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uiPriority w:val="0"/>
    <w:rPr>
      <w:rFonts w:hint="eastAsia" w:ascii="宋体" w:hAnsi="宋体" w:eastAsia="宋体" w:cs="宋体"/>
      <w:color w:val="000000"/>
      <w:sz w:val="18"/>
      <w:szCs w:val="18"/>
      <w:u w:val="none"/>
    </w:rPr>
  </w:style>
  <w:style w:type="character" w:customStyle="1" w:styleId="279">
    <w:name w:val="font51"/>
    <w:basedOn w:val="122"/>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2</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2021-04-26T07:14:00Z</cp:lastPrinted>
  <dcterms:modified xsi:type="dcterms:W3CDTF">2021-06-30T02:26:04Z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