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9"/>
        <w:tabs>
          <w:tab w:val="left" w:pos="2771"/>
          <w:tab w:val="clear" w:pos="900"/>
          <w:tab w:val="clear" w:pos="2740"/>
          <w:tab w:val="clear" w:pos="4580"/>
          <w:tab w:val="clear" w:pos="6400"/>
          <w:tab w:val="clear" w:pos="8240"/>
          <w:tab w:val="clear" w:pos="10060"/>
          <w:tab w:val="clear" w:pos="11900"/>
          <w:tab w:val="clear" w:pos="13740"/>
        </w:tabs>
        <w:spacing w:line="360" w:lineRule="auto"/>
        <w:rPr>
          <w:rFonts w:ascii="宋体" w:hAnsi="宋体" w:eastAsia="宋体" w:cs="宋体"/>
          <w:b/>
          <w:color w:val="auto"/>
          <w:kern w:val="2"/>
          <w:sz w:val="30"/>
          <w:szCs w:val="30"/>
        </w:rPr>
      </w:pPr>
      <w:r>
        <w:rPr>
          <w:rFonts w:hint="eastAsia" w:ascii="宋体" w:hAnsi="宋体" w:eastAsia="宋体" w:cs="宋体"/>
          <w:b/>
          <w:color w:val="auto"/>
          <w:kern w:val="2"/>
          <w:sz w:val="30"/>
          <w:szCs w:val="30"/>
        </w:rPr>
        <w:tab/>
      </w:r>
    </w:p>
    <w:p>
      <w:pPr>
        <w:pStyle w:val="19"/>
        <w:spacing w:line="360" w:lineRule="auto"/>
        <w:rPr>
          <w:rFonts w:ascii="宋体" w:hAnsi="宋体" w:eastAsia="宋体" w:cs="宋体"/>
          <w:b/>
          <w:color w:val="auto"/>
          <w:kern w:val="2"/>
          <w:sz w:val="30"/>
          <w:szCs w:val="30"/>
        </w:rPr>
      </w:pPr>
    </w:p>
    <w:p>
      <w:pPr>
        <w:spacing w:line="360" w:lineRule="auto"/>
        <w:jc w:val="left"/>
        <w:rPr>
          <w:rFonts w:eastAsia="宋体"/>
          <w:b/>
          <w:color w:val="auto"/>
          <w:spacing w:val="26"/>
          <w:kern w:val="2"/>
          <w:sz w:val="72"/>
          <w:szCs w:val="72"/>
        </w:rPr>
      </w:pPr>
    </w:p>
    <w:p>
      <w:pPr>
        <w:spacing w:line="360" w:lineRule="auto"/>
        <w:jc w:val="center"/>
        <w:rPr>
          <w:rFonts w:eastAsia="宋体"/>
          <w:b/>
          <w:color w:val="auto"/>
          <w:spacing w:val="26"/>
          <w:kern w:val="2"/>
          <w:sz w:val="52"/>
          <w:szCs w:val="52"/>
        </w:rPr>
      </w:pPr>
      <w:r>
        <w:rPr>
          <w:rFonts w:hint="eastAsia" w:eastAsia="宋体"/>
          <w:b/>
          <w:color w:val="auto"/>
          <w:spacing w:val="26"/>
          <w:kern w:val="2"/>
          <w:sz w:val="72"/>
          <w:szCs w:val="72"/>
        </w:rPr>
        <w:t>竞 争 性 磋 商 文 件</w:t>
      </w:r>
    </w:p>
    <w:p>
      <w:pPr>
        <w:spacing w:line="360" w:lineRule="auto"/>
        <w:jc w:val="left"/>
        <w:rPr>
          <w:rFonts w:eastAsia="宋体"/>
          <w:color w:val="auto"/>
          <w:kern w:val="2"/>
          <w:sz w:val="28"/>
          <w:szCs w:val="28"/>
        </w:rPr>
      </w:pPr>
    </w:p>
    <w:p>
      <w:pPr>
        <w:pStyle w:val="19"/>
        <w:spacing w:line="360" w:lineRule="auto"/>
        <w:rPr>
          <w:rFonts w:ascii="宋体" w:hAnsi="宋体" w:eastAsia="宋体" w:cs="宋体"/>
          <w:color w:val="auto"/>
        </w:rPr>
      </w:pPr>
    </w:p>
    <w:p>
      <w:pPr>
        <w:pStyle w:val="19"/>
        <w:spacing w:line="360" w:lineRule="auto"/>
        <w:rPr>
          <w:rFonts w:ascii="宋体" w:hAnsi="宋体" w:eastAsia="宋体" w:cs="宋体"/>
          <w:color w:val="auto"/>
        </w:rPr>
      </w:pPr>
    </w:p>
    <w:p>
      <w:pPr>
        <w:pStyle w:val="19"/>
        <w:spacing w:line="360" w:lineRule="auto"/>
        <w:rPr>
          <w:rFonts w:ascii="宋体" w:hAnsi="宋体" w:eastAsia="宋体" w:cs="宋体"/>
          <w:color w:val="auto"/>
        </w:rPr>
      </w:pPr>
    </w:p>
    <w:p>
      <w:pPr>
        <w:pStyle w:val="19"/>
        <w:spacing w:line="360" w:lineRule="auto"/>
        <w:rPr>
          <w:rFonts w:ascii="宋体" w:hAnsi="宋体" w:eastAsia="宋体" w:cs="宋体"/>
          <w:color w:val="auto"/>
          <w:kern w:val="2"/>
          <w:sz w:val="32"/>
          <w:szCs w:val="32"/>
        </w:rPr>
      </w:pPr>
    </w:p>
    <w:p>
      <w:pPr>
        <w:autoSpaceDE w:val="0"/>
        <w:autoSpaceDN w:val="0"/>
        <w:adjustRightInd w:val="0"/>
        <w:spacing w:line="360" w:lineRule="auto"/>
        <w:ind w:left="2530" w:hanging="2530" w:hangingChars="700"/>
        <w:jc w:val="left"/>
        <w:rPr>
          <w:rFonts w:eastAsia="宋体"/>
          <w:b/>
          <w:bCs/>
          <w:color w:val="auto"/>
          <w:sz w:val="36"/>
          <w:szCs w:val="36"/>
        </w:rPr>
      </w:pPr>
      <w:r>
        <w:rPr>
          <w:rFonts w:hint="eastAsia" w:eastAsia="宋体"/>
          <w:b/>
          <w:bCs/>
          <w:color w:val="auto"/>
          <w:sz w:val="36"/>
          <w:szCs w:val="36"/>
          <w:lang w:val="zh-CN"/>
        </w:rPr>
        <w:t>采购项目编号：青海中旭竞磋（服务）2022-029</w:t>
      </w:r>
    </w:p>
    <w:p>
      <w:pPr>
        <w:autoSpaceDE w:val="0"/>
        <w:autoSpaceDN w:val="0"/>
        <w:adjustRightInd w:val="0"/>
        <w:spacing w:line="360" w:lineRule="auto"/>
        <w:ind w:left="2530" w:hanging="2530" w:hangingChars="700"/>
        <w:jc w:val="left"/>
        <w:rPr>
          <w:rFonts w:eastAsia="宋体"/>
          <w:b/>
          <w:bCs/>
          <w:color w:val="auto"/>
          <w:sz w:val="36"/>
          <w:szCs w:val="36"/>
          <w:lang w:val="zh-CN"/>
        </w:rPr>
      </w:pPr>
    </w:p>
    <w:p>
      <w:pPr>
        <w:autoSpaceDE w:val="0"/>
        <w:autoSpaceDN w:val="0"/>
        <w:adjustRightInd w:val="0"/>
        <w:spacing w:line="360" w:lineRule="auto"/>
        <w:ind w:left="2530" w:hanging="2530" w:hangingChars="700"/>
        <w:jc w:val="left"/>
        <w:rPr>
          <w:rFonts w:eastAsia="宋体"/>
          <w:b/>
          <w:bCs/>
          <w:color w:val="auto"/>
          <w:sz w:val="36"/>
          <w:szCs w:val="36"/>
        </w:rPr>
      </w:pPr>
      <w:r>
        <w:rPr>
          <w:rFonts w:hint="eastAsia" w:eastAsia="宋体"/>
          <w:b/>
          <w:bCs/>
          <w:color w:val="auto"/>
          <w:sz w:val="36"/>
          <w:szCs w:val="36"/>
          <w:lang w:val="zh-CN"/>
        </w:rPr>
        <w:t>采购项目名称：2022年中央支持地方高校改革发展专项</w:t>
      </w:r>
      <w:r>
        <w:rPr>
          <w:rFonts w:hint="eastAsia" w:ascii="黑体" w:hAnsi="黑体" w:eastAsia="黑体" w:cs="黑体"/>
          <w:b/>
          <w:bCs/>
          <w:color w:val="auto"/>
          <w:sz w:val="36"/>
          <w:szCs w:val="36"/>
          <w:lang w:val="zh-CN"/>
        </w:rPr>
        <w:t>——</w:t>
      </w:r>
      <w:r>
        <w:rPr>
          <w:rFonts w:hint="eastAsia" w:eastAsia="宋体"/>
          <w:b/>
          <w:bCs/>
          <w:color w:val="auto"/>
          <w:sz w:val="36"/>
          <w:szCs w:val="36"/>
          <w:lang w:val="zh-CN"/>
        </w:rPr>
        <w:t>本科教育教学建设（校级精品在线开放课程建设）</w:t>
      </w:r>
    </w:p>
    <w:p>
      <w:pPr>
        <w:autoSpaceDE w:val="0"/>
        <w:autoSpaceDN w:val="0"/>
        <w:adjustRightInd w:val="0"/>
        <w:spacing w:line="360" w:lineRule="auto"/>
        <w:ind w:left="2530" w:hanging="2530" w:hangingChars="700"/>
        <w:jc w:val="left"/>
        <w:rPr>
          <w:rFonts w:eastAsia="宋体"/>
          <w:b/>
          <w:bCs/>
          <w:color w:val="auto"/>
          <w:sz w:val="36"/>
          <w:szCs w:val="36"/>
          <w:lang w:val="zh-CN"/>
        </w:rPr>
      </w:pPr>
    </w:p>
    <w:p>
      <w:pPr>
        <w:autoSpaceDE w:val="0"/>
        <w:autoSpaceDN w:val="0"/>
        <w:adjustRightInd w:val="0"/>
        <w:spacing w:line="360" w:lineRule="auto"/>
        <w:ind w:left="2530" w:hanging="2530" w:hangingChars="700"/>
        <w:jc w:val="left"/>
        <w:rPr>
          <w:rFonts w:hint="eastAsia" w:eastAsia="宋体"/>
          <w:b/>
          <w:bCs/>
          <w:color w:val="auto"/>
          <w:sz w:val="36"/>
          <w:szCs w:val="36"/>
          <w:lang w:val="en-US" w:eastAsia="zh-CN"/>
        </w:rPr>
      </w:pPr>
      <w:r>
        <w:rPr>
          <w:rFonts w:hint="eastAsia" w:eastAsia="宋体"/>
          <w:b/>
          <w:bCs/>
          <w:color w:val="auto"/>
          <w:sz w:val="36"/>
          <w:szCs w:val="36"/>
          <w:lang w:val="zh-CN"/>
        </w:rPr>
        <w:t>采   购   人：</w:t>
      </w:r>
      <w:r>
        <w:rPr>
          <w:rFonts w:hint="eastAsia" w:eastAsia="宋体"/>
          <w:b/>
          <w:bCs/>
          <w:color w:val="auto"/>
          <w:sz w:val="36"/>
          <w:szCs w:val="36"/>
        </w:rPr>
        <w:t>青海民族大学</w:t>
      </w:r>
      <w:r>
        <w:rPr>
          <w:rFonts w:hint="eastAsia" w:eastAsia="宋体"/>
          <w:b/>
          <w:bCs/>
          <w:color w:val="auto"/>
          <w:sz w:val="36"/>
          <w:szCs w:val="36"/>
          <w:lang w:val="en-US" w:eastAsia="zh-CN"/>
        </w:rPr>
        <w:tab/>
      </w:r>
    </w:p>
    <w:p>
      <w:pPr>
        <w:autoSpaceDE w:val="0"/>
        <w:autoSpaceDN w:val="0"/>
        <w:adjustRightInd w:val="0"/>
        <w:spacing w:line="360" w:lineRule="auto"/>
        <w:ind w:left="2530" w:hanging="2530" w:hangingChars="700"/>
        <w:jc w:val="left"/>
        <w:rPr>
          <w:rFonts w:eastAsia="宋体"/>
          <w:b/>
          <w:bCs/>
          <w:color w:val="auto"/>
          <w:sz w:val="36"/>
          <w:szCs w:val="36"/>
          <w:lang w:val="zh-CN"/>
        </w:rPr>
      </w:pPr>
    </w:p>
    <w:p>
      <w:pPr>
        <w:autoSpaceDE w:val="0"/>
        <w:autoSpaceDN w:val="0"/>
        <w:adjustRightInd w:val="0"/>
        <w:spacing w:line="360" w:lineRule="auto"/>
        <w:ind w:left="2530" w:hanging="2530" w:hangingChars="700"/>
        <w:jc w:val="left"/>
        <w:rPr>
          <w:rFonts w:eastAsia="宋体"/>
          <w:b/>
          <w:bCs/>
          <w:color w:val="auto"/>
          <w:sz w:val="36"/>
          <w:szCs w:val="36"/>
          <w:lang w:val="zh-CN"/>
        </w:rPr>
      </w:pPr>
      <w:r>
        <w:rPr>
          <w:rFonts w:hint="eastAsia" w:eastAsia="宋体"/>
          <w:b/>
          <w:bCs/>
          <w:color w:val="auto"/>
          <w:sz w:val="36"/>
          <w:szCs w:val="36"/>
          <w:lang w:val="zh-CN"/>
        </w:rPr>
        <w:t>采购代理机构：青海中旭工程项目管理有限公司</w:t>
      </w:r>
    </w:p>
    <w:p>
      <w:pPr>
        <w:spacing w:line="360" w:lineRule="auto"/>
        <w:jc w:val="left"/>
        <w:rPr>
          <w:rFonts w:eastAsia="宋体"/>
          <w:b/>
          <w:color w:val="auto"/>
          <w:kern w:val="2"/>
          <w:sz w:val="32"/>
          <w:szCs w:val="32"/>
        </w:rPr>
      </w:pPr>
    </w:p>
    <w:p>
      <w:pPr>
        <w:spacing w:line="360" w:lineRule="auto"/>
        <w:jc w:val="left"/>
        <w:rPr>
          <w:rFonts w:eastAsia="宋体"/>
          <w:color w:val="auto"/>
          <w:sz w:val="32"/>
          <w:szCs w:val="32"/>
        </w:rPr>
        <w:sectPr>
          <w:headerReference r:id="rId7" w:type="first"/>
          <w:headerReference r:id="rId5" w:type="default"/>
          <w:footerReference r:id="rId8" w:type="default"/>
          <w:headerReference r:id="rId6" w:type="even"/>
          <w:footerReference r:id="rId9" w:type="even"/>
          <w:pgSz w:w="11906" w:h="16838"/>
          <w:pgMar w:top="1440" w:right="1080" w:bottom="1440" w:left="1080" w:header="1021" w:footer="867" w:gutter="0"/>
          <w:pgNumType w:start="1"/>
          <w:cols w:space="720" w:num="1"/>
          <w:docGrid w:linePitch="312" w:charSpace="0"/>
        </w:sectPr>
      </w:pPr>
      <w:r>
        <w:rPr>
          <w:rFonts w:hint="eastAsia" w:eastAsia="宋体"/>
          <w:b/>
          <w:color w:val="auto"/>
          <w:kern w:val="2"/>
          <w:sz w:val="32"/>
          <w:szCs w:val="32"/>
        </w:rPr>
        <w:t>日         期：2022年07月</w:t>
      </w:r>
    </w:p>
    <w:p>
      <w:pPr>
        <w:pStyle w:val="31"/>
        <w:tabs>
          <w:tab w:val="right" w:leader="dot" w:pos="9880"/>
        </w:tabs>
        <w:spacing w:line="360" w:lineRule="auto"/>
        <w:rPr>
          <w:rFonts w:ascii="宋体" w:hAnsi="宋体" w:cs="宋体"/>
          <w:bCs/>
          <w:sz w:val="24"/>
          <w:szCs w:val="24"/>
          <w:lang w:val="zh-CN"/>
        </w:rPr>
      </w:pPr>
      <w:bookmarkStart w:id="0" w:name="_Toc10494"/>
      <w:bookmarkStart w:id="1" w:name="_Toc495567938"/>
      <w:bookmarkStart w:id="2" w:name="_Toc1801"/>
      <w:bookmarkStart w:id="3" w:name="_Toc4344"/>
      <w:bookmarkStart w:id="4" w:name="_Toc7616"/>
      <w:bookmarkStart w:id="5" w:name="_Toc495666255"/>
      <w:bookmarkStart w:id="6" w:name="_Toc325725996"/>
      <w:r>
        <w:rPr>
          <w:rFonts w:hint="eastAsia" w:ascii="宋体" w:hAnsi="宋体" w:cs="宋体"/>
          <w:b/>
          <w:sz w:val="24"/>
          <w:szCs w:val="24"/>
          <w:lang w:val="zh-CN"/>
        </w:rPr>
        <w:fldChar w:fldCharType="begin"/>
      </w:r>
      <w:r>
        <w:rPr>
          <w:rFonts w:hint="eastAsia" w:ascii="宋体" w:hAnsi="宋体" w:cs="宋体"/>
          <w:b/>
          <w:sz w:val="24"/>
          <w:szCs w:val="24"/>
          <w:lang w:val="zh-CN"/>
        </w:rPr>
        <w:instrText xml:space="preserve">TOC \o "1-2" \h \u </w:instrText>
      </w:r>
      <w:r>
        <w:rPr>
          <w:rFonts w:hint="eastAsia" w:ascii="宋体" w:hAnsi="宋体" w:cs="宋体"/>
          <w:b/>
          <w:sz w:val="24"/>
          <w:szCs w:val="24"/>
          <w:lang w:val="zh-CN"/>
        </w:rPr>
        <w:fldChar w:fldCharType="separate"/>
      </w:r>
      <w:r>
        <w:rPr>
          <w:rFonts w:hint="eastAsia" w:ascii="宋体" w:hAnsi="宋体" w:cs="宋体"/>
          <w:bCs/>
          <w:sz w:val="24"/>
          <w:szCs w:val="24"/>
          <w:lang w:val="zh-CN"/>
        </w:rPr>
        <w:fldChar w:fldCharType="begin"/>
      </w:r>
      <w:r>
        <w:rPr>
          <w:rFonts w:hint="eastAsia" w:ascii="宋体" w:hAnsi="宋体" w:cs="宋体"/>
          <w:bCs/>
          <w:sz w:val="24"/>
          <w:szCs w:val="24"/>
          <w:lang w:val="zh-CN"/>
        </w:rPr>
        <w:instrText xml:space="preserve"> HYPERLINK \l _Toc32571 </w:instrText>
      </w:r>
      <w:r>
        <w:rPr>
          <w:rFonts w:hint="eastAsia" w:ascii="宋体" w:hAnsi="宋体" w:cs="宋体"/>
          <w:bCs/>
          <w:sz w:val="24"/>
          <w:szCs w:val="24"/>
          <w:lang w:val="zh-CN"/>
        </w:rPr>
        <w:fldChar w:fldCharType="separate"/>
      </w:r>
    </w:p>
    <w:p>
      <w:pPr>
        <w:spacing w:line="360" w:lineRule="auto"/>
        <w:jc w:val="center"/>
        <w:rPr>
          <w:rFonts w:eastAsia="宋体"/>
          <w:color w:val="auto"/>
          <w:sz w:val="32"/>
          <w:szCs w:val="24"/>
        </w:rPr>
      </w:pPr>
      <w:r>
        <w:rPr>
          <w:rFonts w:hint="eastAsia" w:eastAsia="宋体"/>
          <w:color w:val="auto"/>
          <w:sz w:val="32"/>
          <w:szCs w:val="24"/>
        </w:rPr>
        <w:t>目 录</w:t>
      </w:r>
    </w:p>
    <w:p>
      <w:pPr>
        <w:pStyle w:val="31"/>
        <w:tabs>
          <w:tab w:val="right" w:leader="dot" w:pos="9880"/>
        </w:tabs>
        <w:spacing w:line="360"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TOC \o "1-3" \h \u </w:instrText>
      </w:r>
      <w:r>
        <w:rPr>
          <w:rFonts w:hint="eastAsia" w:ascii="宋体" w:hAnsi="宋体" w:cs="宋体"/>
          <w:sz w:val="24"/>
          <w:szCs w:val="24"/>
        </w:rPr>
        <w:fldChar w:fldCharType="separate"/>
      </w:r>
      <w:r>
        <w:fldChar w:fldCharType="begin"/>
      </w:r>
      <w:r>
        <w:instrText xml:space="preserve"> HYPERLINK \l "_Toc3748" </w:instrText>
      </w:r>
      <w:r>
        <w:fldChar w:fldCharType="separate"/>
      </w:r>
      <w:r>
        <w:rPr>
          <w:rFonts w:hint="eastAsia" w:ascii="宋体" w:hAnsi="宋体" w:cs="宋体"/>
          <w:bCs/>
          <w:sz w:val="24"/>
          <w:szCs w:val="24"/>
          <w:lang w:val="zh-CN"/>
        </w:rPr>
        <w:t>第一部分 竞争性磋商公告</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_Toc3748 </w:instrText>
      </w:r>
      <w:r>
        <w:rPr>
          <w:rFonts w:hint="eastAsia" w:ascii="宋体" w:hAnsi="宋体" w:cs="宋体"/>
          <w:sz w:val="24"/>
          <w:szCs w:val="24"/>
        </w:rPr>
        <w:fldChar w:fldCharType="separate"/>
      </w:r>
      <w:r>
        <w:rPr>
          <w:rFonts w:hint="eastAsia" w:ascii="宋体" w:hAnsi="宋体" w:cs="宋体"/>
          <w:sz w:val="24"/>
          <w:szCs w:val="24"/>
        </w:rPr>
        <w:t>1</w:t>
      </w:r>
      <w:r>
        <w:rPr>
          <w:rFonts w:hint="eastAsia" w:ascii="宋体" w:hAnsi="宋体" w:cs="宋体"/>
          <w:sz w:val="24"/>
          <w:szCs w:val="24"/>
        </w:rPr>
        <w:fldChar w:fldCharType="end"/>
      </w:r>
      <w:r>
        <w:rPr>
          <w:rFonts w:hint="eastAsia" w:ascii="宋体" w:hAnsi="宋体" w:cs="宋体"/>
          <w:sz w:val="24"/>
          <w:szCs w:val="24"/>
        </w:rPr>
        <w:fldChar w:fldCharType="end"/>
      </w:r>
    </w:p>
    <w:p>
      <w:pPr>
        <w:pStyle w:val="31"/>
        <w:tabs>
          <w:tab w:val="right" w:leader="dot" w:pos="9880"/>
        </w:tabs>
        <w:spacing w:line="360" w:lineRule="auto"/>
        <w:rPr>
          <w:rFonts w:ascii="宋体" w:hAnsi="宋体" w:cs="宋体"/>
          <w:sz w:val="24"/>
          <w:szCs w:val="24"/>
        </w:rPr>
      </w:pPr>
      <w:r>
        <w:fldChar w:fldCharType="begin"/>
      </w:r>
      <w:r>
        <w:instrText xml:space="preserve"> HYPERLINK \l "_Toc22141" </w:instrText>
      </w:r>
      <w:r>
        <w:fldChar w:fldCharType="separate"/>
      </w:r>
      <w:r>
        <w:rPr>
          <w:rFonts w:hint="eastAsia" w:ascii="宋体" w:hAnsi="宋体" w:cs="宋体"/>
          <w:sz w:val="24"/>
          <w:szCs w:val="24"/>
          <w:lang w:val="zh-CN"/>
        </w:rPr>
        <w:t>第二部分供应商须知前附表</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_Toc22141 </w:instrText>
      </w:r>
      <w:r>
        <w:rPr>
          <w:rFonts w:hint="eastAsia" w:ascii="宋体" w:hAnsi="宋体" w:cs="宋体"/>
          <w:sz w:val="24"/>
          <w:szCs w:val="24"/>
        </w:rPr>
        <w:fldChar w:fldCharType="separate"/>
      </w:r>
      <w:r>
        <w:rPr>
          <w:rFonts w:hint="eastAsia" w:ascii="宋体" w:hAnsi="宋体" w:cs="宋体"/>
          <w:sz w:val="24"/>
          <w:szCs w:val="24"/>
        </w:rPr>
        <w:t>4</w:t>
      </w:r>
      <w:r>
        <w:rPr>
          <w:rFonts w:hint="eastAsia" w:ascii="宋体" w:hAnsi="宋体" w:cs="宋体"/>
          <w:sz w:val="24"/>
          <w:szCs w:val="24"/>
        </w:rPr>
        <w:fldChar w:fldCharType="end"/>
      </w:r>
      <w:r>
        <w:rPr>
          <w:rFonts w:hint="eastAsia" w:ascii="宋体" w:hAnsi="宋体" w:cs="宋体"/>
          <w:sz w:val="24"/>
          <w:szCs w:val="24"/>
        </w:rPr>
        <w:fldChar w:fldCharType="end"/>
      </w:r>
    </w:p>
    <w:p>
      <w:pPr>
        <w:pStyle w:val="31"/>
        <w:tabs>
          <w:tab w:val="right" w:leader="dot" w:pos="9880"/>
        </w:tabs>
        <w:spacing w:line="360" w:lineRule="auto"/>
        <w:rPr>
          <w:rFonts w:ascii="宋体" w:hAnsi="宋体" w:cs="宋体"/>
          <w:sz w:val="24"/>
          <w:szCs w:val="24"/>
        </w:rPr>
      </w:pPr>
      <w:r>
        <w:fldChar w:fldCharType="begin"/>
      </w:r>
      <w:r>
        <w:instrText xml:space="preserve"> HYPERLINK \l "_Toc15991" </w:instrText>
      </w:r>
      <w:r>
        <w:fldChar w:fldCharType="separate"/>
      </w:r>
      <w:r>
        <w:rPr>
          <w:rFonts w:hint="eastAsia" w:ascii="宋体" w:hAnsi="宋体" w:cs="宋体"/>
          <w:kern w:val="28"/>
          <w:sz w:val="24"/>
          <w:szCs w:val="24"/>
        </w:rPr>
        <w:t>第三部分 供应商须知</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_Toc15991 </w:instrText>
      </w:r>
      <w:r>
        <w:rPr>
          <w:rFonts w:hint="eastAsia" w:ascii="宋体" w:hAnsi="宋体" w:cs="宋体"/>
          <w:sz w:val="24"/>
          <w:szCs w:val="24"/>
        </w:rPr>
        <w:fldChar w:fldCharType="separate"/>
      </w:r>
      <w:r>
        <w:rPr>
          <w:rFonts w:hint="eastAsia" w:ascii="宋体" w:hAnsi="宋体" w:cs="宋体"/>
          <w:sz w:val="24"/>
          <w:szCs w:val="24"/>
        </w:rPr>
        <w:t>6</w:t>
      </w:r>
      <w:r>
        <w:rPr>
          <w:rFonts w:hint="eastAsia" w:ascii="宋体" w:hAnsi="宋体" w:cs="宋体"/>
          <w:sz w:val="24"/>
          <w:szCs w:val="24"/>
        </w:rPr>
        <w:fldChar w:fldCharType="end"/>
      </w:r>
      <w:r>
        <w:rPr>
          <w:rFonts w:hint="eastAsia" w:ascii="宋体" w:hAnsi="宋体" w:cs="宋体"/>
          <w:sz w:val="24"/>
          <w:szCs w:val="24"/>
        </w:rPr>
        <w:fldChar w:fldCharType="end"/>
      </w:r>
    </w:p>
    <w:p>
      <w:pPr>
        <w:pStyle w:val="31"/>
        <w:tabs>
          <w:tab w:val="right" w:leader="dot" w:pos="9880"/>
        </w:tabs>
        <w:spacing w:line="360" w:lineRule="auto"/>
        <w:rPr>
          <w:rFonts w:ascii="宋体" w:hAnsi="宋体" w:cs="宋体"/>
          <w:sz w:val="24"/>
          <w:szCs w:val="24"/>
        </w:rPr>
      </w:pPr>
      <w:r>
        <w:fldChar w:fldCharType="begin"/>
      </w:r>
      <w:r>
        <w:instrText xml:space="preserve"> HYPERLINK \l "_Toc2475" </w:instrText>
      </w:r>
      <w:r>
        <w:fldChar w:fldCharType="separate"/>
      </w:r>
      <w:r>
        <w:rPr>
          <w:rFonts w:hint="eastAsia" w:ascii="宋体" w:hAnsi="宋体" w:cs="宋体"/>
          <w:sz w:val="24"/>
          <w:szCs w:val="24"/>
        </w:rPr>
        <w:t>一、说  明</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_Toc2475 </w:instrText>
      </w:r>
      <w:r>
        <w:rPr>
          <w:rFonts w:hint="eastAsia" w:ascii="宋体" w:hAnsi="宋体" w:cs="宋体"/>
          <w:sz w:val="24"/>
          <w:szCs w:val="24"/>
        </w:rPr>
        <w:fldChar w:fldCharType="separate"/>
      </w:r>
      <w:r>
        <w:rPr>
          <w:rFonts w:hint="eastAsia" w:ascii="宋体" w:hAnsi="宋体" w:cs="宋体"/>
          <w:sz w:val="24"/>
          <w:szCs w:val="24"/>
        </w:rPr>
        <w:t>6</w:t>
      </w:r>
      <w:r>
        <w:rPr>
          <w:rFonts w:hint="eastAsia" w:ascii="宋体" w:hAnsi="宋体" w:cs="宋体"/>
          <w:sz w:val="24"/>
          <w:szCs w:val="24"/>
        </w:rPr>
        <w:fldChar w:fldCharType="end"/>
      </w:r>
      <w:r>
        <w:rPr>
          <w:rFonts w:hint="eastAsia" w:ascii="宋体" w:hAnsi="宋体" w:cs="宋体"/>
          <w:sz w:val="24"/>
          <w:szCs w:val="24"/>
        </w:rPr>
        <w:fldChar w:fldCharType="end"/>
      </w:r>
    </w:p>
    <w:p>
      <w:pPr>
        <w:pStyle w:val="32"/>
        <w:tabs>
          <w:tab w:val="right" w:leader="dot" w:pos="9880"/>
        </w:tabs>
        <w:spacing w:line="360" w:lineRule="auto"/>
        <w:ind w:left="420"/>
        <w:rPr>
          <w:rFonts w:ascii="宋体" w:hAnsi="宋体" w:cs="宋体"/>
          <w:sz w:val="24"/>
          <w:szCs w:val="24"/>
        </w:rPr>
      </w:pPr>
      <w:r>
        <w:fldChar w:fldCharType="begin"/>
      </w:r>
      <w:r>
        <w:instrText xml:space="preserve"> HYPERLINK \l "_Toc6553" </w:instrText>
      </w:r>
      <w:r>
        <w:fldChar w:fldCharType="separate"/>
      </w:r>
      <w:r>
        <w:rPr>
          <w:rFonts w:hint="eastAsia" w:ascii="宋体" w:hAnsi="宋体" w:cs="宋体"/>
          <w:sz w:val="24"/>
          <w:szCs w:val="24"/>
        </w:rPr>
        <w:t>1.适用范围</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_Toc6553 </w:instrText>
      </w:r>
      <w:r>
        <w:rPr>
          <w:rFonts w:hint="eastAsia" w:ascii="宋体" w:hAnsi="宋体" w:cs="宋体"/>
          <w:sz w:val="24"/>
          <w:szCs w:val="24"/>
        </w:rPr>
        <w:fldChar w:fldCharType="separate"/>
      </w:r>
      <w:r>
        <w:rPr>
          <w:rFonts w:hint="eastAsia" w:ascii="宋体" w:hAnsi="宋体" w:cs="宋体"/>
          <w:sz w:val="24"/>
          <w:szCs w:val="24"/>
        </w:rPr>
        <w:t>6</w:t>
      </w:r>
      <w:r>
        <w:rPr>
          <w:rFonts w:hint="eastAsia" w:ascii="宋体" w:hAnsi="宋体" w:cs="宋体"/>
          <w:sz w:val="24"/>
          <w:szCs w:val="24"/>
        </w:rPr>
        <w:fldChar w:fldCharType="end"/>
      </w:r>
      <w:r>
        <w:rPr>
          <w:rFonts w:hint="eastAsia" w:ascii="宋体" w:hAnsi="宋体" w:cs="宋体"/>
          <w:sz w:val="24"/>
          <w:szCs w:val="24"/>
        </w:rPr>
        <w:fldChar w:fldCharType="end"/>
      </w:r>
    </w:p>
    <w:p>
      <w:pPr>
        <w:pStyle w:val="32"/>
        <w:tabs>
          <w:tab w:val="right" w:leader="dot" w:pos="9880"/>
        </w:tabs>
        <w:spacing w:line="360" w:lineRule="auto"/>
        <w:ind w:left="420"/>
        <w:rPr>
          <w:rFonts w:ascii="宋体" w:hAnsi="宋体" w:cs="宋体"/>
          <w:sz w:val="24"/>
          <w:szCs w:val="24"/>
        </w:rPr>
      </w:pPr>
      <w:r>
        <w:fldChar w:fldCharType="begin"/>
      </w:r>
      <w:r>
        <w:instrText xml:space="preserve"> HYPERLINK \l "_Toc25696" </w:instrText>
      </w:r>
      <w:r>
        <w:fldChar w:fldCharType="separate"/>
      </w:r>
      <w:r>
        <w:rPr>
          <w:rFonts w:hint="eastAsia" w:ascii="宋体" w:hAnsi="宋体" w:cs="宋体"/>
          <w:sz w:val="24"/>
          <w:szCs w:val="24"/>
        </w:rPr>
        <w:t>2.采购方式、合格的供应商</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_Toc25696 </w:instrText>
      </w:r>
      <w:r>
        <w:rPr>
          <w:rFonts w:hint="eastAsia" w:ascii="宋体" w:hAnsi="宋体" w:cs="宋体"/>
          <w:sz w:val="24"/>
          <w:szCs w:val="24"/>
        </w:rPr>
        <w:fldChar w:fldCharType="separate"/>
      </w:r>
      <w:r>
        <w:rPr>
          <w:rFonts w:hint="eastAsia" w:ascii="宋体" w:hAnsi="宋体" w:cs="宋体"/>
          <w:sz w:val="24"/>
          <w:szCs w:val="24"/>
        </w:rPr>
        <w:t>6</w:t>
      </w:r>
      <w:r>
        <w:rPr>
          <w:rFonts w:hint="eastAsia" w:ascii="宋体" w:hAnsi="宋体" w:cs="宋体"/>
          <w:sz w:val="24"/>
          <w:szCs w:val="24"/>
        </w:rPr>
        <w:fldChar w:fldCharType="end"/>
      </w:r>
      <w:r>
        <w:rPr>
          <w:rFonts w:hint="eastAsia" w:ascii="宋体" w:hAnsi="宋体" w:cs="宋体"/>
          <w:sz w:val="24"/>
          <w:szCs w:val="24"/>
        </w:rPr>
        <w:fldChar w:fldCharType="end"/>
      </w:r>
    </w:p>
    <w:p>
      <w:pPr>
        <w:pStyle w:val="32"/>
        <w:tabs>
          <w:tab w:val="right" w:leader="dot" w:pos="9880"/>
        </w:tabs>
        <w:spacing w:line="360" w:lineRule="auto"/>
        <w:ind w:left="420"/>
        <w:rPr>
          <w:rFonts w:ascii="宋体" w:hAnsi="宋体" w:cs="宋体"/>
          <w:sz w:val="24"/>
          <w:szCs w:val="24"/>
        </w:rPr>
      </w:pPr>
      <w:r>
        <w:fldChar w:fldCharType="begin"/>
      </w:r>
      <w:r>
        <w:instrText xml:space="preserve"> HYPERLINK \l "_Toc26310" </w:instrText>
      </w:r>
      <w:r>
        <w:fldChar w:fldCharType="separate"/>
      </w:r>
      <w:r>
        <w:rPr>
          <w:rFonts w:hint="eastAsia" w:ascii="宋体" w:hAnsi="宋体" w:cs="宋体"/>
          <w:sz w:val="24"/>
          <w:szCs w:val="24"/>
        </w:rPr>
        <w:t>3.磋商费用</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_Toc26310 </w:instrText>
      </w:r>
      <w:r>
        <w:rPr>
          <w:rFonts w:hint="eastAsia" w:ascii="宋体" w:hAnsi="宋体" w:cs="宋体"/>
          <w:sz w:val="24"/>
          <w:szCs w:val="24"/>
        </w:rPr>
        <w:fldChar w:fldCharType="separate"/>
      </w:r>
      <w:r>
        <w:rPr>
          <w:rFonts w:hint="eastAsia" w:ascii="宋体" w:hAnsi="宋体" w:cs="宋体"/>
          <w:sz w:val="24"/>
          <w:szCs w:val="24"/>
        </w:rPr>
        <w:t>6</w:t>
      </w:r>
      <w:r>
        <w:rPr>
          <w:rFonts w:hint="eastAsia" w:ascii="宋体" w:hAnsi="宋体" w:cs="宋体"/>
          <w:sz w:val="24"/>
          <w:szCs w:val="24"/>
        </w:rPr>
        <w:fldChar w:fldCharType="end"/>
      </w:r>
      <w:r>
        <w:rPr>
          <w:rFonts w:hint="eastAsia" w:ascii="宋体" w:hAnsi="宋体" w:cs="宋体"/>
          <w:sz w:val="24"/>
          <w:szCs w:val="24"/>
        </w:rPr>
        <w:fldChar w:fldCharType="end"/>
      </w:r>
    </w:p>
    <w:p>
      <w:pPr>
        <w:pStyle w:val="31"/>
        <w:tabs>
          <w:tab w:val="right" w:leader="dot" w:pos="9880"/>
        </w:tabs>
        <w:spacing w:line="360" w:lineRule="auto"/>
        <w:rPr>
          <w:rFonts w:ascii="宋体" w:hAnsi="宋体" w:cs="宋体"/>
          <w:sz w:val="24"/>
          <w:szCs w:val="24"/>
        </w:rPr>
      </w:pPr>
      <w:r>
        <w:fldChar w:fldCharType="begin"/>
      </w:r>
      <w:r>
        <w:instrText xml:space="preserve"> HYPERLINK \l "_Toc20" </w:instrText>
      </w:r>
      <w:r>
        <w:fldChar w:fldCharType="separate"/>
      </w:r>
      <w:r>
        <w:rPr>
          <w:rFonts w:hint="eastAsia" w:ascii="宋体" w:hAnsi="宋体" w:cs="宋体"/>
          <w:sz w:val="24"/>
          <w:szCs w:val="24"/>
          <w:lang w:val="zh-CN"/>
        </w:rPr>
        <w:t>二、磋商文件说明</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_Toc20 </w:instrText>
      </w:r>
      <w:r>
        <w:rPr>
          <w:rFonts w:hint="eastAsia" w:ascii="宋体" w:hAnsi="宋体" w:cs="宋体"/>
          <w:sz w:val="24"/>
          <w:szCs w:val="24"/>
        </w:rPr>
        <w:fldChar w:fldCharType="separate"/>
      </w:r>
      <w:r>
        <w:rPr>
          <w:rFonts w:hint="eastAsia" w:ascii="宋体" w:hAnsi="宋体" w:cs="宋体"/>
          <w:sz w:val="24"/>
          <w:szCs w:val="24"/>
        </w:rPr>
        <w:t>6</w:t>
      </w:r>
      <w:r>
        <w:rPr>
          <w:rFonts w:hint="eastAsia" w:ascii="宋体" w:hAnsi="宋体" w:cs="宋体"/>
          <w:sz w:val="24"/>
          <w:szCs w:val="24"/>
        </w:rPr>
        <w:fldChar w:fldCharType="end"/>
      </w:r>
      <w:r>
        <w:rPr>
          <w:rFonts w:hint="eastAsia" w:ascii="宋体" w:hAnsi="宋体" w:cs="宋体"/>
          <w:sz w:val="24"/>
          <w:szCs w:val="24"/>
        </w:rPr>
        <w:fldChar w:fldCharType="end"/>
      </w:r>
    </w:p>
    <w:p>
      <w:pPr>
        <w:pStyle w:val="32"/>
        <w:tabs>
          <w:tab w:val="right" w:leader="dot" w:pos="9880"/>
        </w:tabs>
        <w:spacing w:line="360" w:lineRule="auto"/>
        <w:ind w:left="420"/>
        <w:rPr>
          <w:rFonts w:ascii="宋体" w:hAnsi="宋体" w:cs="宋体"/>
          <w:sz w:val="24"/>
          <w:szCs w:val="24"/>
        </w:rPr>
      </w:pPr>
      <w:r>
        <w:fldChar w:fldCharType="begin"/>
      </w:r>
      <w:r>
        <w:instrText xml:space="preserve"> HYPERLINK \l "_Toc14488" </w:instrText>
      </w:r>
      <w:r>
        <w:fldChar w:fldCharType="separate"/>
      </w:r>
      <w:r>
        <w:rPr>
          <w:rFonts w:hint="eastAsia" w:ascii="宋体" w:hAnsi="宋体" w:cs="宋体"/>
          <w:sz w:val="24"/>
          <w:szCs w:val="24"/>
        </w:rPr>
        <w:t>4.磋商文件的构成</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_Toc14488 </w:instrText>
      </w:r>
      <w:r>
        <w:rPr>
          <w:rFonts w:hint="eastAsia" w:ascii="宋体" w:hAnsi="宋体" w:cs="宋体"/>
          <w:sz w:val="24"/>
          <w:szCs w:val="24"/>
        </w:rPr>
        <w:fldChar w:fldCharType="separate"/>
      </w:r>
      <w:r>
        <w:rPr>
          <w:rFonts w:hint="eastAsia" w:ascii="宋体" w:hAnsi="宋体" w:cs="宋体"/>
          <w:sz w:val="24"/>
          <w:szCs w:val="24"/>
        </w:rPr>
        <w:t>6</w:t>
      </w:r>
      <w:r>
        <w:rPr>
          <w:rFonts w:hint="eastAsia" w:ascii="宋体" w:hAnsi="宋体" w:cs="宋体"/>
          <w:sz w:val="24"/>
          <w:szCs w:val="24"/>
        </w:rPr>
        <w:fldChar w:fldCharType="end"/>
      </w:r>
      <w:r>
        <w:rPr>
          <w:rFonts w:hint="eastAsia" w:ascii="宋体" w:hAnsi="宋体" w:cs="宋体"/>
          <w:sz w:val="24"/>
          <w:szCs w:val="24"/>
        </w:rPr>
        <w:fldChar w:fldCharType="end"/>
      </w:r>
    </w:p>
    <w:p>
      <w:pPr>
        <w:pStyle w:val="32"/>
        <w:tabs>
          <w:tab w:val="right" w:leader="dot" w:pos="9880"/>
        </w:tabs>
        <w:spacing w:line="360" w:lineRule="auto"/>
        <w:ind w:left="420"/>
        <w:rPr>
          <w:rFonts w:ascii="宋体" w:hAnsi="宋体" w:cs="宋体"/>
          <w:sz w:val="24"/>
          <w:szCs w:val="24"/>
        </w:rPr>
      </w:pPr>
      <w:r>
        <w:fldChar w:fldCharType="begin"/>
      </w:r>
      <w:r>
        <w:instrText xml:space="preserve"> HYPERLINK \l "_Toc4082" </w:instrText>
      </w:r>
      <w:r>
        <w:fldChar w:fldCharType="separate"/>
      </w:r>
      <w:r>
        <w:rPr>
          <w:rFonts w:hint="eastAsia" w:ascii="宋体" w:hAnsi="宋体" w:cs="宋体"/>
          <w:sz w:val="24"/>
          <w:szCs w:val="24"/>
        </w:rPr>
        <w:t>5.磋商文件的质疑</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_Toc4082 </w:instrText>
      </w:r>
      <w:r>
        <w:rPr>
          <w:rFonts w:hint="eastAsia" w:ascii="宋体" w:hAnsi="宋体" w:cs="宋体"/>
          <w:sz w:val="24"/>
          <w:szCs w:val="24"/>
        </w:rPr>
        <w:fldChar w:fldCharType="separate"/>
      </w:r>
      <w:r>
        <w:rPr>
          <w:rFonts w:hint="eastAsia" w:ascii="宋体" w:hAnsi="宋体" w:cs="宋体"/>
          <w:sz w:val="24"/>
          <w:szCs w:val="24"/>
        </w:rPr>
        <w:t>6</w:t>
      </w:r>
      <w:r>
        <w:rPr>
          <w:rFonts w:hint="eastAsia" w:ascii="宋体" w:hAnsi="宋体" w:cs="宋体"/>
          <w:sz w:val="24"/>
          <w:szCs w:val="24"/>
        </w:rPr>
        <w:fldChar w:fldCharType="end"/>
      </w:r>
      <w:r>
        <w:rPr>
          <w:rFonts w:hint="eastAsia" w:ascii="宋体" w:hAnsi="宋体" w:cs="宋体"/>
          <w:sz w:val="24"/>
          <w:szCs w:val="24"/>
        </w:rPr>
        <w:fldChar w:fldCharType="end"/>
      </w:r>
    </w:p>
    <w:p>
      <w:pPr>
        <w:pStyle w:val="32"/>
        <w:tabs>
          <w:tab w:val="right" w:leader="dot" w:pos="9880"/>
        </w:tabs>
        <w:spacing w:line="360" w:lineRule="auto"/>
        <w:ind w:left="420"/>
        <w:rPr>
          <w:rFonts w:ascii="宋体" w:hAnsi="宋体" w:cs="宋体"/>
          <w:sz w:val="24"/>
          <w:szCs w:val="24"/>
        </w:rPr>
      </w:pPr>
      <w:r>
        <w:fldChar w:fldCharType="begin"/>
      </w:r>
      <w:r>
        <w:instrText xml:space="preserve"> HYPERLINK \l "_Toc7330" </w:instrText>
      </w:r>
      <w:r>
        <w:fldChar w:fldCharType="separate"/>
      </w:r>
      <w:r>
        <w:rPr>
          <w:rFonts w:hint="eastAsia" w:ascii="宋体" w:hAnsi="宋体" w:cs="宋体"/>
          <w:sz w:val="24"/>
          <w:szCs w:val="24"/>
        </w:rPr>
        <w:t>6.磋商文件的澄清、修改</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_Toc7330 </w:instrText>
      </w:r>
      <w:r>
        <w:rPr>
          <w:rFonts w:hint="eastAsia" w:ascii="宋体" w:hAnsi="宋体" w:cs="宋体"/>
          <w:sz w:val="24"/>
          <w:szCs w:val="24"/>
        </w:rPr>
        <w:fldChar w:fldCharType="separate"/>
      </w:r>
      <w:r>
        <w:rPr>
          <w:rFonts w:hint="eastAsia" w:ascii="宋体" w:hAnsi="宋体" w:cs="宋体"/>
          <w:sz w:val="24"/>
          <w:szCs w:val="24"/>
        </w:rPr>
        <w:t>7</w:t>
      </w:r>
      <w:r>
        <w:rPr>
          <w:rFonts w:hint="eastAsia" w:ascii="宋体" w:hAnsi="宋体" w:cs="宋体"/>
          <w:sz w:val="24"/>
          <w:szCs w:val="24"/>
        </w:rPr>
        <w:fldChar w:fldCharType="end"/>
      </w:r>
      <w:r>
        <w:rPr>
          <w:rFonts w:hint="eastAsia" w:ascii="宋体" w:hAnsi="宋体" w:cs="宋体"/>
          <w:sz w:val="24"/>
          <w:szCs w:val="24"/>
        </w:rPr>
        <w:fldChar w:fldCharType="end"/>
      </w:r>
    </w:p>
    <w:p>
      <w:pPr>
        <w:pStyle w:val="31"/>
        <w:tabs>
          <w:tab w:val="right" w:leader="dot" w:pos="9880"/>
        </w:tabs>
        <w:spacing w:line="360" w:lineRule="auto"/>
        <w:rPr>
          <w:rFonts w:ascii="宋体" w:hAnsi="宋体" w:cs="宋体"/>
          <w:sz w:val="24"/>
          <w:szCs w:val="24"/>
        </w:rPr>
      </w:pPr>
      <w:r>
        <w:fldChar w:fldCharType="begin"/>
      </w:r>
      <w:r>
        <w:instrText xml:space="preserve"> HYPERLINK \l "_Toc15885" </w:instrText>
      </w:r>
      <w:r>
        <w:fldChar w:fldCharType="separate"/>
      </w:r>
      <w:r>
        <w:rPr>
          <w:rFonts w:hint="eastAsia" w:ascii="宋体" w:hAnsi="宋体" w:cs="宋体"/>
          <w:sz w:val="24"/>
          <w:szCs w:val="24"/>
        </w:rPr>
        <w:t>三、响应文件的编制</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_Toc15885 </w:instrText>
      </w:r>
      <w:r>
        <w:rPr>
          <w:rFonts w:hint="eastAsia" w:ascii="宋体" w:hAnsi="宋体" w:cs="宋体"/>
          <w:sz w:val="24"/>
          <w:szCs w:val="24"/>
        </w:rPr>
        <w:fldChar w:fldCharType="separate"/>
      </w:r>
      <w:r>
        <w:rPr>
          <w:rFonts w:hint="eastAsia" w:ascii="宋体" w:hAnsi="宋体" w:cs="宋体"/>
          <w:sz w:val="24"/>
          <w:szCs w:val="24"/>
        </w:rPr>
        <w:t>7</w:t>
      </w:r>
      <w:r>
        <w:rPr>
          <w:rFonts w:hint="eastAsia" w:ascii="宋体" w:hAnsi="宋体" w:cs="宋体"/>
          <w:sz w:val="24"/>
          <w:szCs w:val="24"/>
        </w:rPr>
        <w:fldChar w:fldCharType="end"/>
      </w:r>
      <w:r>
        <w:rPr>
          <w:rFonts w:hint="eastAsia" w:ascii="宋体" w:hAnsi="宋体" w:cs="宋体"/>
          <w:sz w:val="24"/>
          <w:szCs w:val="24"/>
        </w:rPr>
        <w:fldChar w:fldCharType="end"/>
      </w:r>
    </w:p>
    <w:p>
      <w:pPr>
        <w:pStyle w:val="32"/>
        <w:tabs>
          <w:tab w:val="right" w:leader="dot" w:pos="9880"/>
        </w:tabs>
        <w:spacing w:line="360" w:lineRule="auto"/>
        <w:ind w:left="420"/>
        <w:rPr>
          <w:rFonts w:ascii="宋体" w:hAnsi="宋体" w:cs="宋体"/>
          <w:sz w:val="24"/>
          <w:szCs w:val="24"/>
        </w:rPr>
      </w:pPr>
      <w:r>
        <w:fldChar w:fldCharType="begin"/>
      </w:r>
      <w:r>
        <w:instrText xml:space="preserve"> HYPERLINK \l "_Toc17482" </w:instrText>
      </w:r>
      <w:r>
        <w:fldChar w:fldCharType="separate"/>
      </w:r>
      <w:r>
        <w:rPr>
          <w:rFonts w:hint="eastAsia" w:ascii="宋体" w:hAnsi="宋体" w:cs="宋体"/>
          <w:sz w:val="24"/>
          <w:szCs w:val="24"/>
        </w:rPr>
        <w:t>7.响应文件的语言及度量衡单位</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_Toc17482 </w:instrText>
      </w:r>
      <w:r>
        <w:rPr>
          <w:rFonts w:hint="eastAsia" w:ascii="宋体" w:hAnsi="宋体" w:cs="宋体"/>
          <w:sz w:val="24"/>
          <w:szCs w:val="24"/>
        </w:rPr>
        <w:fldChar w:fldCharType="separate"/>
      </w:r>
      <w:r>
        <w:rPr>
          <w:rFonts w:hint="eastAsia" w:ascii="宋体" w:hAnsi="宋体" w:cs="宋体"/>
          <w:sz w:val="24"/>
          <w:szCs w:val="24"/>
        </w:rPr>
        <w:t>7</w:t>
      </w:r>
      <w:r>
        <w:rPr>
          <w:rFonts w:hint="eastAsia" w:ascii="宋体" w:hAnsi="宋体" w:cs="宋体"/>
          <w:sz w:val="24"/>
          <w:szCs w:val="24"/>
        </w:rPr>
        <w:fldChar w:fldCharType="end"/>
      </w:r>
      <w:r>
        <w:rPr>
          <w:rFonts w:hint="eastAsia" w:ascii="宋体" w:hAnsi="宋体" w:cs="宋体"/>
          <w:sz w:val="24"/>
          <w:szCs w:val="24"/>
        </w:rPr>
        <w:fldChar w:fldCharType="end"/>
      </w:r>
    </w:p>
    <w:p>
      <w:pPr>
        <w:pStyle w:val="32"/>
        <w:tabs>
          <w:tab w:val="right" w:leader="dot" w:pos="9880"/>
        </w:tabs>
        <w:spacing w:line="360" w:lineRule="auto"/>
        <w:ind w:left="420"/>
        <w:rPr>
          <w:rFonts w:ascii="宋体" w:hAnsi="宋体" w:cs="宋体"/>
          <w:sz w:val="24"/>
          <w:szCs w:val="24"/>
        </w:rPr>
      </w:pPr>
      <w:r>
        <w:fldChar w:fldCharType="begin"/>
      </w:r>
      <w:r>
        <w:instrText xml:space="preserve"> HYPERLINK \l "_Toc28488" </w:instrText>
      </w:r>
      <w:r>
        <w:fldChar w:fldCharType="separate"/>
      </w:r>
      <w:r>
        <w:rPr>
          <w:rFonts w:hint="eastAsia" w:ascii="宋体" w:hAnsi="宋体" w:cs="宋体"/>
          <w:sz w:val="24"/>
          <w:szCs w:val="24"/>
        </w:rPr>
        <w:t>8.磋商保证金</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_Toc28488 </w:instrText>
      </w:r>
      <w:r>
        <w:rPr>
          <w:rFonts w:hint="eastAsia" w:ascii="宋体" w:hAnsi="宋体" w:cs="宋体"/>
          <w:sz w:val="24"/>
          <w:szCs w:val="24"/>
        </w:rPr>
        <w:fldChar w:fldCharType="separate"/>
      </w:r>
      <w:r>
        <w:rPr>
          <w:rFonts w:hint="eastAsia" w:ascii="宋体" w:hAnsi="宋体" w:cs="宋体"/>
          <w:sz w:val="24"/>
          <w:szCs w:val="24"/>
        </w:rPr>
        <w:t>7</w:t>
      </w:r>
      <w:r>
        <w:rPr>
          <w:rFonts w:hint="eastAsia" w:ascii="宋体" w:hAnsi="宋体" w:cs="宋体"/>
          <w:sz w:val="24"/>
          <w:szCs w:val="24"/>
        </w:rPr>
        <w:fldChar w:fldCharType="end"/>
      </w:r>
      <w:r>
        <w:rPr>
          <w:rFonts w:hint="eastAsia" w:ascii="宋体" w:hAnsi="宋体" w:cs="宋体"/>
          <w:sz w:val="24"/>
          <w:szCs w:val="24"/>
        </w:rPr>
        <w:fldChar w:fldCharType="end"/>
      </w:r>
    </w:p>
    <w:p>
      <w:pPr>
        <w:pStyle w:val="32"/>
        <w:tabs>
          <w:tab w:val="right" w:leader="dot" w:pos="9880"/>
        </w:tabs>
        <w:spacing w:line="360" w:lineRule="auto"/>
        <w:ind w:left="420"/>
        <w:rPr>
          <w:rFonts w:ascii="宋体" w:hAnsi="宋体" w:cs="宋体"/>
          <w:sz w:val="24"/>
          <w:szCs w:val="24"/>
        </w:rPr>
      </w:pPr>
      <w:r>
        <w:fldChar w:fldCharType="begin"/>
      </w:r>
      <w:r>
        <w:instrText xml:space="preserve"> HYPERLINK \l "_Toc32153" </w:instrText>
      </w:r>
      <w:r>
        <w:fldChar w:fldCharType="separate"/>
      </w:r>
      <w:r>
        <w:rPr>
          <w:rFonts w:hint="eastAsia" w:ascii="宋体" w:hAnsi="宋体" w:cs="宋体"/>
          <w:sz w:val="24"/>
          <w:szCs w:val="24"/>
        </w:rPr>
        <w:t>9.磋商有效期</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_Toc32153 </w:instrText>
      </w:r>
      <w:r>
        <w:rPr>
          <w:rFonts w:hint="eastAsia" w:ascii="宋体" w:hAnsi="宋体" w:cs="宋体"/>
          <w:sz w:val="24"/>
          <w:szCs w:val="24"/>
        </w:rPr>
        <w:fldChar w:fldCharType="separate"/>
      </w:r>
      <w:r>
        <w:rPr>
          <w:rFonts w:hint="eastAsia" w:ascii="宋体" w:hAnsi="宋体" w:cs="宋体"/>
          <w:sz w:val="24"/>
          <w:szCs w:val="24"/>
        </w:rPr>
        <w:t>8</w:t>
      </w:r>
      <w:r>
        <w:rPr>
          <w:rFonts w:hint="eastAsia" w:ascii="宋体" w:hAnsi="宋体" w:cs="宋体"/>
          <w:sz w:val="24"/>
          <w:szCs w:val="24"/>
        </w:rPr>
        <w:fldChar w:fldCharType="end"/>
      </w:r>
      <w:r>
        <w:rPr>
          <w:rFonts w:hint="eastAsia" w:ascii="宋体" w:hAnsi="宋体" w:cs="宋体"/>
          <w:sz w:val="24"/>
          <w:szCs w:val="24"/>
        </w:rPr>
        <w:fldChar w:fldCharType="end"/>
      </w:r>
    </w:p>
    <w:p>
      <w:pPr>
        <w:pStyle w:val="32"/>
        <w:tabs>
          <w:tab w:val="right" w:leader="dot" w:pos="9880"/>
        </w:tabs>
        <w:spacing w:line="360" w:lineRule="auto"/>
        <w:ind w:left="420"/>
        <w:rPr>
          <w:rFonts w:ascii="宋体" w:hAnsi="宋体" w:cs="宋体"/>
          <w:sz w:val="24"/>
          <w:szCs w:val="24"/>
        </w:rPr>
      </w:pPr>
      <w:r>
        <w:fldChar w:fldCharType="begin"/>
      </w:r>
      <w:r>
        <w:instrText xml:space="preserve"> HYPERLINK \l "_Toc2936" </w:instrText>
      </w:r>
      <w:r>
        <w:fldChar w:fldCharType="separate"/>
      </w:r>
      <w:r>
        <w:rPr>
          <w:rFonts w:hint="eastAsia" w:ascii="宋体" w:hAnsi="宋体" w:cs="宋体"/>
          <w:sz w:val="24"/>
          <w:szCs w:val="24"/>
        </w:rPr>
        <w:t>10.响应文件构成</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_Toc2936 </w:instrText>
      </w:r>
      <w:r>
        <w:rPr>
          <w:rFonts w:hint="eastAsia" w:ascii="宋体" w:hAnsi="宋体" w:cs="宋体"/>
          <w:sz w:val="24"/>
          <w:szCs w:val="24"/>
        </w:rPr>
        <w:fldChar w:fldCharType="separate"/>
      </w:r>
      <w:r>
        <w:rPr>
          <w:rFonts w:hint="eastAsia" w:ascii="宋体" w:hAnsi="宋体" w:cs="宋体"/>
          <w:sz w:val="24"/>
          <w:szCs w:val="24"/>
        </w:rPr>
        <w:t>8</w:t>
      </w:r>
      <w:r>
        <w:rPr>
          <w:rFonts w:hint="eastAsia" w:ascii="宋体" w:hAnsi="宋体" w:cs="宋体"/>
          <w:sz w:val="24"/>
          <w:szCs w:val="24"/>
        </w:rPr>
        <w:fldChar w:fldCharType="end"/>
      </w:r>
      <w:r>
        <w:rPr>
          <w:rFonts w:hint="eastAsia" w:ascii="宋体" w:hAnsi="宋体" w:cs="宋体"/>
          <w:sz w:val="24"/>
          <w:szCs w:val="24"/>
        </w:rPr>
        <w:fldChar w:fldCharType="end"/>
      </w:r>
    </w:p>
    <w:p>
      <w:pPr>
        <w:pStyle w:val="32"/>
        <w:tabs>
          <w:tab w:val="right" w:leader="dot" w:pos="9880"/>
        </w:tabs>
        <w:spacing w:line="360" w:lineRule="auto"/>
        <w:ind w:left="420"/>
        <w:rPr>
          <w:rFonts w:ascii="宋体" w:hAnsi="宋体" w:cs="宋体"/>
          <w:sz w:val="24"/>
          <w:szCs w:val="24"/>
        </w:rPr>
      </w:pPr>
      <w:r>
        <w:fldChar w:fldCharType="begin"/>
      </w:r>
      <w:r>
        <w:instrText xml:space="preserve"> HYPERLINK \l "_Toc17237" </w:instrText>
      </w:r>
      <w:r>
        <w:fldChar w:fldCharType="separate"/>
      </w:r>
      <w:r>
        <w:rPr>
          <w:rFonts w:hint="eastAsia" w:ascii="宋体" w:hAnsi="宋体" w:cs="宋体"/>
          <w:sz w:val="24"/>
          <w:szCs w:val="24"/>
        </w:rPr>
        <w:t>11.响应文件编印和签署</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_Toc17237 </w:instrText>
      </w:r>
      <w:r>
        <w:rPr>
          <w:rFonts w:hint="eastAsia" w:ascii="宋体" w:hAnsi="宋体" w:cs="宋体"/>
          <w:sz w:val="24"/>
          <w:szCs w:val="24"/>
        </w:rPr>
        <w:fldChar w:fldCharType="separate"/>
      </w:r>
      <w:r>
        <w:rPr>
          <w:rFonts w:hint="eastAsia" w:ascii="宋体" w:hAnsi="宋体" w:cs="宋体"/>
          <w:sz w:val="24"/>
          <w:szCs w:val="24"/>
        </w:rPr>
        <w:t>9</w:t>
      </w:r>
      <w:r>
        <w:rPr>
          <w:rFonts w:hint="eastAsia" w:ascii="宋体" w:hAnsi="宋体" w:cs="宋体"/>
          <w:sz w:val="24"/>
          <w:szCs w:val="24"/>
        </w:rPr>
        <w:fldChar w:fldCharType="end"/>
      </w:r>
      <w:r>
        <w:rPr>
          <w:rFonts w:hint="eastAsia" w:ascii="宋体" w:hAnsi="宋体" w:cs="宋体"/>
          <w:sz w:val="24"/>
          <w:szCs w:val="24"/>
        </w:rPr>
        <w:fldChar w:fldCharType="end"/>
      </w:r>
    </w:p>
    <w:p>
      <w:pPr>
        <w:pStyle w:val="31"/>
        <w:tabs>
          <w:tab w:val="right" w:leader="dot" w:pos="9880"/>
        </w:tabs>
        <w:spacing w:line="360" w:lineRule="auto"/>
        <w:rPr>
          <w:rFonts w:ascii="宋体" w:hAnsi="宋体" w:cs="宋体"/>
          <w:sz w:val="24"/>
          <w:szCs w:val="24"/>
        </w:rPr>
      </w:pPr>
      <w:r>
        <w:fldChar w:fldCharType="begin"/>
      </w:r>
      <w:r>
        <w:instrText xml:space="preserve"> HYPERLINK \l "_Toc4993" </w:instrText>
      </w:r>
      <w:r>
        <w:fldChar w:fldCharType="separate"/>
      </w:r>
      <w:r>
        <w:rPr>
          <w:rFonts w:hint="eastAsia" w:ascii="宋体" w:hAnsi="宋体" w:cs="宋体"/>
          <w:sz w:val="24"/>
          <w:szCs w:val="24"/>
        </w:rPr>
        <w:t>四、响应文件的递交</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_Toc4993 </w:instrText>
      </w:r>
      <w:r>
        <w:rPr>
          <w:rFonts w:hint="eastAsia" w:ascii="宋体" w:hAnsi="宋体" w:cs="宋体"/>
          <w:sz w:val="24"/>
          <w:szCs w:val="24"/>
        </w:rPr>
        <w:fldChar w:fldCharType="separate"/>
      </w:r>
      <w:r>
        <w:rPr>
          <w:rFonts w:hint="eastAsia" w:ascii="宋体" w:hAnsi="宋体" w:cs="宋体"/>
          <w:sz w:val="24"/>
          <w:szCs w:val="24"/>
        </w:rPr>
        <w:t>9</w:t>
      </w:r>
      <w:r>
        <w:rPr>
          <w:rFonts w:hint="eastAsia" w:ascii="宋体" w:hAnsi="宋体" w:cs="宋体"/>
          <w:sz w:val="24"/>
          <w:szCs w:val="24"/>
        </w:rPr>
        <w:fldChar w:fldCharType="end"/>
      </w:r>
      <w:r>
        <w:rPr>
          <w:rFonts w:hint="eastAsia" w:ascii="宋体" w:hAnsi="宋体" w:cs="宋体"/>
          <w:sz w:val="24"/>
          <w:szCs w:val="24"/>
        </w:rPr>
        <w:fldChar w:fldCharType="end"/>
      </w:r>
    </w:p>
    <w:p>
      <w:pPr>
        <w:pStyle w:val="32"/>
        <w:tabs>
          <w:tab w:val="right" w:leader="dot" w:pos="9880"/>
        </w:tabs>
        <w:spacing w:line="360" w:lineRule="auto"/>
        <w:ind w:left="420"/>
        <w:rPr>
          <w:rFonts w:ascii="宋体" w:hAnsi="宋体" w:cs="宋体"/>
          <w:sz w:val="24"/>
          <w:szCs w:val="24"/>
        </w:rPr>
      </w:pPr>
      <w:r>
        <w:fldChar w:fldCharType="begin"/>
      </w:r>
      <w:r>
        <w:instrText xml:space="preserve"> HYPERLINK \l "_Toc23939" </w:instrText>
      </w:r>
      <w:r>
        <w:fldChar w:fldCharType="separate"/>
      </w:r>
      <w:r>
        <w:rPr>
          <w:rFonts w:hint="eastAsia" w:ascii="宋体" w:hAnsi="宋体" w:cs="宋体"/>
          <w:sz w:val="24"/>
          <w:szCs w:val="24"/>
        </w:rPr>
        <w:t>12.响应文件的密封和标记</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_Toc23939 </w:instrText>
      </w:r>
      <w:r>
        <w:rPr>
          <w:rFonts w:hint="eastAsia" w:ascii="宋体" w:hAnsi="宋体" w:cs="宋体"/>
          <w:sz w:val="24"/>
          <w:szCs w:val="24"/>
        </w:rPr>
        <w:fldChar w:fldCharType="separate"/>
      </w:r>
      <w:r>
        <w:rPr>
          <w:rFonts w:hint="eastAsia" w:ascii="宋体" w:hAnsi="宋体" w:cs="宋体"/>
          <w:sz w:val="24"/>
          <w:szCs w:val="24"/>
        </w:rPr>
        <w:t>9</w:t>
      </w:r>
      <w:r>
        <w:rPr>
          <w:rFonts w:hint="eastAsia" w:ascii="宋体" w:hAnsi="宋体" w:cs="宋体"/>
          <w:sz w:val="24"/>
          <w:szCs w:val="24"/>
        </w:rPr>
        <w:fldChar w:fldCharType="end"/>
      </w:r>
      <w:r>
        <w:rPr>
          <w:rFonts w:hint="eastAsia" w:ascii="宋体" w:hAnsi="宋体" w:cs="宋体"/>
          <w:sz w:val="24"/>
          <w:szCs w:val="24"/>
        </w:rPr>
        <w:fldChar w:fldCharType="end"/>
      </w:r>
    </w:p>
    <w:p>
      <w:pPr>
        <w:pStyle w:val="32"/>
        <w:tabs>
          <w:tab w:val="right" w:leader="dot" w:pos="9880"/>
        </w:tabs>
        <w:spacing w:line="360" w:lineRule="auto"/>
        <w:ind w:left="420"/>
        <w:rPr>
          <w:rFonts w:ascii="宋体" w:hAnsi="宋体" w:cs="宋体"/>
          <w:sz w:val="24"/>
          <w:szCs w:val="24"/>
        </w:rPr>
      </w:pPr>
      <w:r>
        <w:fldChar w:fldCharType="begin"/>
      </w:r>
      <w:r>
        <w:instrText xml:space="preserve"> HYPERLINK \l "_Toc11648" </w:instrText>
      </w:r>
      <w:r>
        <w:fldChar w:fldCharType="separate"/>
      </w:r>
      <w:r>
        <w:rPr>
          <w:rFonts w:hint="eastAsia" w:ascii="宋体" w:hAnsi="宋体" w:cs="宋体"/>
          <w:sz w:val="24"/>
          <w:szCs w:val="24"/>
        </w:rPr>
        <w:t>13.提交响应文件截止时间、地点</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_Toc11648 </w:instrText>
      </w:r>
      <w:r>
        <w:rPr>
          <w:rFonts w:hint="eastAsia" w:ascii="宋体" w:hAnsi="宋体" w:cs="宋体"/>
          <w:sz w:val="24"/>
          <w:szCs w:val="24"/>
        </w:rPr>
        <w:fldChar w:fldCharType="separate"/>
      </w:r>
      <w:r>
        <w:rPr>
          <w:rFonts w:hint="eastAsia" w:ascii="宋体" w:hAnsi="宋体" w:cs="宋体"/>
          <w:sz w:val="24"/>
          <w:szCs w:val="24"/>
        </w:rPr>
        <w:t>9</w:t>
      </w:r>
      <w:r>
        <w:rPr>
          <w:rFonts w:hint="eastAsia" w:ascii="宋体" w:hAnsi="宋体" w:cs="宋体"/>
          <w:sz w:val="24"/>
          <w:szCs w:val="24"/>
        </w:rPr>
        <w:fldChar w:fldCharType="end"/>
      </w:r>
      <w:r>
        <w:rPr>
          <w:rFonts w:hint="eastAsia" w:ascii="宋体" w:hAnsi="宋体" w:cs="宋体"/>
          <w:sz w:val="24"/>
          <w:szCs w:val="24"/>
        </w:rPr>
        <w:fldChar w:fldCharType="end"/>
      </w:r>
    </w:p>
    <w:p>
      <w:pPr>
        <w:pStyle w:val="31"/>
        <w:tabs>
          <w:tab w:val="right" w:leader="dot" w:pos="9880"/>
        </w:tabs>
        <w:spacing w:line="360" w:lineRule="auto"/>
        <w:rPr>
          <w:rFonts w:ascii="宋体" w:hAnsi="宋体" w:cs="宋体"/>
          <w:sz w:val="24"/>
          <w:szCs w:val="24"/>
        </w:rPr>
      </w:pPr>
      <w:r>
        <w:fldChar w:fldCharType="begin"/>
      </w:r>
      <w:r>
        <w:instrText xml:space="preserve"> HYPERLINK \l "_Toc20310" </w:instrText>
      </w:r>
      <w:r>
        <w:fldChar w:fldCharType="separate"/>
      </w:r>
      <w:r>
        <w:rPr>
          <w:rFonts w:hint="eastAsia" w:ascii="宋体" w:hAnsi="宋体" w:cs="宋体"/>
          <w:sz w:val="24"/>
          <w:szCs w:val="24"/>
        </w:rPr>
        <w:t>五、磋商过程</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_Toc20310 </w:instrText>
      </w:r>
      <w:r>
        <w:rPr>
          <w:rFonts w:hint="eastAsia" w:ascii="宋体" w:hAnsi="宋体" w:cs="宋体"/>
          <w:sz w:val="24"/>
          <w:szCs w:val="24"/>
        </w:rPr>
        <w:fldChar w:fldCharType="separate"/>
      </w:r>
      <w:r>
        <w:rPr>
          <w:rFonts w:hint="eastAsia" w:ascii="宋体" w:hAnsi="宋体" w:cs="宋体"/>
          <w:sz w:val="24"/>
          <w:szCs w:val="24"/>
        </w:rPr>
        <w:t>9</w:t>
      </w:r>
      <w:r>
        <w:rPr>
          <w:rFonts w:hint="eastAsia" w:ascii="宋体" w:hAnsi="宋体" w:cs="宋体"/>
          <w:sz w:val="24"/>
          <w:szCs w:val="24"/>
        </w:rPr>
        <w:fldChar w:fldCharType="end"/>
      </w:r>
      <w:r>
        <w:rPr>
          <w:rFonts w:hint="eastAsia" w:ascii="宋体" w:hAnsi="宋体" w:cs="宋体"/>
          <w:sz w:val="24"/>
          <w:szCs w:val="24"/>
        </w:rPr>
        <w:fldChar w:fldCharType="end"/>
      </w:r>
    </w:p>
    <w:p>
      <w:pPr>
        <w:pStyle w:val="32"/>
        <w:tabs>
          <w:tab w:val="right" w:leader="dot" w:pos="9880"/>
        </w:tabs>
        <w:spacing w:line="360" w:lineRule="auto"/>
        <w:ind w:left="420"/>
        <w:rPr>
          <w:rFonts w:ascii="宋体" w:hAnsi="宋体" w:cs="宋体"/>
          <w:sz w:val="24"/>
          <w:szCs w:val="24"/>
        </w:rPr>
      </w:pPr>
      <w:r>
        <w:fldChar w:fldCharType="begin"/>
      </w:r>
      <w:r>
        <w:instrText xml:space="preserve"> HYPERLINK \l "_Toc13022" </w:instrText>
      </w:r>
      <w:r>
        <w:fldChar w:fldCharType="separate"/>
      </w:r>
      <w:r>
        <w:rPr>
          <w:rFonts w:hint="eastAsia" w:ascii="宋体" w:hAnsi="宋体" w:cs="宋体"/>
          <w:sz w:val="24"/>
          <w:szCs w:val="24"/>
        </w:rPr>
        <w:t>14.磋商过程</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_Toc13022 </w:instrText>
      </w:r>
      <w:r>
        <w:rPr>
          <w:rFonts w:hint="eastAsia" w:ascii="宋体" w:hAnsi="宋体" w:cs="宋体"/>
          <w:sz w:val="24"/>
          <w:szCs w:val="24"/>
        </w:rPr>
        <w:fldChar w:fldCharType="separate"/>
      </w:r>
      <w:r>
        <w:rPr>
          <w:rFonts w:hint="eastAsia" w:ascii="宋体" w:hAnsi="宋体" w:cs="宋体"/>
          <w:sz w:val="24"/>
          <w:szCs w:val="24"/>
        </w:rPr>
        <w:t>9</w:t>
      </w:r>
      <w:r>
        <w:rPr>
          <w:rFonts w:hint="eastAsia" w:ascii="宋体" w:hAnsi="宋体" w:cs="宋体"/>
          <w:sz w:val="24"/>
          <w:szCs w:val="24"/>
        </w:rPr>
        <w:fldChar w:fldCharType="end"/>
      </w:r>
      <w:r>
        <w:rPr>
          <w:rFonts w:hint="eastAsia" w:ascii="宋体" w:hAnsi="宋体" w:cs="宋体"/>
          <w:sz w:val="24"/>
          <w:szCs w:val="24"/>
        </w:rPr>
        <w:fldChar w:fldCharType="end"/>
      </w:r>
    </w:p>
    <w:p>
      <w:pPr>
        <w:pStyle w:val="31"/>
        <w:tabs>
          <w:tab w:val="right" w:leader="dot" w:pos="9880"/>
        </w:tabs>
        <w:spacing w:line="360" w:lineRule="auto"/>
        <w:rPr>
          <w:rFonts w:ascii="宋体" w:hAnsi="宋体" w:cs="宋体"/>
          <w:sz w:val="24"/>
          <w:szCs w:val="24"/>
        </w:rPr>
      </w:pPr>
      <w:r>
        <w:fldChar w:fldCharType="begin"/>
      </w:r>
      <w:r>
        <w:instrText xml:space="preserve"> HYPERLINK \l "_Toc29147" </w:instrText>
      </w:r>
      <w:r>
        <w:fldChar w:fldCharType="separate"/>
      </w:r>
      <w:r>
        <w:rPr>
          <w:rFonts w:hint="eastAsia" w:ascii="宋体" w:hAnsi="宋体" w:cs="宋体"/>
          <w:sz w:val="24"/>
          <w:szCs w:val="24"/>
        </w:rPr>
        <w:t>六、磋商程序及方法</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_Toc29147 </w:instrText>
      </w:r>
      <w:r>
        <w:rPr>
          <w:rFonts w:hint="eastAsia" w:ascii="宋体" w:hAnsi="宋体" w:cs="宋体"/>
          <w:sz w:val="24"/>
          <w:szCs w:val="24"/>
        </w:rPr>
        <w:fldChar w:fldCharType="separate"/>
      </w:r>
      <w:r>
        <w:rPr>
          <w:rFonts w:hint="eastAsia" w:ascii="宋体" w:hAnsi="宋体" w:cs="宋体"/>
          <w:sz w:val="24"/>
          <w:szCs w:val="24"/>
        </w:rPr>
        <w:t>9</w:t>
      </w:r>
      <w:r>
        <w:rPr>
          <w:rFonts w:hint="eastAsia" w:ascii="宋体" w:hAnsi="宋体" w:cs="宋体"/>
          <w:sz w:val="24"/>
          <w:szCs w:val="24"/>
        </w:rPr>
        <w:fldChar w:fldCharType="end"/>
      </w:r>
      <w:r>
        <w:rPr>
          <w:rFonts w:hint="eastAsia" w:ascii="宋体" w:hAnsi="宋体" w:cs="宋体"/>
          <w:sz w:val="24"/>
          <w:szCs w:val="24"/>
        </w:rPr>
        <w:fldChar w:fldCharType="end"/>
      </w:r>
    </w:p>
    <w:p>
      <w:pPr>
        <w:pStyle w:val="32"/>
        <w:tabs>
          <w:tab w:val="right" w:leader="dot" w:pos="9880"/>
        </w:tabs>
        <w:spacing w:line="360" w:lineRule="auto"/>
        <w:ind w:left="420"/>
        <w:rPr>
          <w:rFonts w:ascii="宋体" w:hAnsi="宋体" w:cs="宋体"/>
          <w:sz w:val="24"/>
          <w:szCs w:val="24"/>
        </w:rPr>
      </w:pPr>
      <w:r>
        <w:fldChar w:fldCharType="begin"/>
      </w:r>
      <w:r>
        <w:instrText xml:space="preserve"> HYPERLINK \l "_Toc27160" </w:instrText>
      </w:r>
      <w:r>
        <w:fldChar w:fldCharType="separate"/>
      </w:r>
      <w:r>
        <w:rPr>
          <w:rFonts w:hint="eastAsia" w:ascii="宋体" w:hAnsi="宋体" w:cs="宋体"/>
          <w:sz w:val="24"/>
          <w:szCs w:val="24"/>
        </w:rPr>
        <w:t>15.磋商小组</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_Toc27160 </w:instrText>
      </w:r>
      <w:r>
        <w:rPr>
          <w:rFonts w:hint="eastAsia" w:ascii="宋体" w:hAnsi="宋体" w:cs="宋体"/>
          <w:sz w:val="24"/>
          <w:szCs w:val="24"/>
        </w:rPr>
        <w:fldChar w:fldCharType="separate"/>
      </w:r>
      <w:r>
        <w:rPr>
          <w:rFonts w:hint="eastAsia" w:ascii="宋体" w:hAnsi="宋体" w:cs="宋体"/>
          <w:sz w:val="24"/>
          <w:szCs w:val="24"/>
        </w:rPr>
        <w:t>9</w:t>
      </w:r>
      <w:r>
        <w:rPr>
          <w:rFonts w:hint="eastAsia" w:ascii="宋体" w:hAnsi="宋体" w:cs="宋体"/>
          <w:sz w:val="24"/>
          <w:szCs w:val="24"/>
        </w:rPr>
        <w:fldChar w:fldCharType="end"/>
      </w:r>
      <w:r>
        <w:rPr>
          <w:rFonts w:hint="eastAsia" w:ascii="宋体" w:hAnsi="宋体" w:cs="宋体"/>
          <w:sz w:val="24"/>
          <w:szCs w:val="24"/>
        </w:rPr>
        <w:fldChar w:fldCharType="end"/>
      </w:r>
    </w:p>
    <w:p>
      <w:pPr>
        <w:pStyle w:val="32"/>
        <w:tabs>
          <w:tab w:val="right" w:leader="dot" w:pos="9880"/>
        </w:tabs>
        <w:spacing w:line="360" w:lineRule="auto"/>
        <w:ind w:left="420"/>
        <w:rPr>
          <w:rFonts w:ascii="宋体" w:hAnsi="宋体" w:cs="宋体"/>
          <w:sz w:val="24"/>
          <w:szCs w:val="24"/>
        </w:rPr>
      </w:pPr>
      <w:r>
        <w:fldChar w:fldCharType="begin"/>
      </w:r>
      <w:r>
        <w:instrText xml:space="preserve"> HYPERLINK \l "_Toc19443" </w:instrText>
      </w:r>
      <w:r>
        <w:fldChar w:fldCharType="separate"/>
      </w:r>
      <w:r>
        <w:rPr>
          <w:rFonts w:hint="eastAsia" w:ascii="宋体" w:hAnsi="宋体" w:cs="宋体"/>
          <w:sz w:val="24"/>
          <w:szCs w:val="24"/>
        </w:rPr>
        <w:t>16.磋商程序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_Toc19443 </w:instrText>
      </w:r>
      <w:r>
        <w:rPr>
          <w:rFonts w:hint="eastAsia" w:ascii="宋体" w:hAnsi="宋体" w:cs="宋体"/>
          <w:sz w:val="24"/>
          <w:szCs w:val="24"/>
        </w:rPr>
        <w:fldChar w:fldCharType="separate"/>
      </w:r>
      <w:r>
        <w:rPr>
          <w:rFonts w:hint="eastAsia" w:ascii="宋体" w:hAnsi="宋体" w:cs="宋体"/>
          <w:sz w:val="24"/>
          <w:szCs w:val="24"/>
        </w:rPr>
        <w:t>10</w:t>
      </w:r>
      <w:r>
        <w:rPr>
          <w:rFonts w:hint="eastAsia" w:ascii="宋体" w:hAnsi="宋体" w:cs="宋体"/>
          <w:sz w:val="24"/>
          <w:szCs w:val="24"/>
        </w:rPr>
        <w:fldChar w:fldCharType="end"/>
      </w:r>
      <w:r>
        <w:rPr>
          <w:rFonts w:hint="eastAsia" w:ascii="宋体" w:hAnsi="宋体" w:cs="宋体"/>
          <w:sz w:val="24"/>
          <w:szCs w:val="24"/>
        </w:rPr>
        <w:fldChar w:fldCharType="end"/>
      </w:r>
    </w:p>
    <w:p>
      <w:pPr>
        <w:pStyle w:val="32"/>
        <w:tabs>
          <w:tab w:val="right" w:leader="dot" w:pos="9880"/>
        </w:tabs>
        <w:spacing w:line="360" w:lineRule="auto"/>
        <w:ind w:left="420"/>
        <w:rPr>
          <w:rFonts w:ascii="宋体" w:hAnsi="宋体" w:cs="宋体"/>
          <w:sz w:val="24"/>
          <w:szCs w:val="24"/>
        </w:rPr>
      </w:pPr>
      <w:r>
        <w:fldChar w:fldCharType="begin"/>
      </w:r>
      <w:r>
        <w:instrText xml:space="preserve"> HYPERLINK \l "_Toc18461" </w:instrText>
      </w:r>
      <w:r>
        <w:fldChar w:fldCharType="separate"/>
      </w:r>
      <w:r>
        <w:rPr>
          <w:rFonts w:hint="eastAsia" w:ascii="宋体" w:hAnsi="宋体" w:cs="宋体"/>
          <w:sz w:val="24"/>
          <w:szCs w:val="24"/>
        </w:rPr>
        <w:t>17.评审办法</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_Toc18461 </w:instrText>
      </w:r>
      <w:r>
        <w:rPr>
          <w:rFonts w:hint="eastAsia" w:ascii="宋体" w:hAnsi="宋体" w:cs="宋体"/>
          <w:sz w:val="24"/>
          <w:szCs w:val="24"/>
        </w:rPr>
        <w:fldChar w:fldCharType="separate"/>
      </w:r>
      <w:r>
        <w:rPr>
          <w:rFonts w:hint="eastAsia" w:ascii="宋体" w:hAnsi="宋体" w:cs="宋体"/>
          <w:sz w:val="24"/>
          <w:szCs w:val="24"/>
        </w:rPr>
        <w:t>11</w:t>
      </w:r>
      <w:r>
        <w:rPr>
          <w:rFonts w:hint="eastAsia" w:ascii="宋体" w:hAnsi="宋体" w:cs="宋体"/>
          <w:sz w:val="24"/>
          <w:szCs w:val="24"/>
        </w:rPr>
        <w:fldChar w:fldCharType="end"/>
      </w:r>
      <w:r>
        <w:rPr>
          <w:rFonts w:hint="eastAsia" w:ascii="宋体" w:hAnsi="宋体" w:cs="宋体"/>
          <w:sz w:val="24"/>
          <w:szCs w:val="24"/>
        </w:rPr>
        <w:fldChar w:fldCharType="end"/>
      </w:r>
    </w:p>
    <w:p>
      <w:pPr>
        <w:pStyle w:val="31"/>
        <w:tabs>
          <w:tab w:val="right" w:leader="dot" w:pos="9880"/>
        </w:tabs>
        <w:spacing w:line="360" w:lineRule="auto"/>
        <w:rPr>
          <w:rFonts w:ascii="宋体" w:hAnsi="宋体" w:cs="宋体"/>
          <w:sz w:val="24"/>
          <w:szCs w:val="24"/>
        </w:rPr>
      </w:pPr>
      <w:r>
        <w:fldChar w:fldCharType="begin"/>
      </w:r>
      <w:r>
        <w:instrText xml:space="preserve"> HYPERLINK \l "_Toc10781" </w:instrText>
      </w:r>
      <w:r>
        <w:fldChar w:fldCharType="separate"/>
      </w:r>
      <w:r>
        <w:rPr>
          <w:rFonts w:hint="eastAsia" w:ascii="宋体" w:hAnsi="宋体" w:cs="宋体"/>
          <w:sz w:val="24"/>
          <w:szCs w:val="24"/>
        </w:rPr>
        <w:t>七、确定成交供应商</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_Toc10781 </w:instrText>
      </w:r>
      <w:r>
        <w:rPr>
          <w:rFonts w:hint="eastAsia" w:ascii="宋体" w:hAnsi="宋体" w:cs="宋体"/>
          <w:sz w:val="24"/>
          <w:szCs w:val="24"/>
        </w:rPr>
        <w:fldChar w:fldCharType="separate"/>
      </w:r>
      <w:r>
        <w:rPr>
          <w:rFonts w:hint="eastAsia" w:ascii="宋体" w:hAnsi="宋体" w:cs="宋体"/>
          <w:sz w:val="24"/>
          <w:szCs w:val="24"/>
        </w:rPr>
        <w:t>13</w:t>
      </w:r>
      <w:r>
        <w:rPr>
          <w:rFonts w:hint="eastAsia" w:ascii="宋体" w:hAnsi="宋体" w:cs="宋体"/>
          <w:sz w:val="24"/>
          <w:szCs w:val="24"/>
        </w:rPr>
        <w:fldChar w:fldCharType="end"/>
      </w:r>
      <w:r>
        <w:rPr>
          <w:rFonts w:hint="eastAsia" w:ascii="宋体" w:hAnsi="宋体" w:cs="宋体"/>
          <w:sz w:val="24"/>
          <w:szCs w:val="24"/>
        </w:rPr>
        <w:fldChar w:fldCharType="end"/>
      </w:r>
    </w:p>
    <w:p>
      <w:pPr>
        <w:pStyle w:val="32"/>
        <w:tabs>
          <w:tab w:val="right" w:leader="dot" w:pos="9880"/>
        </w:tabs>
        <w:spacing w:line="360" w:lineRule="auto"/>
        <w:ind w:left="420"/>
        <w:rPr>
          <w:rFonts w:ascii="宋体" w:hAnsi="宋体" w:cs="宋体"/>
          <w:sz w:val="24"/>
          <w:szCs w:val="24"/>
        </w:rPr>
      </w:pPr>
      <w:r>
        <w:fldChar w:fldCharType="begin"/>
      </w:r>
      <w:r>
        <w:instrText xml:space="preserve"> HYPERLINK \l "_Toc3474" </w:instrText>
      </w:r>
      <w:r>
        <w:fldChar w:fldCharType="separate"/>
      </w:r>
      <w:r>
        <w:rPr>
          <w:rFonts w:hint="eastAsia" w:ascii="宋体" w:hAnsi="宋体" w:cs="宋体"/>
          <w:sz w:val="24"/>
          <w:szCs w:val="24"/>
        </w:rPr>
        <w:t>18.推荐并确定成交供应商</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_Toc3474 </w:instrText>
      </w:r>
      <w:r>
        <w:rPr>
          <w:rFonts w:hint="eastAsia" w:ascii="宋体" w:hAnsi="宋体" w:cs="宋体"/>
          <w:sz w:val="24"/>
          <w:szCs w:val="24"/>
        </w:rPr>
        <w:fldChar w:fldCharType="separate"/>
      </w:r>
      <w:r>
        <w:rPr>
          <w:rFonts w:hint="eastAsia" w:ascii="宋体" w:hAnsi="宋体" w:cs="宋体"/>
          <w:sz w:val="24"/>
          <w:szCs w:val="24"/>
        </w:rPr>
        <w:t>15</w:t>
      </w:r>
      <w:r>
        <w:rPr>
          <w:rFonts w:hint="eastAsia" w:ascii="宋体" w:hAnsi="宋体" w:cs="宋体"/>
          <w:sz w:val="24"/>
          <w:szCs w:val="24"/>
        </w:rPr>
        <w:fldChar w:fldCharType="end"/>
      </w:r>
      <w:r>
        <w:rPr>
          <w:rFonts w:hint="eastAsia" w:ascii="宋体" w:hAnsi="宋体" w:cs="宋体"/>
          <w:sz w:val="24"/>
          <w:szCs w:val="24"/>
        </w:rPr>
        <w:fldChar w:fldCharType="end"/>
      </w:r>
    </w:p>
    <w:p>
      <w:pPr>
        <w:pStyle w:val="32"/>
        <w:tabs>
          <w:tab w:val="right" w:leader="dot" w:pos="9880"/>
        </w:tabs>
        <w:spacing w:line="360" w:lineRule="auto"/>
        <w:ind w:left="420"/>
        <w:rPr>
          <w:rFonts w:ascii="宋体" w:hAnsi="宋体" w:cs="宋体"/>
          <w:sz w:val="24"/>
          <w:szCs w:val="24"/>
        </w:rPr>
      </w:pPr>
      <w:r>
        <w:fldChar w:fldCharType="begin"/>
      </w:r>
      <w:r>
        <w:instrText xml:space="preserve"> HYPERLINK \l "_Toc24581" </w:instrText>
      </w:r>
      <w:r>
        <w:fldChar w:fldCharType="separate"/>
      </w:r>
      <w:r>
        <w:rPr>
          <w:rFonts w:hint="eastAsia" w:ascii="宋体" w:hAnsi="宋体" w:cs="宋体"/>
          <w:sz w:val="24"/>
          <w:szCs w:val="24"/>
        </w:rPr>
        <w:t>19.成交通知</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_Toc24581 </w:instrText>
      </w:r>
      <w:r>
        <w:rPr>
          <w:rFonts w:hint="eastAsia" w:ascii="宋体" w:hAnsi="宋体" w:cs="宋体"/>
          <w:sz w:val="24"/>
          <w:szCs w:val="24"/>
        </w:rPr>
        <w:fldChar w:fldCharType="separate"/>
      </w:r>
      <w:r>
        <w:rPr>
          <w:rFonts w:hint="eastAsia" w:ascii="宋体" w:hAnsi="宋体" w:cs="宋体"/>
          <w:sz w:val="24"/>
          <w:szCs w:val="24"/>
        </w:rPr>
        <w:t>15</w:t>
      </w:r>
      <w:r>
        <w:rPr>
          <w:rFonts w:hint="eastAsia" w:ascii="宋体" w:hAnsi="宋体" w:cs="宋体"/>
          <w:sz w:val="24"/>
          <w:szCs w:val="24"/>
        </w:rPr>
        <w:fldChar w:fldCharType="end"/>
      </w:r>
      <w:r>
        <w:rPr>
          <w:rFonts w:hint="eastAsia" w:ascii="宋体" w:hAnsi="宋体" w:cs="宋体"/>
          <w:sz w:val="24"/>
          <w:szCs w:val="24"/>
        </w:rPr>
        <w:fldChar w:fldCharType="end"/>
      </w:r>
    </w:p>
    <w:p>
      <w:pPr>
        <w:pStyle w:val="31"/>
        <w:tabs>
          <w:tab w:val="right" w:leader="dot" w:pos="9880"/>
        </w:tabs>
        <w:spacing w:line="360" w:lineRule="auto"/>
        <w:rPr>
          <w:rFonts w:ascii="宋体" w:hAnsi="宋体" w:cs="宋体"/>
          <w:sz w:val="24"/>
          <w:szCs w:val="24"/>
        </w:rPr>
      </w:pPr>
      <w:r>
        <w:fldChar w:fldCharType="begin"/>
      </w:r>
      <w:r>
        <w:instrText xml:space="preserve"> HYPERLINK \l "_Toc26276" </w:instrText>
      </w:r>
      <w:r>
        <w:fldChar w:fldCharType="separate"/>
      </w:r>
      <w:r>
        <w:rPr>
          <w:rFonts w:hint="eastAsia" w:ascii="宋体" w:hAnsi="宋体" w:cs="宋体"/>
          <w:sz w:val="24"/>
          <w:szCs w:val="24"/>
        </w:rPr>
        <w:t>八、授予合同</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_Toc26276 </w:instrText>
      </w:r>
      <w:r>
        <w:rPr>
          <w:rFonts w:hint="eastAsia" w:ascii="宋体" w:hAnsi="宋体" w:cs="宋体"/>
          <w:sz w:val="24"/>
          <w:szCs w:val="24"/>
        </w:rPr>
        <w:fldChar w:fldCharType="separate"/>
      </w:r>
      <w:r>
        <w:rPr>
          <w:rFonts w:hint="eastAsia" w:ascii="宋体" w:hAnsi="宋体" w:cs="宋体"/>
          <w:sz w:val="24"/>
          <w:szCs w:val="24"/>
        </w:rPr>
        <w:t>15</w:t>
      </w:r>
      <w:r>
        <w:rPr>
          <w:rFonts w:hint="eastAsia" w:ascii="宋体" w:hAnsi="宋体" w:cs="宋体"/>
          <w:sz w:val="24"/>
          <w:szCs w:val="24"/>
        </w:rPr>
        <w:fldChar w:fldCharType="end"/>
      </w:r>
      <w:r>
        <w:rPr>
          <w:rFonts w:hint="eastAsia" w:ascii="宋体" w:hAnsi="宋体" w:cs="宋体"/>
          <w:sz w:val="24"/>
          <w:szCs w:val="24"/>
        </w:rPr>
        <w:fldChar w:fldCharType="end"/>
      </w:r>
    </w:p>
    <w:p>
      <w:pPr>
        <w:pStyle w:val="32"/>
        <w:tabs>
          <w:tab w:val="right" w:leader="dot" w:pos="9880"/>
        </w:tabs>
        <w:spacing w:line="360" w:lineRule="auto"/>
        <w:ind w:left="420"/>
        <w:rPr>
          <w:rFonts w:ascii="宋体" w:hAnsi="宋体" w:cs="宋体"/>
          <w:sz w:val="24"/>
          <w:szCs w:val="24"/>
        </w:rPr>
      </w:pPr>
      <w:r>
        <w:fldChar w:fldCharType="begin"/>
      </w:r>
      <w:r>
        <w:instrText xml:space="preserve"> HYPERLINK \l "_Toc15246" </w:instrText>
      </w:r>
      <w:r>
        <w:fldChar w:fldCharType="separate"/>
      </w:r>
      <w:r>
        <w:rPr>
          <w:rFonts w:hint="eastAsia" w:ascii="宋体" w:hAnsi="宋体" w:cs="宋体"/>
          <w:sz w:val="24"/>
          <w:szCs w:val="24"/>
        </w:rPr>
        <w:t>20.签订合同</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_Toc15246 </w:instrText>
      </w:r>
      <w:r>
        <w:rPr>
          <w:rFonts w:hint="eastAsia" w:ascii="宋体" w:hAnsi="宋体" w:cs="宋体"/>
          <w:sz w:val="24"/>
          <w:szCs w:val="24"/>
        </w:rPr>
        <w:fldChar w:fldCharType="separate"/>
      </w:r>
      <w:r>
        <w:rPr>
          <w:rFonts w:hint="eastAsia" w:ascii="宋体" w:hAnsi="宋体" w:cs="宋体"/>
          <w:sz w:val="24"/>
          <w:szCs w:val="24"/>
        </w:rPr>
        <w:t>15</w:t>
      </w:r>
      <w:r>
        <w:rPr>
          <w:rFonts w:hint="eastAsia" w:ascii="宋体" w:hAnsi="宋体" w:cs="宋体"/>
          <w:sz w:val="24"/>
          <w:szCs w:val="24"/>
        </w:rPr>
        <w:fldChar w:fldCharType="end"/>
      </w:r>
      <w:r>
        <w:rPr>
          <w:rFonts w:hint="eastAsia" w:ascii="宋体" w:hAnsi="宋体" w:cs="宋体"/>
          <w:sz w:val="24"/>
          <w:szCs w:val="24"/>
        </w:rPr>
        <w:fldChar w:fldCharType="end"/>
      </w:r>
    </w:p>
    <w:p>
      <w:pPr>
        <w:pStyle w:val="31"/>
        <w:tabs>
          <w:tab w:val="right" w:leader="dot" w:pos="9880"/>
        </w:tabs>
        <w:spacing w:line="360" w:lineRule="auto"/>
        <w:rPr>
          <w:rFonts w:ascii="宋体" w:hAnsi="宋体" w:cs="宋体"/>
          <w:sz w:val="24"/>
          <w:szCs w:val="24"/>
        </w:rPr>
      </w:pPr>
      <w:r>
        <w:fldChar w:fldCharType="begin"/>
      </w:r>
      <w:r>
        <w:instrText xml:space="preserve"> HYPERLINK \l "_Toc6769" </w:instrText>
      </w:r>
      <w:r>
        <w:fldChar w:fldCharType="separate"/>
      </w:r>
      <w:r>
        <w:rPr>
          <w:rFonts w:hint="eastAsia" w:ascii="宋体" w:hAnsi="宋体" w:cs="宋体"/>
          <w:sz w:val="24"/>
          <w:szCs w:val="24"/>
        </w:rPr>
        <w:t>九、磋商活动终止</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_Toc6769 </w:instrText>
      </w:r>
      <w:r>
        <w:rPr>
          <w:rFonts w:hint="eastAsia" w:ascii="宋体" w:hAnsi="宋体" w:cs="宋体"/>
          <w:sz w:val="24"/>
          <w:szCs w:val="24"/>
        </w:rPr>
        <w:fldChar w:fldCharType="separate"/>
      </w:r>
      <w:r>
        <w:rPr>
          <w:rFonts w:hint="eastAsia" w:ascii="宋体" w:hAnsi="宋体" w:cs="宋体"/>
          <w:sz w:val="24"/>
          <w:szCs w:val="24"/>
        </w:rPr>
        <w:t>15</w:t>
      </w:r>
      <w:r>
        <w:rPr>
          <w:rFonts w:hint="eastAsia" w:ascii="宋体" w:hAnsi="宋体" w:cs="宋体"/>
          <w:sz w:val="24"/>
          <w:szCs w:val="24"/>
        </w:rPr>
        <w:fldChar w:fldCharType="end"/>
      </w:r>
      <w:r>
        <w:rPr>
          <w:rFonts w:hint="eastAsia" w:ascii="宋体" w:hAnsi="宋体" w:cs="宋体"/>
          <w:sz w:val="24"/>
          <w:szCs w:val="24"/>
        </w:rPr>
        <w:fldChar w:fldCharType="end"/>
      </w:r>
    </w:p>
    <w:p>
      <w:pPr>
        <w:pStyle w:val="32"/>
        <w:tabs>
          <w:tab w:val="right" w:leader="dot" w:pos="9880"/>
        </w:tabs>
        <w:spacing w:line="360" w:lineRule="auto"/>
        <w:ind w:left="420"/>
        <w:rPr>
          <w:rFonts w:ascii="宋体" w:hAnsi="宋体" w:cs="宋体"/>
          <w:sz w:val="24"/>
          <w:szCs w:val="24"/>
        </w:rPr>
      </w:pPr>
      <w:r>
        <w:fldChar w:fldCharType="begin"/>
      </w:r>
      <w:r>
        <w:instrText xml:space="preserve"> HYPERLINK \l "_Toc23829" </w:instrText>
      </w:r>
      <w:r>
        <w:fldChar w:fldCharType="separate"/>
      </w:r>
      <w:r>
        <w:rPr>
          <w:rFonts w:hint="eastAsia" w:ascii="宋体" w:hAnsi="宋体" w:cs="宋体"/>
          <w:sz w:val="24"/>
          <w:szCs w:val="24"/>
        </w:rPr>
        <w:t>21.终止情形</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_Toc23829 </w:instrText>
      </w:r>
      <w:r>
        <w:rPr>
          <w:rFonts w:hint="eastAsia" w:ascii="宋体" w:hAnsi="宋体" w:cs="宋体"/>
          <w:sz w:val="24"/>
          <w:szCs w:val="24"/>
        </w:rPr>
        <w:fldChar w:fldCharType="separate"/>
      </w:r>
      <w:r>
        <w:rPr>
          <w:rFonts w:hint="eastAsia" w:ascii="宋体" w:hAnsi="宋体" w:cs="宋体"/>
          <w:sz w:val="24"/>
          <w:szCs w:val="24"/>
        </w:rPr>
        <w:t>15</w:t>
      </w:r>
      <w:r>
        <w:rPr>
          <w:rFonts w:hint="eastAsia" w:ascii="宋体" w:hAnsi="宋体" w:cs="宋体"/>
          <w:sz w:val="24"/>
          <w:szCs w:val="24"/>
        </w:rPr>
        <w:fldChar w:fldCharType="end"/>
      </w:r>
      <w:r>
        <w:rPr>
          <w:rFonts w:hint="eastAsia" w:ascii="宋体" w:hAnsi="宋体" w:cs="宋体"/>
          <w:sz w:val="24"/>
          <w:szCs w:val="24"/>
        </w:rPr>
        <w:fldChar w:fldCharType="end"/>
      </w:r>
    </w:p>
    <w:p>
      <w:pPr>
        <w:pStyle w:val="31"/>
        <w:tabs>
          <w:tab w:val="right" w:leader="dot" w:pos="9880"/>
        </w:tabs>
        <w:spacing w:line="360" w:lineRule="auto"/>
        <w:rPr>
          <w:rFonts w:ascii="宋体" w:hAnsi="宋体" w:cs="宋体"/>
          <w:sz w:val="24"/>
          <w:szCs w:val="24"/>
        </w:rPr>
      </w:pPr>
      <w:r>
        <w:fldChar w:fldCharType="begin"/>
      </w:r>
      <w:r>
        <w:instrText xml:space="preserve"> HYPERLINK \l "_Toc20142" </w:instrText>
      </w:r>
      <w:r>
        <w:fldChar w:fldCharType="separate"/>
      </w:r>
      <w:r>
        <w:rPr>
          <w:rFonts w:hint="eastAsia" w:ascii="宋体" w:hAnsi="宋体" w:cs="宋体"/>
          <w:sz w:val="24"/>
          <w:szCs w:val="24"/>
          <w:lang w:val="zh-CN"/>
        </w:rPr>
        <w:t>十、处罚</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_Toc20142 </w:instrText>
      </w:r>
      <w:r>
        <w:rPr>
          <w:rFonts w:hint="eastAsia" w:ascii="宋体" w:hAnsi="宋体" w:cs="宋体"/>
          <w:sz w:val="24"/>
          <w:szCs w:val="24"/>
        </w:rPr>
        <w:fldChar w:fldCharType="separate"/>
      </w:r>
      <w:r>
        <w:rPr>
          <w:rFonts w:hint="eastAsia" w:ascii="宋体" w:hAnsi="宋体" w:cs="宋体"/>
          <w:sz w:val="24"/>
          <w:szCs w:val="24"/>
        </w:rPr>
        <w:t>16</w:t>
      </w:r>
      <w:r>
        <w:rPr>
          <w:rFonts w:hint="eastAsia" w:ascii="宋体" w:hAnsi="宋体" w:cs="宋体"/>
          <w:sz w:val="24"/>
          <w:szCs w:val="24"/>
        </w:rPr>
        <w:fldChar w:fldCharType="end"/>
      </w:r>
      <w:r>
        <w:rPr>
          <w:rFonts w:hint="eastAsia" w:ascii="宋体" w:hAnsi="宋体" w:cs="宋体"/>
          <w:sz w:val="24"/>
          <w:szCs w:val="24"/>
        </w:rPr>
        <w:fldChar w:fldCharType="end"/>
      </w:r>
    </w:p>
    <w:p>
      <w:pPr>
        <w:pStyle w:val="32"/>
        <w:tabs>
          <w:tab w:val="right" w:leader="dot" w:pos="9880"/>
        </w:tabs>
        <w:spacing w:line="360" w:lineRule="auto"/>
        <w:ind w:left="420"/>
        <w:rPr>
          <w:rFonts w:ascii="宋体" w:hAnsi="宋体" w:cs="宋体"/>
          <w:sz w:val="24"/>
          <w:szCs w:val="24"/>
        </w:rPr>
      </w:pPr>
      <w:r>
        <w:fldChar w:fldCharType="begin"/>
      </w:r>
      <w:r>
        <w:instrText xml:space="preserve"> HYPERLINK \l "_Toc1803" </w:instrText>
      </w:r>
      <w:r>
        <w:fldChar w:fldCharType="separate"/>
      </w:r>
      <w:r>
        <w:rPr>
          <w:rFonts w:hint="eastAsia" w:ascii="宋体" w:hAnsi="宋体" w:cs="宋体"/>
          <w:sz w:val="24"/>
          <w:szCs w:val="24"/>
        </w:rPr>
        <w:t>22.处罚情形</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_Toc1803 </w:instrText>
      </w:r>
      <w:r>
        <w:rPr>
          <w:rFonts w:hint="eastAsia" w:ascii="宋体" w:hAnsi="宋体" w:cs="宋体"/>
          <w:sz w:val="24"/>
          <w:szCs w:val="24"/>
        </w:rPr>
        <w:fldChar w:fldCharType="separate"/>
      </w:r>
      <w:r>
        <w:rPr>
          <w:rFonts w:hint="eastAsia" w:ascii="宋体" w:hAnsi="宋体" w:cs="宋体"/>
          <w:sz w:val="24"/>
          <w:szCs w:val="24"/>
        </w:rPr>
        <w:t>16</w:t>
      </w:r>
      <w:r>
        <w:rPr>
          <w:rFonts w:hint="eastAsia" w:ascii="宋体" w:hAnsi="宋体" w:cs="宋体"/>
          <w:sz w:val="24"/>
          <w:szCs w:val="24"/>
        </w:rPr>
        <w:fldChar w:fldCharType="end"/>
      </w:r>
      <w:r>
        <w:rPr>
          <w:rFonts w:hint="eastAsia" w:ascii="宋体" w:hAnsi="宋体" w:cs="宋体"/>
          <w:sz w:val="24"/>
          <w:szCs w:val="24"/>
        </w:rPr>
        <w:fldChar w:fldCharType="end"/>
      </w:r>
    </w:p>
    <w:p>
      <w:pPr>
        <w:pStyle w:val="31"/>
        <w:tabs>
          <w:tab w:val="right" w:leader="dot" w:pos="9880"/>
        </w:tabs>
        <w:spacing w:line="360" w:lineRule="auto"/>
        <w:rPr>
          <w:rFonts w:ascii="宋体" w:hAnsi="宋体" w:cs="宋体"/>
          <w:sz w:val="24"/>
          <w:szCs w:val="24"/>
        </w:rPr>
      </w:pPr>
      <w:r>
        <w:fldChar w:fldCharType="begin"/>
      </w:r>
      <w:r>
        <w:instrText xml:space="preserve"> HYPERLINK \l "_Toc18795" </w:instrText>
      </w:r>
      <w:r>
        <w:fldChar w:fldCharType="separate"/>
      </w:r>
      <w:r>
        <w:rPr>
          <w:rFonts w:hint="eastAsia" w:ascii="宋体" w:hAnsi="宋体" w:cs="宋体"/>
          <w:sz w:val="24"/>
          <w:szCs w:val="24"/>
        </w:rPr>
        <w:t>十一、其他</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_Toc18795 </w:instrText>
      </w:r>
      <w:r>
        <w:rPr>
          <w:rFonts w:hint="eastAsia" w:ascii="宋体" w:hAnsi="宋体" w:cs="宋体"/>
          <w:sz w:val="24"/>
          <w:szCs w:val="24"/>
        </w:rPr>
        <w:fldChar w:fldCharType="separate"/>
      </w:r>
      <w:r>
        <w:rPr>
          <w:rFonts w:hint="eastAsia" w:ascii="宋体" w:hAnsi="宋体" w:cs="宋体"/>
          <w:sz w:val="24"/>
          <w:szCs w:val="24"/>
        </w:rPr>
        <w:t>16</w:t>
      </w:r>
      <w:r>
        <w:rPr>
          <w:rFonts w:hint="eastAsia" w:ascii="宋体" w:hAnsi="宋体" w:cs="宋体"/>
          <w:sz w:val="24"/>
          <w:szCs w:val="24"/>
        </w:rPr>
        <w:fldChar w:fldCharType="end"/>
      </w:r>
      <w:r>
        <w:rPr>
          <w:rFonts w:hint="eastAsia" w:ascii="宋体" w:hAnsi="宋体" w:cs="宋体"/>
          <w:sz w:val="24"/>
          <w:szCs w:val="24"/>
        </w:rPr>
        <w:fldChar w:fldCharType="end"/>
      </w:r>
    </w:p>
    <w:p>
      <w:pPr>
        <w:pStyle w:val="31"/>
        <w:tabs>
          <w:tab w:val="right" w:leader="dot" w:pos="9880"/>
        </w:tabs>
        <w:spacing w:line="360" w:lineRule="auto"/>
        <w:rPr>
          <w:rFonts w:ascii="宋体" w:hAnsi="宋体" w:cs="宋体"/>
          <w:sz w:val="24"/>
          <w:szCs w:val="24"/>
        </w:rPr>
      </w:pPr>
      <w:r>
        <w:fldChar w:fldCharType="begin"/>
      </w:r>
      <w:r>
        <w:instrText xml:space="preserve"> HYPERLINK \l "_Toc18196" </w:instrText>
      </w:r>
      <w:r>
        <w:fldChar w:fldCharType="separate"/>
      </w:r>
      <w:r>
        <w:rPr>
          <w:rFonts w:hint="eastAsia" w:ascii="宋体" w:hAnsi="宋体" w:cs="宋体"/>
          <w:kern w:val="28"/>
          <w:sz w:val="24"/>
          <w:szCs w:val="24"/>
        </w:rPr>
        <w:t>第四部分 采购项目合同书</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_Toc18196 </w:instrText>
      </w:r>
      <w:r>
        <w:rPr>
          <w:rFonts w:hint="eastAsia" w:ascii="宋体" w:hAnsi="宋体" w:cs="宋体"/>
          <w:sz w:val="24"/>
          <w:szCs w:val="24"/>
        </w:rPr>
        <w:fldChar w:fldCharType="separate"/>
      </w:r>
      <w:r>
        <w:rPr>
          <w:rFonts w:hint="eastAsia" w:ascii="宋体" w:hAnsi="宋体" w:cs="宋体"/>
          <w:sz w:val="24"/>
          <w:szCs w:val="24"/>
        </w:rPr>
        <w:t>17</w:t>
      </w:r>
      <w:r>
        <w:rPr>
          <w:rFonts w:hint="eastAsia" w:ascii="宋体" w:hAnsi="宋体" w:cs="宋体"/>
          <w:sz w:val="24"/>
          <w:szCs w:val="24"/>
        </w:rPr>
        <w:fldChar w:fldCharType="end"/>
      </w:r>
      <w:r>
        <w:rPr>
          <w:rFonts w:hint="eastAsia" w:ascii="宋体" w:hAnsi="宋体" w:cs="宋体"/>
          <w:sz w:val="24"/>
          <w:szCs w:val="24"/>
        </w:rPr>
        <w:fldChar w:fldCharType="end"/>
      </w:r>
    </w:p>
    <w:p>
      <w:pPr>
        <w:pStyle w:val="32"/>
        <w:tabs>
          <w:tab w:val="right" w:leader="dot" w:pos="9880"/>
        </w:tabs>
        <w:spacing w:line="360" w:lineRule="auto"/>
        <w:ind w:left="0" w:leftChars="0"/>
        <w:jc w:val="both"/>
        <w:rPr>
          <w:rFonts w:ascii="宋体" w:hAnsi="宋体" w:cs="宋体"/>
          <w:sz w:val="24"/>
          <w:szCs w:val="24"/>
        </w:rPr>
      </w:pPr>
      <w:r>
        <w:fldChar w:fldCharType="begin"/>
      </w:r>
      <w:r>
        <w:instrText xml:space="preserve"> HYPERLINK \l "_Toc10800" </w:instrText>
      </w:r>
      <w:r>
        <w:fldChar w:fldCharType="separate"/>
      </w:r>
      <w:r>
        <w:rPr>
          <w:rFonts w:hint="eastAsia" w:ascii="宋体" w:hAnsi="宋体" w:cs="宋体"/>
          <w:sz w:val="24"/>
          <w:szCs w:val="24"/>
        </w:rPr>
        <w:t>第五部分 磋商响应文件格式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_Toc10800 </w:instrText>
      </w:r>
      <w:r>
        <w:rPr>
          <w:rFonts w:hint="eastAsia" w:ascii="宋体" w:hAnsi="宋体" w:cs="宋体"/>
          <w:sz w:val="24"/>
          <w:szCs w:val="24"/>
        </w:rPr>
        <w:fldChar w:fldCharType="separate"/>
      </w:r>
      <w:r>
        <w:rPr>
          <w:rFonts w:hint="eastAsia" w:ascii="宋体" w:hAnsi="宋体" w:cs="宋体"/>
          <w:sz w:val="24"/>
          <w:szCs w:val="24"/>
        </w:rPr>
        <w:t>18</w:t>
      </w:r>
      <w:r>
        <w:rPr>
          <w:rFonts w:hint="eastAsia" w:ascii="宋体" w:hAnsi="宋体" w:cs="宋体"/>
          <w:sz w:val="24"/>
          <w:szCs w:val="24"/>
        </w:rPr>
        <w:fldChar w:fldCharType="end"/>
      </w:r>
      <w:r>
        <w:rPr>
          <w:rFonts w:hint="eastAsia" w:ascii="宋体" w:hAnsi="宋体" w:cs="宋体"/>
          <w:sz w:val="24"/>
          <w:szCs w:val="24"/>
        </w:rPr>
        <w:fldChar w:fldCharType="end"/>
      </w:r>
    </w:p>
    <w:p>
      <w:pPr>
        <w:pStyle w:val="31"/>
        <w:tabs>
          <w:tab w:val="right" w:leader="dot" w:pos="9880"/>
        </w:tabs>
        <w:spacing w:line="360" w:lineRule="auto"/>
        <w:rPr>
          <w:rFonts w:ascii="宋体" w:hAnsi="宋体" w:cs="宋体"/>
          <w:sz w:val="24"/>
          <w:szCs w:val="24"/>
        </w:rPr>
      </w:pPr>
      <w:r>
        <w:fldChar w:fldCharType="begin"/>
      </w:r>
      <w:r>
        <w:instrText xml:space="preserve"> HYPERLINK \l "_Toc7462" </w:instrText>
      </w:r>
      <w:r>
        <w:fldChar w:fldCharType="separate"/>
      </w:r>
      <w:r>
        <w:rPr>
          <w:rFonts w:hint="eastAsia" w:ascii="宋体" w:hAnsi="宋体" w:cs="宋体"/>
          <w:kern w:val="28"/>
          <w:sz w:val="24"/>
          <w:szCs w:val="24"/>
        </w:rPr>
        <w:t xml:space="preserve">第六部分 </w:t>
      </w:r>
      <w:r>
        <w:rPr>
          <w:rFonts w:hint="eastAsia" w:ascii="宋体" w:hAnsi="宋体" w:cs="宋体"/>
          <w:kern w:val="28"/>
          <w:sz w:val="24"/>
          <w:szCs w:val="24"/>
          <w:lang w:val="zh-CN"/>
        </w:rPr>
        <w:t>采购项目服务要求及技术参数</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_Toc7462 </w:instrText>
      </w:r>
      <w:r>
        <w:rPr>
          <w:rFonts w:hint="eastAsia" w:ascii="宋体" w:hAnsi="宋体" w:cs="宋体"/>
          <w:sz w:val="24"/>
          <w:szCs w:val="24"/>
        </w:rPr>
        <w:fldChar w:fldCharType="separate"/>
      </w:r>
      <w:r>
        <w:rPr>
          <w:rFonts w:hint="eastAsia" w:ascii="宋体" w:hAnsi="宋体" w:cs="宋体"/>
          <w:sz w:val="24"/>
          <w:szCs w:val="24"/>
        </w:rPr>
        <w:t>55</w:t>
      </w:r>
      <w:r>
        <w:rPr>
          <w:rFonts w:hint="eastAsia" w:ascii="宋体" w:hAnsi="宋体" w:cs="宋体"/>
          <w:sz w:val="24"/>
          <w:szCs w:val="24"/>
        </w:rPr>
        <w:fldChar w:fldCharType="end"/>
      </w:r>
      <w:r>
        <w:rPr>
          <w:rFonts w:hint="eastAsia" w:ascii="宋体" w:hAnsi="宋体" w:cs="宋体"/>
          <w:sz w:val="24"/>
          <w:szCs w:val="24"/>
        </w:rPr>
        <w:fldChar w:fldCharType="end"/>
      </w:r>
    </w:p>
    <w:p>
      <w:pPr>
        <w:spacing w:line="360" w:lineRule="auto"/>
        <w:jc w:val="left"/>
        <w:rPr>
          <w:rFonts w:eastAsia="宋体" w:cs="Times New Roman"/>
          <w:b/>
          <w:color w:val="auto"/>
          <w:sz w:val="24"/>
          <w:szCs w:val="24"/>
          <w:lang w:val="zh-CN"/>
        </w:rPr>
      </w:pPr>
      <w:r>
        <w:rPr>
          <w:rFonts w:hint="eastAsia" w:eastAsia="宋体"/>
          <w:color w:val="auto"/>
          <w:sz w:val="24"/>
          <w:szCs w:val="24"/>
        </w:rPr>
        <w:fldChar w:fldCharType="end"/>
      </w:r>
      <w:r>
        <w:rPr>
          <w:rFonts w:hint="eastAsia" w:eastAsia="宋体"/>
          <w:bCs/>
          <w:color w:val="auto"/>
          <w:sz w:val="24"/>
          <w:szCs w:val="24"/>
          <w:lang w:val="zh-CN"/>
        </w:rPr>
        <w:fldChar w:fldCharType="end"/>
      </w:r>
      <w:r>
        <w:rPr>
          <w:rFonts w:hint="eastAsia" w:eastAsia="宋体"/>
          <w:b/>
          <w:color w:val="auto"/>
          <w:sz w:val="24"/>
          <w:szCs w:val="24"/>
          <w:lang w:val="zh-CN"/>
        </w:rPr>
        <w:fldChar w:fldCharType="end"/>
      </w:r>
    </w:p>
    <w:p>
      <w:pPr>
        <w:pStyle w:val="31"/>
        <w:tabs>
          <w:tab w:val="right" w:leader="dot" w:pos="9880"/>
        </w:tabs>
        <w:rPr>
          <w:rFonts w:ascii="宋体" w:hAnsi="宋体"/>
          <w:b/>
          <w:sz w:val="24"/>
          <w:szCs w:val="24"/>
        </w:rPr>
        <w:sectPr>
          <w:footerReference r:id="rId10" w:type="default"/>
          <w:pgSz w:w="11910" w:h="16840"/>
          <w:pgMar w:top="1440" w:right="1080" w:bottom="1440" w:left="1080" w:header="1000" w:footer="1034" w:gutter="0"/>
          <w:pgBorders w:offsetFrom="page">
            <w:top w:val="single" w:color="auto" w:sz="12" w:space="24"/>
            <w:left w:val="single" w:color="auto" w:sz="12" w:space="24"/>
            <w:bottom w:val="single" w:color="auto" w:sz="12" w:space="24"/>
            <w:right w:val="single" w:color="auto" w:sz="12" w:space="24"/>
          </w:pgBorders>
          <w:pgNumType w:start="1"/>
          <w:cols w:space="720" w:num="1"/>
        </w:sectPr>
      </w:pPr>
      <w:bookmarkStart w:id="7" w:name="_Toc9794"/>
    </w:p>
    <w:bookmarkEnd w:id="0"/>
    <w:p>
      <w:pPr>
        <w:pStyle w:val="31"/>
        <w:numPr>
          <w:ilvl w:val="0"/>
          <w:numId w:val="2"/>
        </w:numPr>
        <w:tabs>
          <w:tab w:val="right" w:leader="dot" w:pos="9880"/>
        </w:tabs>
        <w:outlineLvl w:val="0"/>
        <w:rPr>
          <w:rFonts w:ascii="宋体" w:hAnsi="宋体" w:cs="宋体"/>
          <w:b/>
          <w:bCs/>
          <w:sz w:val="36"/>
          <w:szCs w:val="32"/>
          <w:lang w:val="zh-CN"/>
        </w:rPr>
      </w:pPr>
      <w:bookmarkStart w:id="8" w:name="_Toc3748"/>
      <w:r>
        <w:rPr>
          <w:rFonts w:hint="eastAsia" w:ascii="宋体" w:hAnsi="宋体" w:cs="宋体"/>
          <w:b/>
          <w:bCs/>
          <w:sz w:val="36"/>
          <w:szCs w:val="32"/>
          <w:lang w:val="zh-CN"/>
        </w:rPr>
        <w:t>竞争性磋商公告</w:t>
      </w:r>
      <w:bookmarkEnd w:id="1"/>
      <w:bookmarkEnd w:id="2"/>
      <w:bookmarkEnd w:id="3"/>
      <w:bookmarkEnd w:id="4"/>
      <w:bookmarkEnd w:id="5"/>
      <w:bookmarkEnd w:id="7"/>
      <w:bookmarkEnd w:id="8"/>
    </w:p>
    <w:p>
      <w:pPr>
        <w:pStyle w:val="31"/>
        <w:tabs>
          <w:tab w:val="right" w:leader="dot" w:pos="9880"/>
        </w:tabs>
        <w:ind w:left="3132"/>
        <w:rPr>
          <w:rFonts w:ascii="宋体" w:hAnsi="宋体" w:cs="宋体"/>
          <w:b/>
          <w:bCs/>
          <w:sz w:val="36"/>
          <w:szCs w:val="32"/>
          <w:lang w:val="zh-CN"/>
        </w:rPr>
      </w:pPr>
    </w:p>
    <w:p>
      <w:pPr>
        <w:spacing w:after="240" w:line="360" w:lineRule="auto"/>
        <w:ind w:firstLine="482"/>
        <w:jc w:val="left"/>
        <w:rPr>
          <w:rFonts w:eastAsia="宋体"/>
          <w:color w:val="auto"/>
          <w:sz w:val="24"/>
          <w:szCs w:val="24"/>
          <w:lang w:val="zh-CN"/>
        </w:rPr>
      </w:pPr>
      <w:r>
        <w:rPr>
          <w:rFonts w:hint="eastAsia" w:eastAsia="宋体"/>
          <w:color w:val="auto"/>
          <w:sz w:val="24"/>
          <w:szCs w:val="24"/>
          <w:lang w:val="zh-CN"/>
        </w:rPr>
        <w:t>青海中旭工程项目管理有限公司受</w:t>
      </w:r>
      <w:r>
        <w:rPr>
          <w:rFonts w:hint="eastAsia" w:eastAsia="宋体"/>
          <w:color w:val="auto"/>
          <w:sz w:val="24"/>
          <w:szCs w:val="24"/>
          <w:u w:val="single"/>
        </w:rPr>
        <w:t>青海民族大学</w:t>
      </w:r>
      <w:r>
        <w:rPr>
          <w:rFonts w:hint="eastAsia" w:eastAsia="宋体"/>
          <w:color w:val="auto"/>
          <w:sz w:val="24"/>
          <w:szCs w:val="24"/>
          <w:lang w:val="zh-CN"/>
        </w:rPr>
        <w:t>委托，拟对</w:t>
      </w:r>
      <w:r>
        <w:rPr>
          <w:rFonts w:hint="eastAsia" w:eastAsia="宋体"/>
          <w:color w:val="auto"/>
          <w:sz w:val="24"/>
          <w:szCs w:val="24"/>
          <w:u w:val="single"/>
          <w:lang w:val="zh-CN"/>
        </w:rPr>
        <w:t>“2022年中央支持地方高校改革发展专项</w:t>
      </w:r>
      <w:bookmarkStart w:id="757" w:name="_GoBack"/>
      <w:r>
        <w:rPr>
          <w:rFonts w:hint="eastAsia" w:ascii="黑体" w:hAnsi="黑体" w:eastAsia="黑体" w:cs="黑体"/>
          <w:color w:val="auto"/>
          <w:sz w:val="24"/>
          <w:szCs w:val="24"/>
          <w:u w:val="single"/>
          <w:lang w:val="zh-CN"/>
        </w:rPr>
        <w:t>——</w:t>
      </w:r>
      <w:bookmarkEnd w:id="757"/>
      <w:r>
        <w:rPr>
          <w:rFonts w:hint="eastAsia" w:eastAsia="宋体"/>
          <w:color w:val="auto"/>
          <w:sz w:val="24"/>
          <w:szCs w:val="24"/>
          <w:u w:val="single"/>
          <w:lang w:val="zh-CN"/>
        </w:rPr>
        <w:t>本科教育教学建设（校级精品在线开放课程建设）</w:t>
      </w:r>
      <w:r>
        <w:rPr>
          <w:rFonts w:hint="eastAsia" w:eastAsia="宋体"/>
          <w:color w:val="auto"/>
          <w:sz w:val="24"/>
          <w:szCs w:val="24"/>
          <w:u w:val="single"/>
        </w:rPr>
        <w:t>”（项目编号：青海中旭竞磋（服务）2022-029）</w:t>
      </w:r>
      <w:r>
        <w:rPr>
          <w:rFonts w:hint="eastAsia" w:eastAsia="宋体"/>
          <w:color w:val="auto"/>
          <w:sz w:val="24"/>
          <w:szCs w:val="24"/>
          <w:u w:val="single"/>
          <w:lang w:val="zh-CN"/>
        </w:rPr>
        <w:t>，</w:t>
      </w:r>
      <w:r>
        <w:rPr>
          <w:rFonts w:hint="eastAsia" w:eastAsia="宋体"/>
          <w:color w:val="auto"/>
          <w:sz w:val="24"/>
          <w:szCs w:val="24"/>
          <w:lang w:val="zh-CN"/>
        </w:rPr>
        <w:t>进行国内竞争性磋商采购。现予以公告，欢迎符合条件的供应商前来参加</w:t>
      </w:r>
      <w:r>
        <w:rPr>
          <w:rFonts w:hint="eastAsia" w:eastAsia="宋体"/>
          <w:color w:val="auto"/>
          <w:sz w:val="24"/>
          <w:szCs w:val="24"/>
        </w:rPr>
        <w:t>此次</w:t>
      </w:r>
      <w:r>
        <w:rPr>
          <w:rFonts w:hint="eastAsia" w:eastAsia="宋体"/>
          <w:color w:val="auto"/>
          <w:sz w:val="24"/>
          <w:szCs w:val="24"/>
          <w:lang w:val="zh-CN"/>
        </w:rPr>
        <w:t>磋商。</w:t>
      </w:r>
    </w:p>
    <w:tbl>
      <w:tblPr>
        <w:tblStyle w:val="23"/>
        <w:tblW w:w="9749" w:type="dxa"/>
        <w:jc w:val="center"/>
        <w:tblLayout w:type="fixed"/>
        <w:tblCellMar>
          <w:top w:w="0" w:type="dxa"/>
          <w:left w:w="57" w:type="dxa"/>
          <w:bottom w:w="0" w:type="dxa"/>
          <w:right w:w="57" w:type="dxa"/>
        </w:tblCellMar>
      </w:tblPr>
      <w:tblGrid>
        <w:gridCol w:w="2653"/>
        <w:gridCol w:w="7096"/>
      </w:tblGrid>
      <w:tr>
        <w:tblPrEx>
          <w:tblCellMar>
            <w:top w:w="0" w:type="dxa"/>
            <w:left w:w="57" w:type="dxa"/>
            <w:bottom w:w="0" w:type="dxa"/>
            <w:right w:w="57" w:type="dxa"/>
          </w:tblCellMar>
        </w:tblPrEx>
        <w:trPr>
          <w:trHeight w:val="90" w:hRule="atLeast"/>
          <w:jc w:val="center"/>
        </w:trPr>
        <w:tc>
          <w:tcPr>
            <w:tcW w:w="2653" w:type="dxa"/>
            <w:tcBorders>
              <w:top w:val="single" w:color="000000" w:sz="4" w:space="0"/>
              <w:left w:val="single" w:color="000000" w:sz="4" w:space="0"/>
              <w:bottom w:val="single" w:color="000000" w:sz="4" w:space="0"/>
              <w:right w:val="single" w:color="000000" w:sz="4" w:space="0"/>
            </w:tcBorders>
            <w:noWrap/>
            <w:vAlign w:val="center"/>
          </w:tcPr>
          <w:p>
            <w:pPr>
              <w:pStyle w:val="33"/>
              <w:widowControl w:val="0"/>
              <w:autoSpaceDE w:val="0"/>
              <w:autoSpaceDN w:val="0"/>
              <w:adjustRightInd w:val="0"/>
              <w:spacing w:before="0" w:after="0" w:line="360" w:lineRule="auto"/>
              <w:jc w:val="left"/>
              <w:rPr>
                <w:rFonts w:ascii="宋体" w:hAnsi="宋体" w:eastAsia="宋体" w:cs="宋体"/>
                <w:sz w:val="24"/>
                <w:szCs w:val="24"/>
                <w:lang w:eastAsia="zh-CN"/>
              </w:rPr>
            </w:pPr>
            <w:r>
              <w:rPr>
                <w:rFonts w:hint="eastAsia" w:ascii="宋体" w:hAnsi="宋体" w:eastAsia="宋体" w:cs="宋体"/>
                <w:sz w:val="24"/>
                <w:szCs w:val="24"/>
                <w:lang w:val="zh-CN" w:eastAsia="zh-CN"/>
              </w:rPr>
              <w:t>采购项目编号</w:t>
            </w:r>
          </w:p>
        </w:tc>
        <w:tc>
          <w:tcPr>
            <w:tcW w:w="7096" w:type="dxa"/>
            <w:tcBorders>
              <w:top w:val="single" w:color="000000" w:sz="4" w:space="0"/>
              <w:left w:val="nil"/>
              <w:bottom w:val="single" w:color="000000" w:sz="4" w:space="0"/>
              <w:right w:val="single" w:color="000000" w:sz="4" w:space="0"/>
            </w:tcBorders>
            <w:noWrap/>
            <w:vAlign w:val="center"/>
          </w:tcPr>
          <w:p>
            <w:pPr>
              <w:pStyle w:val="33"/>
              <w:widowControl w:val="0"/>
              <w:autoSpaceDE w:val="0"/>
              <w:autoSpaceDN w:val="0"/>
              <w:adjustRightInd w:val="0"/>
              <w:spacing w:before="0" w:after="0" w:line="360" w:lineRule="auto"/>
              <w:jc w:val="left"/>
              <w:rPr>
                <w:rFonts w:ascii="宋体" w:hAnsi="宋体" w:eastAsia="宋体" w:cs="宋体"/>
                <w:sz w:val="24"/>
                <w:szCs w:val="24"/>
                <w:lang w:val="en-US" w:eastAsia="zh-CN"/>
              </w:rPr>
            </w:pPr>
            <w:r>
              <w:rPr>
                <w:rFonts w:hint="eastAsia" w:ascii="宋体" w:hAnsi="宋体" w:eastAsia="宋体" w:cs="宋体"/>
                <w:sz w:val="24"/>
                <w:szCs w:val="24"/>
                <w:lang w:val="en-US" w:eastAsia="zh-CN"/>
              </w:rPr>
              <w:t>青海中旭竞磋（服务）2022-029</w:t>
            </w:r>
          </w:p>
        </w:tc>
      </w:tr>
      <w:tr>
        <w:tblPrEx>
          <w:tblCellMar>
            <w:top w:w="0" w:type="dxa"/>
            <w:left w:w="57" w:type="dxa"/>
            <w:bottom w:w="0" w:type="dxa"/>
            <w:right w:w="57" w:type="dxa"/>
          </w:tblCellMar>
        </w:tblPrEx>
        <w:trPr>
          <w:trHeight w:val="229" w:hRule="atLeast"/>
          <w:jc w:val="center"/>
        </w:trPr>
        <w:tc>
          <w:tcPr>
            <w:tcW w:w="2653" w:type="dxa"/>
            <w:tcBorders>
              <w:top w:val="single" w:color="000000" w:sz="4" w:space="0"/>
              <w:left w:val="single" w:color="000000" w:sz="4" w:space="0"/>
              <w:bottom w:val="single" w:color="000000" w:sz="4" w:space="0"/>
              <w:right w:val="single" w:color="000000" w:sz="4" w:space="0"/>
            </w:tcBorders>
            <w:noWrap/>
            <w:vAlign w:val="center"/>
          </w:tcPr>
          <w:p>
            <w:pPr>
              <w:pStyle w:val="33"/>
              <w:widowControl w:val="0"/>
              <w:autoSpaceDE w:val="0"/>
              <w:autoSpaceDN w:val="0"/>
              <w:adjustRightInd w:val="0"/>
              <w:spacing w:before="0" w:after="0" w:line="360" w:lineRule="auto"/>
              <w:jc w:val="left"/>
              <w:rPr>
                <w:rFonts w:ascii="宋体" w:hAnsi="宋体" w:eastAsia="宋体" w:cs="宋体"/>
                <w:sz w:val="24"/>
                <w:szCs w:val="24"/>
                <w:lang w:eastAsia="zh-CN"/>
              </w:rPr>
            </w:pPr>
            <w:r>
              <w:rPr>
                <w:rFonts w:hint="eastAsia" w:ascii="宋体" w:hAnsi="宋体" w:eastAsia="宋体" w:cs="宋体"/>
                <w:sz w:val="24"/>
                <w:szCs w:val="24"/>
                <w:lang w:val="zh-CN" w:eastAsia="zh-CN"/>
              </w:rPr>
              <w:t>采购项目名称</w:t>
            </w:r>
          </w:p>
        </w:tc>
        <w:tc>
          <w:tcPr>
            <w:tcW w:w="7096" w:type="dxa"/>
            <w:tcBorders>
              <w:top w:val="single" w:color="000000" w:sz="4" w:space="0"/>
              <w:left w:val="nil"/>
              <w:bottom w:val="single" w:color="000000" w:sz="4" w:space="0"/>
              <w:right w:val="single" w:color="000000" w:sz="4" w:space="0"/>
            </w:tcBorders>
            <w:noWrap/>
            <w:vAlign w:val="center"/>
          </w:tcPr>
          <w:p>
            <w:pPr>
              <w:pStyle w:val="33"/>
              <w:widowControl w:val="0"/>
              <w:autoSpaceDE w:val="0"/>
              <w:autoSpaceDN w:val="0"/>
              <w:adjustRightInd w:val="0"/>
              <w:spacing w:before="0" w:after="0" w:line="360" w:lineRule="auto"/>
              <w:jc w:val="left"/>
              <w:rPr>
                <w:rFonts w:ascii="宋体" w:hAnsi="宋体" w:eastAsia="宋体" w:cs="宋体"/>
                <w:sz w:val="24"/>
                <w:szCs w:val="24"/>
                <w:lang w:val="en-US" w:eastAsia="zh-CN"/>
              </w:rPr>
            </w:pPr>
            <w:r>
              <w:rPr>
                <w:rFonts w:hint="eastAsia" w:ascii="宋体" w:hAnsi="宋体" w:eastAsia="宋体" w:cs="宋体"/>
                <w:sz w:val="24"/>
                <w:szCs w:val="24"/>
                <w:lang w:val="zh-CN" w:eastAsia="zh-CN"/>
              </w:rPr>
              <w:t>2022年中央支持地方高校改革发展专项</w:t>
            </w:r>
            <w:r>
              <w:rPr>
                <w:rFonts w:hint="eastAsia" w:ascii="黑体" w:hAnsi="黑体" w:eastAsia="黑体" w:cs="黑体"/>
                <w:sz w:val="24"/>
                <w:szCs w:val="24"/>
                <w:lang w:val="zh-CN" w:eastAsia="zh-CN"/>
              </w:rPr>
              <w:t>——</w:t>
            </w:r>
            <w:r>
              <w:rPr>
                <w:rFonts w:hint="eastAsia" w:ascii="宋体" w:hAnsi="宋体" w:eastAsia="宋体" w:cs="宋体"/>
                <w:sz w:val="24"/>
                <w:szCs w:val="24"/>
                <w:lang w:val="zh-CN" w:eastAsia="zh-CN"/>
              </w:rPr>
              <w:t>本科教育教学建设（校级精品在线开放课程建设）</w:t>
            </w:r>
          </w:p>
        </w:tc>
      </w:tr>
      <w:tr>
        <w:tblPrEx>
          <w:tblCellMar>
            <w:top w:w="0" w:type="dxa"/>
            <w:left w:w="57" w:type="dxa"/>
            <w:bottom w:w="0" w:type="dxa"/>
            <w:right w:w="57" w:type="dxa"/>
          </w:tblCellMar>
        </w:tblPrEx>
        <w:trPr>
          <w:trHeight w:val="90" w:hRule="atLeast"/>
          <w:jc w:val="center"/>
        </w:trPr>
        <w:tc>
          <w:tcPr>
            <w:tcW w:w="2653" w:type="dxa"/>
            <w:tcBorders>
              <w:top w:val="single" w:color="000000" w:sz="4" w:space="0"/>
              <w:left w:val="single" w:color="000000" w:sz="4" w:space="0"/>
              <w:bottom w:val="single" w:color="000000" w:sz="4" w:space="0"/>
              <w:right w:val="single" w:color="000000" w:sz="4" w:space="0"/>
            </w:tcBorders>
            <w:noWrap/>
            <w:vAlign w:val="center"/>
          </w:tcPr>
          <w:p>
            <w:pPr>
              <w:pStyle w:val="33"/>
              <w:widowControl w:val="0"/>
              <w:autoSpaceDE w:val="0"/>
              <w:autoSpaceDN w:val="0"/>
              <w:adjustRightInd w:val="0"/>
              <w:spacing w:before="0" w:after="0" w:line="360" w:lineRule="auto"/>
              <w:jc w:val="left"/>
              <w:rPr>
                <w:rFonts w:ascii="宋体" w:hAnsi="宋体" w:eastAsia="宋体" w:cs="宋体"/>
                <w:sz w:val="24"/>
                <w:szCs w:val="24"/>
                <w:lang w:eastAsia="zh-CN"/>
              </w:rPr>
            </w:pPr>
            <w:r>
              <w:rPr>
                <w:rFonts w:hint="eastAsia" w:ascii="宋体" w:hAnsi="宋体" w:eastAsia="宋体" w:cs="宋体"/>
                <w:sz w:val="24"/>
                <w:szCs w:val="24"/>
                <w:lang w:val="zh-CN" w:eastAsia="zh-CN"/>
              </w:rPr>
              <w:t>采购方式</w:t>
            </w:r>
          </w:p>
        </w:tc>
        <w:tc>
          <w:tcPr>
            <w:tcW w:w="7096" w:type="dxa"/>
            <w:tcBorders>
              <w:top w:val="single" w:color="000000" w:sz="4" w:space="0"/>
              <w:left w:val="nil"/>
              <w:bottom w:val="single" w:color="000000" w:sz="4" w:space="0"/>
              <w:right w:val="single" w:color="000000" w:sz="4" w:space="0"/>
            </w:tcBorders>
            <w:noWrap/>
            <w:vAlign w:val="center"/>
          </w:tcPr>
          <w:p>
            <w:pPr>
              <w:pStyle w:val="33"/>
              <w:widowControl w:val="0"/>
              <w:autoSpaceDE w:val="0"/>
              <w:autoSpaceDN w:val="0"/>
              <w:adjustRightInd w:val="0"/>
              <w:spacing w:before="0" w:after="0" w:line="360" w:lineRule="auto"/>
              <w:jc w:val="left"/>
              <w:rPr>
                <w:rFonts w:ascii="宋体" w:hAnsi="宋体" w:eastAsia="宋体" w:cs="宋体"/>
                <w:sz w:val="24"/>
                <w:szCs w:val="24"/>
                <w:lang w:val="en-US" w:eastAsia="zh-CN"/>
              </w:rPr>
            </w:pPr>
            <w:r>
              <w:rPr>
                <w:rFonts w:hint="eastAsia" w:ascii="宋体" w:hAnsi="宋体" w:eastAsia="宋体" w:cs="宋体"/>
                <w:sz w:val="24"/>
                <w:szCs w:val="24"/>
                <w:lang w:val="en-US" w:eastAsia="zh-CN"/>
              </w:rPr>
              <w:t>竞争性</w:t>
            </w:r>
            <w:r>
              <w:rPr>
                <w:rFonts w:hint="eastAsia" w:ascii="宋体" w:hAnsi="宋体" w:eastAsia="宋体" w:cs="宋体"/>
                <w:sz w:val="24"/>
                <w:szCs w:val="24"/>
                <w:lang w:val="zh-CN" w:eastAsia="zh-CN"/>
              </w:rPr>
              <w:t>磋商</w:t>
            </w:r>
          </w:p>
        </w:tc>
      </w:tr>
      <w:tr>
        <w:tblPrEx>
          <w:tblCellMar>
            <w:top w:w="0" w:type="dxa"/>
            <w:left w:w="57" w:type="dxa"/>
            <w:bottom w:w="0" w:type="dxa"/>
            <w:right w:w="57" w:type="dxa"/>
          </w:tblCellMar>
        </w:tblPrEx>
        <w:trPr>
          <w:trHeight w:val="136" w:hRule="atLeast"/>
          <w:jc w:val="center"/>
        </w:trPr>
        <w:tc>
          <w:tcPr>
            <w:tcW w:w="2653" w:type="dxa"/>
            <w:tcBorders>
              <w:top w:val="single" w:color="000000" w:sz="4" w:space="0"/>
              <w:left w:val="single" w:color="000000" w:sz="4" w:space="0"/>
              <w:bottom w:val="single" w:color="000000" w:sz="4" w:space="0"/>
              <w:right w:val="single" w:color="000000" w:sz="4" w:space="0"/>
            </w:tcBorders>
            <w:noWrap/>
            <w:vAlign w:val="center"/>
          </w:tcPr>
          <w:p>
            <w:pPr>
              <w:pStyle w:val="33"/>
              <w:widowControl w:val="0"/>
              <w:autoSpaceDE w:val="0"/>
              <w:autoSpaceDN w:val="0"/>
              <w:adjustRightInd w:val="0"/>
              <w:spacing w:before="0" w:after="0" w:line="360" w:lineRule="auto"/>
              <w:jc w:val="left"/>
              <w:rPr>
                <w:rFonts w:ascii="宋体" w:hAnsi="宋体" w:eastAsia="宋体" w:cs="宋体"/>
                <w:sz w:val="24"/>
                <w:szCs w:val="24"/>
                <w:lang w:eastAsia="zh-CN"/>
              </w:rPr>
            </w:pPr>
            <w:r>
              <w:rPr>
                <w:rFonts w:hint="eastAsia" w:ascii="宋体" w:hAnsi="宋体" w:eastAsia="宋体" w:cs="宋体"/>
                <w:sz w:val="24"/>
                <w:szCs w:val="24"/>
                <w:lang w:val="zh-CN" w:eastAsia="zh-CN"/>
              </w:rPr>
              <w:t>采购预算额度</w:t>
            </w:r>
          </w:p>
        </w:tc>
        <w:tc>
          <w:tcPr>
            <w:tcW w:w="7096" w:type="dxa"/>
            <w:tcBorders>
              <w:top w:val="single" w:color="000000" w:sz="4" w:space="0"/>
              <w:left w:val="nil"/>
              <w:bottom w:val="single" w:color="000000" w:sz="4" w:space="0"/>
              <w:right w:val="single" w:color="000000" w:sz="4" w:space="0"/>
            </w:tcBorders>
            <w:noWrap/>
            <w:vAlign w:val="center"/>
          </w:tcPr>
          <w:p>
            <w:pPr>
              <w:pStyle w:val="33"/>
              <w:widowControl w:val="0"/>
              <w:autoSpaceDE w:val="0"/>
              <w:autoSpaceDN w:val="0"/>
              <w:adjustRightInd w:val="0"/>
              <w:spacing w:before="0" w:after="0" w:line="360" w:lineRule="auto"/>
              <w:jc w:val="left"/>
              <w:rPr>
                <w:rFonts w:ascii="宋体" w:hAnsi="宋体" w:eastAsia="宋体" w:cs="宋体"/>
                <w:sz w:val="24"/>
                <w:szCs w:val="24"/>
                <w:lang w:val="en-US" w:eastAsia="zh-CN"/>
              </w:rPr>
            </w:pPr>
            <w:r>
              <w:rPr>
                <w:rFonts w:hint="eastAsia" w:ascii="宋体" w:hAnsi="宋体" w:eastAsia="宋体" w:cs="宋体"/>
                <w:sz w:val="24"/>
                <w:szCs w:val="24"/>
                <w:lang w:val="en-US" w:eastAsia="zh-CN"/>
              </w:rPr>
              <w:t>人民币1500000.00元（大写：壹佰伍拾万元整）</w:t>
            </w:r>
          </w:p>
        </w:tc>
      </w:tr>
      <w:tr>
        <w:tblPrEx>
          <w:tblCellMar>
            <w:top w:w="0" w:type="dxa"/>
            <w:left w:w="57" w:type="dxa"/>
            <w:bottom w:w="0" w:type="dxa"/>
            <w:right w:w="57" w:type="dxa"/>
          </w:tblCellMar>
        </w:tblPrEx>
        <w:trPr>
          <w:trHeight w:val="136" w:hRule="atLeast"/>
          <w:jc w:val="center"/>
        </w:trPr>
        <w:tc>
          <w:tcPr>
            <w:tcW w:w="2653"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left"/>
              <w:rPr>
                <w:rFonts w:eastAsia="宋体"/>
                <w:color w:val="auto"/>
                <w:sz w:val="24"/>
                <w:szCs w:val="24"/>
                <w:lang w:val="ru-RU"/>
              </w:rPr>
            </w:pPr>
            <w:r>
              <w:rPr>
                <w:rFonts w:hint="eastAsia" w:eastAsia="宋体"/>
                <w:color w:val="auto"/>
                <w:sz w:val="24"/>
                <w:szCs w:val="24"/>
                <w:lang w:val="ru-RU"/>
              </w:rPr>
              <w:t>项目分包个数</w:t>
            </w:r>
          </w:p>
        </w:tc>
        <w:tc>
          <w:tcPr>
            <w:tcW w:w="7096" w:type="dxa"/>
            <w:tcBorders>
              <w:top w:val="single" w:color="000000" w:sz="4" w:space="0"/>
              <w:left w:val="nil"/>
              <w:bottom w:val="single" w:color="000000" w:sz="4" w:space="0"/>
              <w:right w:val="single" w:color="000000" w:sz="4" w:space="0"/>
            </w:tcBorders>
            <w:noWrap/>
            <w:vAlign w:val="center"/>
          </w:tcPr>
          <w:p>
            <w:pPr>
              <w:pStyle w:val="33"/>
              <w:widowControl w:val="0"/>
              <w:autoSpaceDE w:val="0"/>
              <w:autoSpaceDN w:val="0"/>
              <w:adjustRightInd w:val="0"/>
              <w:spacing w:before="0" w:after="0" w:line="360" w:lineRule="auto"/>
              <w:jc w:val="left"/>
              <w:rPr>
                <w:rFonts w:ascii="宋体" w:hAnsi="宋体" w:eastAsia="宋体" w:cs="宋体"/>
                <w:sz w:val="24"/>
                <w:szCs w:val="24"/>
                <w:lang w:val="en-US" w:eastAsia="zh-CN"/>
              </w:rPr>
            </w:pPr>
            <w:r>
              <w:rPr>
                <w:rFonts w:hint="eastAsia" w:ascii="宋体" w:hAnsi="宋体" w:eastAsia="宋体" w:cs="宋体"/>
                <w:sz w:val="24"/>
                <w:szCs w:val="24"/>
                <w:lang w:val="en-US" w:eastAsia="zh-CN"/>
              </w:rPr>
              <w:t>无</w:t>
            </w:r>
          </w:p>
        </w:tc>
      </w:tr>
      <w:tr>
        <w:tblPrEx>
          <w:tblCellMar>
            <w:top w:w="0" w:type="dxa"/>
            <w:left w:w="57" w:type="dxa"/>
            <w:bottom w:w="0" w:type="dxa"/>
            <w:right w:w="57" w:type="dxa"/>
          </w:tblCellMar>
        </w:tblPrEx>
        <w:trPr>
          <w:trHeight w:val="136" w:hRule="atLeast"/>
          <w:jc w:val="center"/>
        </w:trPr>
        <w:tc>
          <w:tcPr>
            <w:tcW w:w="2653"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left"/>
              <w:rPr>
                <w:rFonts w:eastAsia="宋体"/>
                <w:color w:val="auto"/>
                <w:sz w:val="24"/>
                <w:szCs w:val="24"/>
              </w:rPr>
            </w:pPr>
            <w:r>
              <w:rPr>
                <w:rFonts w:hint="eastAsia" w:eastAsia="宋体"/>
                <w:color w:val="auto"/>
                <w:sz w:val="24"/>
                <w:szCs w:val="24"/>
              </w:rPr>
              <w:t>采购项目要求</w:t>
            </w:r>
          </w:p>
        </w:tc>
        <w:tc>
          <w:tcPr>
            <w:tcW w:w="7096" w:type="dxa"/>
            <w:tcBorders>
              <w:top w:val="single" w:color="000000" w:sz="4" w:space="0"/>
              <w:left w:val="nil"/>
              <w:bottom w:val="single" w:color="000000" w:sz="4" w:space="0"/>
              <w:right w:val="single" w:color="000000" w:sz="4" w:space="0"/>
            </w:tcBorders>
            <w:noWrap/>
            <w:vAlign w:val="center"/>
          </w:tcPr>
          <w:p>
            <w:pPr>
              <w:pStyle w:val="33"/>
              <w:widowControl w:val="0"/>
              <w:autoSpaceDE w:val="0"/>
              <w:autoSpaceDN w:val="0"/>
              <w:adjustRightInd w:val="0"/>
              <w:spacing w:before="0" w:after="0" w:line="360" w:lineRule="auto"/>
              <w:jc w:val="left"/>
              <w:rPr>
                <w:rFonts w:ascii="宋体" w:hAnsi="宋体" w:eastAsia="宋体" w:cs="宋体"/>
                <w:sz w:val="24"/>
                <w:szCs w:val="24"/>
                <w:lang w:val="en-US" w:eastAsia="zh-CN"/>
              </w:rPr>
            </w:pPr>
            <w:r>
              <w:rPr>
                <w:rFonts w:hint="eastAsia" w:ascii="宋体" w:hAnsi="宋体" w:eastAsia="宋体" w:cs="宋体"/>
                <w:sz w:val="24"/>
                <w:szCs w:val="24"/>
                <w:lang w:val="en-US" w:eastAsia="zh-CN"/>
              </w:rPr>
              <w:t>具体内容详见《竞争性磋商文件》</w:t>
            </w:r>
          </w:p>
        </w:tc>
      </w:tr>
      <w:tr>
        <w:tblPrEx>
          <w:tblCellMar>
            <w:top w:w="0" w:type="dxa"/>
            <w:left w:w="57" w:type="dxa"/>
            <w:bottom w:w="0" w:type="dxa"/>
            <w:right w:w="57" w:type="dxa"/>
          </w:tblCellMar>
        </w:tblPrEx>
        <w:trPr>
          <w:trHeight w:val="392" w:hRule="atLeast"/>
          <w:jc w:val="center"/>
        </w:trPr>
        <w:tc>
          <w:tcPr>
            <w:tcW w:w="2653"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left"/>
              <w:rPr>
                <w:rFonts w:eastAsia="宋体"/>
                <w:color w:val="auto"/>
                <w:sz w:val="24"/>
                <w:szCs w:val="24"/>
              </w:rPr>
            </w:pPr>
            <w:r>
              <w:rPr>
                <w:rFonts w:hint="eastAsia" w:eastAsia="宋体"/>
                <w:color w:val="auto"/>
                <w:sz w:val="24"/>
                <w:szCs w:val="24"/>
              </w:rPr>
              <w:t>供应商资格条件</w:t>
            </w:r>
          </w:p>
        </w:tc>
        <w:tc>
          <w:tcPr>
            <w:tcW w:w="7096" w:type="dxa"/>
            <w:tcBorders>
              <w:top w:val="single" w:color="000000" w:sz="4" w:space="0"/>
              <w:left w:val="nil"/>
              <w:bottom w:val="single" w:color="000000" w:sz="4" w:space="0"/>
              <w:right w:val="single" w:color="000000" w:sz="4" w:space="0"/>
            </w:tcBorders>
            <w:noWrap/>
            <w:vAlign w:val="center"/>
          </w:tcPr>
          <w:p>
            <w:pPr>
              <w:pStyle w:val="35"/>
              <w:spacing w:line="360" w:lineRule="auto"/>
              <w:ind w:firstLine="0" w:firstLineChars="0"/>
              <w:jc w:val="left"/>
              <w:rPr>
                <w:rFonts w:ascii="宋体" w:hAnsi="宋体" w:eastAsia="宋体" w:cs="宋体"/>
                <w:bCs w:val="0"/>
                <w:color w:val="auto"/>
                <w:szCs w:val="24"/>
                <w:lang w:val="zh-CN"/>
              </w:rPr>
            </w:pPr>
            <w:r>
              <w:rPr>
                <w:rFonts w:hint="eastAsia" w:ascii="宋体" w:hAnsi="宋体" w:eastAsia="宋体" w:cs="宋体"/>
                <w:bCs w:val="0"/>
                <w:color w:val="auto"/>
                <w:szCs w:val="24"/>
                <w:lang w:val="zh-CN"/>
              </w:rPr>
              <w:t>1、符合《政府采购法》第22条条件，并提供以下材料：</w:t>
            </w:r>
          </w:p>
          <w:p>
            <w:pPr>
              <w:pStyle w:val="35"/>
              <w:spacing w:line="360" w:lineRule="auto"/>
              <w:ind w:firstLine="0" w:firstLineChars="0"/>
              <w:jc w:val="left"/>
              <w:rPr>
                <w:rFonts w:ascii="宋体" w:hAnsi="宋体" w:eastAsia="宋体" w:cs="宋体"/>
                <w:bCs w:val="0"/>
                <w:color w:val="auto"/>
                <w:szCs w:val="24"/>
                <w:lang w:val="zh-CN"/>
              </w:rPr>
            </w:pPr>
            <w:r>
              <w:rPr>
                <w:rFonts w:hint="eastAsia" w:ascii="宋体" w:hAnsi="宋体" w:eastAsia="宋体" w:cs="宋体"/>
                <w:bCs w:val="0"/>
                <w:color w:val="auto"/>
                <w:szCs w:val="24"/>
                <w:lang w:val="zh-CN"/>
              </w:rPr>
              <w:t xml:space="preserve">（1）供应商的营业执照等证明文件，自然人的身份证明； </w:t>
            </w:r>
          </w:p>
          <w:p>
            <w:pPr>
              <w:pStyle w:val="35"/>
              <w:spacing w:line="360" w:lineRule="auto"/>
              <w:ind w:firstLine="0" w:firstLineChars="0"/>
              <w:jc w:val="left"/>
              <w:rPr>
                <w:rFonts w:ascii="宋体" w:hAnsi="宋体" w:eastAsia="宋体" w:cs="宋体"/>
                <w:bCs w:val="0"/>
                <w:color w:val="auto"/>
                <w:szCs w:val="24"/>
                <w:lang w:val="zh-CN"/>
              </w:rPr>
            </w:pPr>
            <w:r>
              <w:rPr>
                <w:rFonts w:hint="eastAsia" w:ascii="宋体" w:hAnsi="宋体" w:eastAsia="宋体" w:cs="宋体"/>
                <w:bCs w:val="0"/>
                <w:color w:val="auto"/>
                <w:szCs w:val="24"/>
                <w:lang w:val="zh-CN"/>
              </w:rPr>
              <w:t xml:space="preserve">（2）财务状况报告和依法缴纳税收和社会保障资金的相关材料； </w:t>
            </w:r>
          </w:p>
          <w:p>
            <w:pPr>
              <w:pStyle w:val="35"/>
              <w:spacing w:line="360" w:lineRule="auto"/>
              <w:ind w:firstLine="0" w:firstLineChars="0"/>
              <w:jc w:val="left"/>
              <w:rPr>
                <w:rFonts w:ascii="宋体" w:hAnsi="宋体" w:eastAsia="宋体" w:cs="宋体"/>
                <w:bCs w:val="0"/>
                <w:color w:val="auto"/>
                <w:szCs w:val="24"/>
                <w:lang w:val="zh-CN"/>
              </w:rPr>
            </w:pPr>
            <w:r>
              <w:rPr>
                <w:rFonts w:hint="eastAsia" w:ascii="宋体" w:hAnsi="宋体" w:eastAsia="宋体" w:cs="宋体"/>
                <w:bCs w:val="0"/>
                <w:color w:val="auto"/>
                <w:szCs w:val="24"/>
                <w:lang w:val="zh-CN"/>
              </w:rPr>
              <w:t>（3）具备履行合同所必须的设备和专业技术能力的证明材料；</w:t>
            </w:r>
          </w:p>
          <w:p>
            <w:pPr>
              <w:pStyle w:val="35"/>
              <w:spacing w:line="360" w:lineRule="auto"/>
              <w:ind w:firstLine="0" w:firstLineChars="0"/>
              <w:jc w:val="left"/>
              <w:rPr>
                <w:rFonts w:ascii="宋体" w:hAnsi="宋体" w:eastAsia="宋体" w:cs="宋体"/>
                <w:bCs w:val="0"/>
                <w:color w:val="auto"/>
                <w:szCs w:val="24"/>
                <w:lang w:val="zh-CN"/>
              </w:rPr>
            </w:pPr>
            <w:r>
              <w:rPr>
                <w:rFonts w:hint="eastAsia" w:ascii="宋体" w:hAnsi="宋体" w:eastAsia="宋体" w:cs="宋体"/>
                <w:bCs w:val="0"/>
                <w:color w:val="auto"/>
                <w:szCs w:val="24"/>
                <w:lang w:val="zh-CN"/>
              </w:rPr>
              <w:t>（4）参加政府采购活动前3年内在经营活动中没有重大违法记录的书面声明；</w:t>
            </w:r>
          </w:p>
          <w:p>
            <w:pPr>
              <w:pStyle w:val="35"/>
              <w:spacing w:line="360" w:lineRule="auto"/>
              <w:ind w:firstLine="0" w:firstLineChars="0"/>
              <w:jc w:val="left"/>
              <w:rPr>
                <w:rFonts w:ascii="宋体" w:hAnsi="宋体" w:eastAsia="宋体" w:cs="宋体"/>
                <w:bCs w:val="0"/>
                <w:color w:val="auto"/>
                <w:szCs w:val="24"/>
                <w:lang w:val="zh-CN"/>
              </w:rPr>
            </w:pPr>
            <w:r>
              <w:rPr>
                <w:rFonts w:hint="eastAsia" w:ascii="宋体" w:hAnsi="宋体" w:eastAsia="宋体" w:cs="宋体"/>
                <w:bCs w:val="0"/>
                <w:color w:val="auto"/>
                <w:szCs w:val="24"/>
                <w:lang w:val="zh-CN"/>
              </w:rPr>
              <w:t>（5）具备法律、行政法规规定的其他条件的证明材料。</w:t>
            </w:r>
          </w:p>
          <w:p>
            <w:pPr>
              <w:pStyle w:val="35"/>
              <w:spacing w:line="360" w:lineRule="auto"/>
              <w:ind w:firstLine="0" w:firstLineChars="0"/>
              <w:jc w:val="left"/>
              <w:rPr>
                <w:rFonts w:ascii="宋体" w:hAnsi="宋体" w:eastAsia="宋体" w:cs="宋体"/>
                <w:bCs w:val="0"/>
                <w:color w:val="auto"/>
                <w:szCs w:val="24"/>
                <w:lang w:val="zh-CN"/>
              </w:rPr>
            </w:pPr>
            <w:r>
              <w:rPr>
                <w:rFonts w:hint="eastAsia" w:ascii="宋体" w:hAnsi="宋体" w:eastAsia="宋体" w:cs="宋体"/>
                <w:bCs w:val="0"/>
                <w:color w:val="auto"/>
                <w:szCs w:val="24"/>
                <w:lang w:val="zh-CN"/>
              </w:rPr>
              <w:t>2、单位负责人为同一人或者存在直接控股、管理关系的不同供应商，不得参加同一合同项下的政府采购活动。否则，皆取消投标资格。</w:t>
            </w:r>
          </w:p>
          <w:p>
            <w:pPr>
              <w:pStyle w:val="35"/>
              <w:spacing w:line="360" w:lineRule="auto"/>
              <w:ind w:firstLine="0" w:firstLineChars="0"/>
              <w:jc w:val="left"/>
              <w:rPr>
                <w:rFonts w:ascii="宋体" w:hAnsi="宋体" w:eastAsia="宋体" w:cs="宋体"/>
                <w:bCs w:val="0"/>
                <w:color w:val="auto"/>
                <w:szCs w:val="24"/>
                <w:lang w:val="zh-CN"/>
              </w:rPr>
            </w:pPr>
            <w:r>
              <w:rPr>
                <w:rFonts w:hint="eastAsia" w:ascii="宋体" w:hAnsi="宋体" w:eastAsia="宋体" w:cs="宋体"/>
                <w:bCs w:val="0"/>
                <w:color w:val="auto"/>
                <w:szCs w:val="24"/>
                <w:lang w:val="zh-CN"/>
              </w:rPr>
              <w:t>3、为本采购项目提供整体设计、规范编制或者项目管理、监理、检测等服务的供应商，不得再参加该采购项目的其他采购活动。</w:t>
            </w:r>
          </w:p>
          <w:p>
            <w:pPr>
              <w:pStyle w:val="35"/>
              <w:spacing w:line="360" w:lineRule="auto"/>
              <w:ind w:firstLine="0" w:firstLineChars="0"/>
              <w:jc w:val="left"/>
              <w:rPr>
                <w:rFonts w:ascii="宋体" w:hAnsi="宋体" w:eastAsia="宋体" w:cs="宋体"/>
                <w:bCs w:val="0"/>
                <w:color w:val="auto"/>
                <w:szCs w:val="24"/>
                <w:lang w:val="zh-CN"/>
              </w:rPr>
            </w:pPr>
            <w:r>
              <w:rPr>
                <w:rFonts w:hint="eastAsia" w:ascii="宋体" w:hAnsi="宋体" w:eastAsia="宋体" w:cs="宋体"/>
                <w:bCs w:val="0"/>
                <w:color w:val="auto"/>
                <w:szCs w:val="24"/>
                <w:lang w:val="zh-CN"/>
              </w:rPr>
              <w:t>4、本项目不接受供应商以联合体方式进行投标。</w:t>
            </w:r>
          </w:p>
          <w:p>
            <w:pPr>
              <w:pStyle w:val="35"/>
              <w:spacing w:line="360" w:lineRule="auto"/>
              <w:ind w:firstLine="0" w:firstLineChars="0"/>
              <w:jc w:val="left"/>
              <w:rPr>
                <w:rFonts w:ascii="宋体" w:hAnsi="宋体" w:eastAsia="宋体" w:cs="宋体"/>
                <w:bCs w:val="0"/>
                <w:color w:val="auto"/>
                <w:szCs w:val="24"/>
                <w:lang w:val="zh-CN"/>
              </w:rPr>
            </w:pPr>
            <w:r>
              <w:rPr>
                <w:rFonts w:hint="eastAsia" w:ascii="宋体" w:hAnsi="宋体" w:eastAsia="宋体" w:cs="宋体"/>
                <w:bCs w:val="0"/>
                <w:color w:val="auto"/>
                <w:szCs w:val="24"/>
                <w:lang w:val="zh-CN"/>
              </w:rPr>
              <w:t>5、经信用中国（www.creditchina.gov.cn）、中国政府采购网（www.ccgp.gov.cn）等渠道查询后，列入失信被执行人、重大税收违法案件当事人名单、政府采购严重违法失信行为记录名单的，取消投标资格。（提供“信用中国”网站的查询截图，时间为投标截止时间前20日内）</w:t>
            </w:r>
          </w:p>
          <w:p>
            <w:pPr>
              <w:widowControl/>
              <w:spacing w:line="360" w:lineRule="auto"/>
              <w:jc w:val="left"/>
              <w:rPr>
                <w:rFonts w:eastAsia="宋体"/>
                <w:color w:val="auto"/>
                <w:sz w:val="24"/>
                <w:szCs w:val="24"/>
              </w:rPr>
            </w:pPr>
            <w:r>
              <w:rPr>
                <w:rFonts w:hint="eastAsia" w:eastAsia="宋体"/>
                <w:color w:val="auto"/>
                <w:sz w:val="24"/>
                <w:szCs w:val="24"/>
                <w:lang w:val="zh-CN"/>
              </w:rPr>
              <w:t>6、其他资质条件：</w:t>
            </w:r>
            <w:r>
              <w:rPr>
                <w:rFonts w:eastAsia="宋体"/>
                <w:color w:val="auto"/>
                <w:sz w:val="24"/>
                <w:szCs w:val="24"/>
                <w:lang w:val="zh-CN"/>
              </w:rPr>
              <w:t>根据《关于进一步加大政府采购支持中小企业力度的通知》（财库〔2022〕19号）的相关规定，主动落实《政府采购促进中小企业发展管理办法》（财库〔2020〕46号的要求，本项目专门面向中小企业进行采购。</w:t>
            </w:r>
          </w:p>
        </w:tc>
      </w:tr>
      <w:tr>
        <w:tblPrEx>
          <w:tblCellMar>
            <w:top w:w="0" w:type="dxa"/>
            <w:left w:w="57" w:type="dxa"/>
            <w:bottom w:w="0" w:type="dxa"/>
            <w:right w:w="57" w:type="dxa"/>
          </w:tblCellMar>
        </w:tblPrEx>
        <w:trPr>
          <w:trHeight w:val="653" w:hRule="atLeast"/>
          <w:jc w:val="center"/>
        </w:trPr>
        <w:tc>
          <w:tcPr>
            <w:tcW w:w="2653"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left"/>
              <w:rPr>
                <w:rFonts w:eastAsia="宋体"/>
                <w:color w:val="auto"/>
                <w:sz w:val="24"/>
                <w:szCs w:val="24"/>
              </w:rPr>
            </w:pPr>
            <w:r>
              <w:rPr>
                <w:rFonts w:hint="eastAsia" w:eastAsia="宋体"/>
                <w:color w:val="auto"/>
                <w:sz w:val="24"/>
                <w:szCs w:val="24"/>
                <w:lang w:val="zh-CN"/>
              </w:rPr>
              <w:t>公告发布时间</w:t>
            </w:r>
          </w:p>
        </w:tc>
        <w:tc>
          <w:tcPr>
            <w:tcW w:w="7096" w:type="dxa"/>
            <w:tcBorders>
              <w:top w:val="single" w:color="000000" w:sz="4" w:space="0"/>
              <w:left w:val="nil"/>
              <w:bottom w:val="single" w:color="000000" w:sz="4" w:space="0"/>
              <w:right w:val="single" w:color="000000" w:sz="4" w:space="0"/>
            </w:tcBorders>
            <w:noWrap/>
            <w:vAlign w:val="center"/>
          </w:tcPr>
          <w:p>
            <w:pPr>
              <w:spacing w:line="360" w:lineRule="auto"/>
              <w:jc w:val="left"/>
              <w:rPr>
                <w:rFonts w:eastAsia="宋体"/>
                <w:color w:val="auto"/>
                <w:sz w:val="24"/>
                <w:szCs w:val="24"/>
              </w:rPr>
            </w:pPr>
            <w:r>
              <w:rPr>
                <w:rFonts w:hint="eastAsia" w:eastAsia="宋体"/>
                <w:color w:val="auto"/>
                <w:sz w:val="24"/>
                <w:szCs w:val="24"/>
                <w:lang w:val="zh-CN"/>
              </w:rPr>
              <w:t>2022年0</w:t>
            </w:r>
            <w:r>
              <w:rPr>
                <w:rFonts w:hint="eastAsia" w:eastAsia="宋体"/>
                <w:color w:val="auto"/>
                <w:sz w:val="24"/>
                <w:szCs w:val="24"/>
              </w:rPr>
              <w:t>7</w:t>
            </w:r>
            <w:r>
              <w:rPr>
                <w:rFonts w:hint="eastAsia" w:eastAsia="宋体"/>
                <w:color w:val="auto"/>
                <w:sz w:val="24"/>
                <w:szCs w:val="24"/>
                <w:lang w:val="zh-CN"/>
              </w:rPr>
              <w:t>月</w:t>
            </w:r>
            <w:r>
              <w:rPr>
                <w:rFonts w:hint="eastAsia" w:eastAsia="宋体"/>
                <w:color w:val="auto"/>
                <w:sz w:val="24"/>
                <w:szCs w:val="24"/>
                <w:lang w:val="en-US" w:eastAsia="zh-CN"/>
              </w:rPr>
              <w:t>20</w:t>
            </w:r>
            <w:r>
              <w:rPr>
                <w:rFonts w:hint="eastAsia" w:eastAsia="宋体"/>
                <w:color w:val="auto"/>
                <w:sz w:val="24"/>
                <w:szCs w:val="24"/>
                <w:lang w:val="zh-CN"/>
              </w:rPr>
              <w:t>日</w:t>
            </w:r>
          </w:p>
        </w:tc>
      </w:tr>
      <w:tr>
        <w:tblPrEx>
          <w:tblCellMar>
            <w:top w:w="0" w:type="dxa"/>
            <w:left w:w="57" w:type="dxa"/>
            <w:bottom w:w="0" w:type="dxa"/>
            <w:right w:w="57" w:type="dxa"/>
          </w:tblCellMar>
        </w:tblPrEx>
        <w:trPr>
          <w:trHeight w:val="1003" w:hRule="atLeast"/>
          <w:jc w:val="center"/>
        </w:trPr>
        <w:tc>
          <w:tcPr>
            <w:tcW w:w="2653"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left"/>
              <w:rPr>
                <w:rFonts w:eastAsia="宋体"/>
                <w:color w:val="auto"/>
                <w:sz w:val="24"/>
                <w:szCs w:val="24"/>
              </w:rPr>
            </w:pPr>
            <w:r>
              <w:rPr>
                <w:rFonts w:hint="eastAsia" w:eastAsia="宋体"/>
                <w:color w:val="auto"/>
                <w:sz w:val="24"/>
                <w:szCs w:val="24"/>
                <w:lang w:val="zh-CN"/>
              </w:rPr>
              <w:t>获取磋商采购文件的时间期限</w:t>
            </w:r>
          </w:p>
        </w:tc>
        <w:tc>
          <w:tcPr>
            <w:tcW w:w="7096" w:type="dxa"/>
            <w:tcBorders>
              <w:top w:val="single" w:color="000000" w:sz="4" w:space="0"/>
              <w:left w:val="nil"/>
              <w:bottom w:val="single" w:color="000000" w:sz="4" w:space="0"/>
              <w:right w:val="single" w:color="000000" w:sz="4" w:space="0"/>
            </w:tcBorders>
            <w:noWrap/>
            <w:vAlign w:val="center"/>
          </w:tcPr>
          <w:p>
            <w:pPr>
              <w:spacing w:line="360" w:lineRule="auto"/>
              <w:jc w:val="left"/>
              <w:rPr>
                <w:rFonts w:eastAsia="宋体"/>
                <w:color w:val="auto"/>
                <w:sz w:val="24"/>
                <w:szCs w:val="24"/>
              </w:rPr>
            </w:pPr>
            <w:r>
              <w:rPr>
                <w:rFonts w:hint="eastAsia" w:eastAsia="宋体"/>
                <w:color w:val="auto"/>
                <w:sz w:val="24"/>
                <w:szCs w:val="24"/>
              </w:rPr>
              <w:t>2022年07月</w:t>
            </w:r>
            <w:r>
              <w:rPr>
                <w:rFonts w:hint="eastAsia" w:eastAsia="宋体"/>
                <w:color w:val="auto"/>
                <w:sz w:val="24"/>
                <w:szCs w:val="24"/>
                <w:lang w:val="en-US" w:eastAsia="zh-CN"/>
              </w:rPr>
              <w:t>21</w:t>
            </w:r>
            <w:r>
              <w:rPr>
                <w:rFonts w:hint="eastAsia" w:eastAsia="宋体"/>
                <w:color w:val="auto"/>
                <w:sz w:val="24"/>
                <w:szCs w:val="24"/>
              </w:rPr>
              <w:t>日至2022年07月</w:t>
            </w:r>
            <w:r>
              <w:rPr>
                <w:rFonts w:hint="eastAsia" w:eastAsia="宋体"/>
                <w:color w:val="auto"/>
                <w:sz w:val="24"/>
                <w:szCs w:val="24"/>
                <w:lang w:val="en-US" w:eastAsia="zh-CN"/>
              </w:rPr>
              <w:t>27</w:t>
            </w:r>
            <w:r>
              <w:rPr>
                <w:rFonts w:hint="eastAsia" w:eastAsia="宋体"/>
                <w:color w:val="auto"/>
                <w:sz w:val="24"/>
                <w:szCs w:val="24"/>
              </w:rPr>
              <w:t>日，每天上午9:00-11:30,下午13:30-17:30（午休、节假日除外）。</w:t>
            </w:r>
          </w:p>
        </w:tc>
      </w:tr>
      <w:tr>
        <w:tblPrEx>
          <w:tblCellMar>
            <w:top w:w="0" w:type="dxa"/>
            <w:left w:w="57" w:type="dxa"/>
            <w:bottom w:w="0" w:type="dxa"/>
            <w:right w:w="57" w:type="dxa"/>
          </w:tblCellMar>
        </w:tblPrEx>
        <w:trPr>
          <w:trHeight w:val="656" w:hRule="atLeast"/>
          <w:jc w:val="center"/>
        </w:trPr>
        <w:tc>
          <w:tcPr>
            <w:tcW w:w="2653"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left"/>
              <w:rPr>
                <w:rFonts w:eastAsia="宋体"/>
                <w:color w:val="auto"/>
                <w:sz w:val="24"/>
                <w:szCs w:val="24"/>
              </w:rPr>
            </w:pPr>
            <w:r>
              <w:rPr>
                <w:rFonts w:hint="eastAsia" w:eastAsia="宋体"/>
                <w:color w:val="auto"/>
                <w:sz w:val="24"/>
                <w:szCs w:val="24"/>
                <w:lang w:val="zh-CN"/>
              </w:rPr>
              <w:t>获取磋商采购文件方式</w:t>
            </w:r>
          </w:p>
        </w:tc>
        <w:tc>
          <w:tcPr>
            <w:tcW w:w="7096" w:type="dxa"/>
            <w:tcBorders>
              <w:top w:val="single" w:color="000000" w:sz="4" w:space="0"/>
              <w:left w:val="nil"/>
              <w:bottom w:val="single" w:color="000000" w:sz="4" w:space="0"/>
              <w:right w:val="single" w:color="000000" w:sz="4" w:space="0"/>
            </w:tcBorders>
            <w:noWrap/>
            <w:vAlign w:val="center"/>
          </w:tcPr>
          <w:p>
            <w:pPr>
              <w:spacing w:line="360" w:lineRule="auto"/>
              <w:jc w:val="left"/>
              <w:rPr>
                <w:rFonts w:eastAsia="宋体"/>
                <w:color w:val="auto"/>
                <w:sz w:val="24"/>
                <w:szCs w:val="24"/>
              </w:rPr>
            </w:pPr>
            <w:r>
              <w:rPr>
                <w:rFonts w:hint="eastAsia" w:cs="Arial"/>
                <w:sz w:val="24"/>
              </w:rPr>
              <w:t>供应商登录政采云平台https://www.zcygov.cn/在线申请获取采购文件（进入“项目采购”应用，在获取采购文件菜单中选择项目，申请获取采购文件）</w:t>
            </w:r>
          </w:p>
        </w:tc>
      </w:tr>
      <w:tr>
        <w:tblPrEx>
          <w:tblCellMar>
            <w:top w:w="0" w:type="dxa"/>
            <w:left w:w="57" w:type="dxa"/>
            <w:bottom w:w="0" w:type="dxa"/>
            <w:right w:w="57" w:type="dxa"/>
          </w:tblCellMar>
        </w:tblPrEx>
        <w:trPr>
          <w:trHeight w:val="523" w:hRule="atLeast"/>
          <w:jc w:val="center"/>
        </w:trPr>
        <w:tc>
          <w:tcPr>
            <w:tcW w:w="2653"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left"/>
              <w:rPr>
                <w:rFonts w:eastAsia="宋体"/>
                <w:color w:val="auto"/>
                <w:sz w:val="24"/>
                <w:szCs w:val="24"/>
              </w:rPr>
            </w:pPr>
            <w:r>
              <w:rPr>
                <w:rFonts w:hint="eastAsia" w:eastAsia="宋体"/>
                <w:color w:val="auto"/>
                <w:sz w:val="24"/>
                <w:szCs w:val="24"/>
                <w:lang w:val="zh-CN"/>
              </w:rPr>
              <w:t>采购文件售价</w:t>
            </w:r>
          </w:p>
        </w:tc>
        <w:tc>
          <w:tcPr>
            <w:tcW w:w="7096" w:type="dxa"/>
            <w:tcBorders>
              <w:top w:val="single" w:color="000000" w:sz="4" w:space="0"/>
              <w:left w:val="nil"/>
              <w:bottom w:val="single" w:color="000000" w:sz="4" w:space="0"/>
              <w:right w:val="single" w:color="000000" w:sz="4" w:space="0"/>
            </w:tcBorders>
            <w:noWrap/>
            <w:vAlign w:val="center"/>
          </w:tcPr>
          <w:p>
            <w:pPr>
              <w:spacing w:line="360" w:lineRule="auto"/>
              <w:jc w:val="left"/>
              <w:rPr>
                <w:rFonts w:eastAsia="宋体"/>
                <w:color w:val="auto"/>
                <w:sz w:val="24"/>
                <w:szCs w:val="24"/>
              </w:rPr>
            </w:pPr>
            <w:r>
              <w:rPr>
                <w:rFonts w:hint="eastAsia" w:eastAsia="宋体"/>
                <w:color w:val="auto"/>
                <w:sz w:val="24"/>
                <w:szCs w:val="24"/>
              </w:rPr>
              <w:t>0</w:t>
            </w:r>
          </w:p>
        </w:tc>
      </w:tr>
      <w:tr>
        <w:tblPrEx>
          <w:tblCellMar>
            <w:top w:w="0" w:type="dxa"/>
            <w:left w:w="57" w:type="dxa"/>
            <w:bottom w:w="0" w:type="dxa"/>
            <w:right w:w="57" w:type="dxa"/>
          </w:tblCellMar>
        </w:tblPrEx>
        <w:trPr>
          <w:trHeight w:val="116" w:hRule="atLeast"/>
          <w:jc w:val="center"/>
        </w:trPr>
        <w:tc>
          <w:tcPr>
            <w:tcW w:w="2653"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left"/>
              <w:rPr>
                <w:rFonts w:eastAsia="宋体"/>
                <w:color w:val="auto"/>
                <w:sz w:val="24"/>
                <w:szCs w:val="24"/>
              </w:rPr>
            </w:pPr>
            <w:r>
              <w:rPr>
                <w:rFonts w:hint="eastAsia" w:eastAsia="宋体"/>
                <w:color w:val="auto"/>
                <w:sz w:val="24"/>
                <w:szCs w:val="24"/>
              </w:rPr>
              <w:t>响应文件递交方式</w:t>
            </w:r>
          </w:p>
        </w:tc>
        <w:tc>
          <w:tcPr>
            <w:tcW w:w="7096" w:type="dxa"/>
            <w:tcBorders>
              <w:top w:val="single" w:color="000000" w:sz="4" w:space="0"/>
              <w:left w:val="nil"/>
              <w:bottom w:val="single" w:color="000000" w:sz="4" w:space="0"/>
              <w:right w:val="single" w:color="000000" w:sz="4" w:space="0"/>
            </w:tcBorders>
            <w:noWrap/>
            <w:vAlign w:val="center"/>
          </w:tcPr>
          <w:p>
            <w:pPr>
              <w:pStyle w:val="34"/>
              <w:spacing w:line="360" w:lineRule="auto"/>
              <w:ind w:firstLine="0" w:firstLineChars="0"/>
              <w:jc w:val="left"/>
              <w:rPr>
                <w:rFonts w:ascii="宋体" w:hAnsi="宋体" w:cs="宋体"/>
                <w:color w:val="auto"/>
                <w:sz w:val="24"/>
                <w:szCs w:val="24"/>
              </w:rPr>
            </w:pPr>
            <w:r>
              <w:rPr>
                <w:rFonts w:hint="eastAsia" w:ascii="宋体" w:hAnsi="宋体" w:cs="宋体"/>
                <w:bCs/>
                <w:color w:val="auto"/>
                <w:kern w:val="2"/>
                <w:sz w:val="24"/>
                <w:szCs w:val="24"/>
              </w:rPr>
              <w:t>供应商如对项目采购电子交易系统操作有疑问，可登录政采云（https://www.zcygov.cn/），点击右侧咨询小采，获取采小蜜智能服务管家帮助，或拨打政采云服务热线400-881-7190获取热线服务帮助。CA问题联系电话（人工）；天谷CA  400-087-8198。</w:t>
            </w:r>
          </w:p>
        </w:tc>
      </w:tr>
      <w:tr>
        <w:tblPrEx>
          <w:tblCellMar>
            <w:top w:w="0" w:type="dxa"/>
            <w:left w:w="57" w:type="dxa"/>
            <w:bottom w:w="0" w:type="dxa"/>
            <w:right w:w="57" w:type="dxa"/>
          </w:tblCellMar>
        </w:tblPrEx>
        <w:trPr>
          <w:trHeight w:val="116" w:hRule="atLeast"/>
          <w:jc w:val="center"/>
        </w:trPr>
        <w:tc>
          <w:tcPr>
            <w:tcW w:w="2653"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left"/>
              <w:rPr>
                <w:rFonts w:eastAsia="宋体"/>
                <w:color w:val="auto"/>
                <w:sz w:val="24"/>
                <w:szCs w:val="24"/>
              </w:rPr>
            </w:pPr>
            <w:r>
              <w:rPr>
                <w:rFonts w:hint="eastAsia" w:eastAsia="宋体"/>
                <w:color w:val="auto"/>
                <w:sz w:val="24"/>
                <w:szCs w:val="24"/>
              </w:rPr>
              <w:t>提交响应文件截止时间</w:t>
            </w:r>
          </w:p>
        </w:tc>
        <w:tc>
          <w:tcPr>
            <w:tcW w:w="7096" w:type="dxa"/>
            <w:tcBorders>
              <w:top w:val="single" w:color="000000" w:sz="4" w:space="0"/>
              <w:left w:val="nil"/>
              <w:bottom w:val="single" w:color="000000" w:sz="4" w:space="0"/>
              <w:right w:val="single" w:color="000000" w:sz="4" w:space="0"/>
            </w:tcBorders>
            <w:noWrap/>
            <w:vAlign w:val="center"/>
          </w:tcPr>
          <w:p>
            <w:pPr>
              <w:spacing w:line="360" w:lineRule="auto"/>
              <w:jc w:val="left"/>
              <w:rPr>
                <w:bCs/>
                <w:color w:val="auto"/>
                <w:kern w:val="2"/>
                <w:sz w:val="24"/>
                <w:szCs w:val="24"/>
              </w:rPr>
            </w:pPr>
            <w:r>
              <w:rPr>
                <w:rFonts w:hint="eastAsia" w:eastAsia="宋体"/>
                <w:color w:val="auto"/>
                <w:sz w:val="24"/>
                <w:szCs w:val="24"/>
              </w:rPr>
              <w:t>2022年0</w:t>
            </w:r>
            <w:r>
              <w:rPr>
                <w:rFonts w:hint="eastAsia" w:eastAsia="宋体"/>
                <w:color w:val="auto"/>
                <w:sz w:val="24"/>
                <w:szCs w:val="24"/>
                <w:lang w:val="en-US" w:eastAsia="zh-CN"/>
              </w:rPr>
              <w:t>8</w:t>
            </w:r>
            <w:r>
              <w:rPr>
                <w:rFonts w:hint="eastAsia" w:eastAsia="宋体"/>
                <w:color w:val="auto"/>
                <w:sz w:val="24"/>
                <w:szCs w:val="24"/>
              </w:rPr>
              <w:t>月</w:t>
            </w:r>
            <w:r>
              <w:rPr>
                <w:rFonts w:hint="eastAsia" w:eastAsia="宋体"/>
                <w:color w:val="auto"/>
                <w:sz w:val="24"/>
                <w:szCs w:val="24"/>
                <w:lang w:val="en-US" w:eastAsia="zh-CN"/>
              </w:rPr>
              <w:t>01</w:t>
            </w:r>
            <w:r>
              <w:rPr>
                <w:rFonts w:hint="eastAsia" w:eastAsia="宋体"/>
                <w:color w:val="auto"/>
                <w:sz w:val="24"/>
                <w:szCs w:val="24"/>
              </w:rPr>
              <w:t>日上午09时30分（北京时间）</w:t>
            </w:r>
          </w:p>
        </w:tc>
      </w:tr>
      <w:tr>
        <w:tblPrEx>
          <w:tblCellMar>
            <w:top w:w="0" w:type="dxa"/>
            <w:left w:w="57" w:type="dxa"/>
            <w:bottom w:w="0" w:type="dxa"/>
            <w:right w:w="57" w:type="dxa"/>
          </w:tblCellMar>
        </w:tblPrEx>
        <w:trPr>
          <w:trHeight w:val="229" w:hRule="atLeast"/>
          <w:jc w:val="center"/>
        </w:trPr>
        <w:tc>
          <w:tcPr>
            <w:tcW w:w="2653"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left"/>
              <w:rPr>
                <w:rFonts w:eastAsia="宋体"/>
                <w:color w:val="auto"/>
                <w:sz w:val="24"/>
                <w:szCs w:val="24"/>
              </w:rPr>
            </w:pPr>
            <w:r>
              <w:rPr>
                <w:rFonts w:hint="eastAsia" w:eastAsia="宋体"/>
                <w:color w:val="auto"/>
                <w:sz w:val="24"/>
                <w:szCs w:val="24"/>
              </w:rPr>
              <w:t>提交响应文件地点</w:t>
            </w:r>
          </w:p>
        </w:tc>
        <w:tc>
          <w:tcPr>
            <w:tcW w:w="7096" w:type="dxa"/>
            <w:tcBorders>
              <w:top w:val="single" w:color="000000" w:sz="4" w:space="0"/>
              <w:left w:val="nil"/>
              <w:bottom w:val="single" w:color="000000" w:sz="4" w:space="0"/>
              <w:right w:val="single" w:color="000000" w:sz="4" w:space="0"/>
            </w:tcBorders>
            <w:noWrap/>
            <w:vAlign w:val="center"/>
          </w:tcPr>
          <w:p>
            <w:pPr>
              <w:spacing w:line="360" w:lineRule="auto"/>
              <w:jc w:val="left"/>
              <w:rPr>
                <w:rFonts w:eastAsia="宋体"/>
                <w:color w:val="auto"/>
                <w:sz w:val="24"/>
                <w:szCs w:val="24"/>
              </w:rPr>
            </w:pPr>
            <w:r>
              <w:rPr>
                <w:rFonts w:hint="eastAsia" w:eastAsia="宋体"/>
                <w:color w:val="auto"/>
                <w:sz w:val="24"/>
                <w:szCs w:val="24"/>
              </w:rPr>
              <w:t>在政采云平台（https://www.zcygov.cn/）进行线上解密      </w:t>
            </w:r>
          </w:p>
        </w:tc>
      </w:tr>
      <w:tr>
        <w:tblPrEx>
          <w:tblCellMar>
            <w:top w:w="0" w:type="dxa"/>
            <w:left w:w="57" w:type="dxa"/>
            <w:bottom w:w="0" w:type="dxa"/>
            <w:right w:w="57" w:type="dxa"/>
          </w:tblCellMar>
        </w:tblPrEx>
        <w:trPr>
          <w:trHeight w:val="410" w:hRule="atLeast"/>
          <w:jc w:val="center"/>
        </w:trPr>
        <w:tc>
          <w:tcPr>
            <w:tcW w:w="2653"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left"/>
              <w:rPr>
                <w:rFonts w:eastAsia="宋体"/>
                <w:color w:val="auto"/>
                <w:sz w:val="24"/>
                <w:szCs w:val="24"/>
              </w:rPr>
            </w:pPr>
            <w:r>
              <w:rPr>
                <w:rFonts w:hint="eastAsia" w:eastAsia="宋体"/>
                <w:color w:val="auto"/>
                <w:sz w:val="24"/>
                <w:szCs w:val="24"/>
              </w:rPr>
              <w:t>采购人及联系人电话</w:t>
            </w:r>
          </w:p>
        </w:tc>
        <w:tc>
          <w:tcPr>
            <w:tcW w:w="7096" w:type="dxa"/>
            <w:tcBorders>
              <w:top w:val="single" w:color="000000" w:sz="4" w:space="0"/>
              <w:left w:val="nil"/>
              <w:bottom w:val="single" w:color="000000" w:sz="4" w:space="0"/>
              <w:right w:val="single" w:color="000000" w:sz="4" w:space="0"/>
            </w:tcBorders>
            <w:noWrap/>
            <w:vAlign w:val="center"/>
          </w:tcPr>
          <w:p>
            <w:pPr>
              <w:autoSpaceDE w:val="0"/>
              <w:autoSpaceDN w:val="0"/>
              <w:adjustRightInd w:val="0"/>
              <w:spacing w:line="360" w:lineRule="auto"/>
              <w:jc w:val="left"/>
              <w:rPr>
                <w:rFonts w:eastAsia="宋体"/>
                <w:color w:val="auto"/>
                <w:sz w:val="24"/>
                <w:szCs w:val="24"/>
                <w:lang w:val="zh-CN"/>
              </w:rPr>
            </w:pPr>
            <w:r>
              <w:rPr>
                <w:rFonts w:hint="eastAsia" w:eastAsia="宋体"/>
                <w:color w:val="auto"/>
                <w:sz w:val="24"/>
                <w:szCs w:val="24"/>
                <w:lang w:val="zh-CN"/>
              </w:rPr>
              <w:t>采购人：青海民族大学</w:t>
            </w:r>
          </w:p>
          <w:p>
            <w:pPr>
              <w:autoSpaceDE w:val="0"/>
              <w:autoSpaceDN w:val="0"/>
              <w:adjustRightInd w:val="0"/>
              <w:spacing w:line="360" w:lineRule="auto"/>
              <w:jc w:val="left"/>
              <w:rPr>
                <w:rFonts w:eastAsia="宋体"/>
                <w:color w:val="auto"/>
                <w:sz w:val="24"/>
                <w:szCs w:val="24"/>
              </w:rPr>
            </w:pPr>
            <w:r>
              <w:rPr>
                <w:rFonts w:hint="eastAsia" w:eastAsia="宋体"/>
                <w:color w:val="auto"/>
                <w:sz w:val="24"/>
                <w:szCs w:val="24"/>
                <w:lang w:val="zh-CN"/>
              </w:rPr>
              <w:t>联系人：李老师</w:t>
            </w:r>
          </w:p>
          <w:p>
            <w:pPr>
              <w:autoSpaceDE w:val="0"/>
              <w:autoSpaceDN w:val="0"/>
              <w:adjustRightInd w:val="0"/>
              <w:spacing w:line="360" w:lineRule="auto"/>
              <w:jc w:val="left"/>
              <w:rPr>
                <w:rFonts w:eastAsia="宋体"/>
                <w:color w:val="auto"/>
                <w:sz w:val="24"/>
                <w:szCs w:val="24"/>
              </w:rPr>
            </w:pPr>
            <w:r>
              <w:rPr>
                <w:rFonts w:hint="eastAsia" w:eastAsia="宋体"/>
                <w:color w:val="auto"/>
                <w:sz w:val="24"/>
                <w:szCs w:val="24"/>
                <w:lang w:val="zh-CN"/>
              </w:rPr>
              <w:t>联系电话：0</w:t>
            </w:r>
            <w:r>
              <w:rPr>
                <w:rFonts w:eastAsia="宋体"/>
                <w:color w:val="auto"/>
                <w:sz w:val="24"/>
                <w:szCs w:val="24"/>
                <w:lang w:val="zh-CN"/>
              </w:rPr>
              <w:t>971-</w:t>
            </w:r>
            <w:r>
              <w:rPr>
                <w:rFonts w:hint="eastAsia" w:eastAsia="宋体"/>
                <w:color w:val="auto"/>
                <w:sz w:val="24"/>
                <w:szCs w:val="24"/>
                <w:lang w:val="zh-CN"/>
              </w:rPr>
              <w:t>8</w:t>
            </w:r>
            <w:r>
              <w:rPr>
                <w:rFonts w:eastAsia="宋体"/>
                <w:color w:val="auto"/>
                <w:sz w:val="24"/>
                <w:szCs w:val="24"/>
                <w:lang w:val="zh-CN"/>
              </w:rPr>
              <w:t>802687</w:t>
            </w:r>
          </w:p>
          <w:p>
            <w:pPr>
              <w:spacing w:line="360" w:lineRule="auto"/>
              <w:jc w:val="left"/>
              <w:rPr>
                <w:rFonts w:eastAsia="宋体"/>
                <w:color w:val="auto"/>
                <w:sz w:val="24"/>
                <w:szCs w:val="24"/>
              </w:rPr>
            </w:pPr>
            <w:r>
              <w:rPr>
                <w:rFonts w:hint="eastAsia" w:eastAsia="宋体"/>
                <w:color w:val="auto"/>
                <w:sz w:val="24"/>
                <w:szCs w:val="24"/>
                <w:lang w:val="zh-CN"/>
              </w:rPr>
              <w:t>联系地址：青海民族大学</w:t>
            </w:r>
          </w:p>
        </w:tc>
      </w:tr>
      <w:tr>
        <w:tblPrEx>
          <w:tblCellMar>
            <w:top w:w="0" w:type="dxa"/>
            <w:left w:w="57" w:type="dxa"/>
            <w:bottom w:w="0" w:type="dxa"/>
            <w:right w:w="57" w:type="dxa"/>
          </w:tblCellMar>
        </w:tblPrEx>
        <w:trPr>
          <w:trHeight w:val="569" w:hRule="atLeast"/>
          <w:jc w:val="center"/>
        </w:trPr>
        <w:tc>
          <w:tcPr>
            <w:tcW w:w="2653"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left"/>
              <w:rPr>
                <w:rFonts w:eastAsia="宋体"/>
                <w:color w:val="auto"/>
                <w:sz w:val="24"/>
                <w:szCs w:val="24"/>
              </w:rPr>
            </w:pPr>
            <w:r>
              <w:rPr>
                <w:rFonts w:hint="eastAsia" w:eastAsia="宋体"/>
                <w:color w:val="auto"/>
                <w:sz w:val="24"/>
                <w:szCs w:val="24"/>
              </w:rPr>
              <w:t>采购代理机构及联系人电话</w:t>
            </w:r>
          </w:p>
        </w:tc>
        <w:tc>
          <w:tcPr>
            <w:tcW w:w="7096" w:type="dxa"/>
            <w:tcBorders>
              <w:top w:val="single" w:color="000000" w:sz="4" w:space="0"/>
              <w:left w:val="nil"/>
              <w:bottom w:val="single" w:color="000000" w:sz="4" w:space="0"/>
              <w:right w:val="single" w:color="000000" w:sz="4" w:space="0"/>
            </w:tcBorders>
            <w:noWrap/>
            <w:vAlign w:val="center"/>
          </w:tcPr>
          <w:p>
            <w:pPr>
              <w:autoSpaceDE w:val="0"/>
              <w:autoSpaceDN w:val="0"/>
              <w:adjustRightInd w:val="0"/>
              <w:spacing w:line="360" w:lineRule="auto"/>
              <w:jc w:val="left"/>
              <w:rPr>
                <w:rFonts w:eastAsia="宋体"/>
                <w:color w:val="auto"/>
                <w:sz w:val="24"/>
                <w:szCs w:val="24"/>
                <w:lang w:val="zh-CN"/>
              </w:rPr>
            </w:pPr>
            <w:r>
              <w:rPr>
                <w:rFonts w:hint="eastAsia" w:eastAsia="宋体"/>
                <w:color w:val="auto"/>
                <w:sz w:val="24"/>
                <w:szCs w:val="24"/>
                <w:lang w:val="zh-CN"/>
              </w:rPr>
              <w:t>采购代理机构：青海中旭工程项目管理有限公司</w:t>
            </w:r>
          </w:p>
          <w:p>
            <w:pPr>
              <w:autoSpaceDE w:val="0"/>
              <w:autoSpaceDN w:val="0"/>
              <w:adjustRightInd w:val="0"/>
              <w:spacing w:line="360" w:lineRule="auto"/>
              <w:jc w:val="left"/>
              <w:rPr>
                <w:rFonts w:eastAsia="宋体"/>
                <w:color w:val="auto"/>
                <w:sz w:val="24"/>
                <w:szCs w:val="24"/>
              </w:rPr>
            </w:pPr>
            <w:r>
              <w:rPr>
                <w:rFonts w:hint="eastAsia" w:eastAsia="宋体"/>
                <w:color w:val="auto"/>
                <w:sz w:val="24"/>
                <w:szCs w:val="24"/>
                <w:lang w:val="zh-CN"/>
              </w:rPr>
              <w:t>联系人：</w:t>
            </w:r>
            <w:r>
              <w:rPr>
                <w:rFonts w:hint="eastAsia" w:eastAsia="宋体"/>
                <w:color w:val="auto"/>
                <w:sz w:val="24"/>
                <w:szCs w:val="24"/>
              </w:rPr>
              <w:t>李永兄</w:t>
            </w:r>
          </w:p>
          <w:p>
            <w:pPr>
              <w:autoSpaceDE w:val="0"/>
              <w:autoSpaceDN w:val="0"/>
              <w:adjustRightInd w:val="0"/>
              <w:spacing w:line="360" w:lineRule="auto"/>
              <w:jc w:val="left"/>
              <w:rPr>
                <w:rFonts w:eastAsia="宋体"/>
                <w:color w:val="auto"/>
                <w:sz w:val="24"/>
                <w:szCs w:val="24"/>
              </w:rPr>
            </w:pPr>
            <w:r>
              <w:rPr>
                <w:rFonts w:hint="eastAsia" w:eastAsia="宋体"/>
                <w:color w:val="auto"/>
                <w:sz w:val="24"/>
                <w:szCs w:val="24"/>
                <w:lang w:val="zh-CN"/>
              </w:rPr>
              <w:t>联系电话：</w:t>
            </w:r>
            <w:r>
              <w:rPr>
                <w:rFonts w:hint="eastAsia" w:eastAsia="宋体"/>
                <w:color w:val="auto"/>
                <w:sz w:val="24"/>
                <w:szCs w:val="24"/>
              </w:rPr>
              <w:t>0971-5218441</w:t>
            </w:r>
          </w:p>
          <w:p>
            <w:pPr>
              <w:autoSpaceDE w:val="0"/>
              <w:autoSpaceDN w:val="0"/>
              <w:adjustRightInd w:val="0"/>
              <w:spacing w:line="360" w:lineRule="auto"/>
              <w:jc w:val="left"/>
              <w:rPr>
                <w:rFonts w:eastAsia="宋体"/>
                <w:color w:val="auto"/>
                <w:sz w:val="24"/>
                <w:szCs w:val="24"/>
                <w:lang w:val="zh-CN"/>
              </w:rPr>
            </w:pPr>
            <w:r>
              <w:rPr>
                <w:rFonts w:hint="eastAsia" w:eastAsia="宋体"/>
                <w:color w:val="auto"/>
                <w:sz w:val="24"/>
                <w:szCs w:val="24"/>
                <w:lang w:val="zh-CN"/>
              </w:rPr>
              <w:t>联系地址：西宁市城西区西川南路万达中心1号写字楼20</w:t>
            </w:r>
            <w:r>
              <w:rPr>
                <w:rFonts w:hint="eastAsia" w:eastAsia="宋体"/>
                <w:color w:val="auto"/>
                <w:sz w:val="24"/>
                <w:szCs w:val="24"/>
              </w:rPr>
              <w:t>层</w:t>
            </w:r>
            <w:r>
              <w:rPr>
                <w:rFonts w:hint="eastAsia" w:eastAsia="宋体"/>
                <w:color w:val="auto"/>
                <w:sz w:val="24"/>
                <w:szCs w:val="24"/>
                <w:lang w:val="zh-CN"/>
              </w:rPr>
              <w:t>12014室（青海中旭工程项目管理有限公司）</w:t>
            </w:r>
          </w:p>
        </w:tc>
      </w:tr>
      <w:tr>
        <w:tblPrEx>
          <w:tblCellMar>
            <w:top w:w="0" w:type="dxa"/>
            <w:left w:w="57" w:type="dxa"/>
            <w:bottom w:w="0" w:type="dxa"/>
            <w:right w:w="57" w:type="dxa"/>
          </w:tblCellMar>
        </w:tblPrEx>
        <w:trPr>
          <w:trHeight w:val="343" w:hRule="atLeast"/>
          <w:jc w:val="center"/>
        </w:trPr>
        <w:tc>
          <w:tcPr>
            <w:tcW w:w="2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60" w:lineRule="auto"/>
              <w:jc w:val="left"/>
              <w:rPr>
                <w:rFonts w:eastAsia="宋体"/>
                <w:color w:val="auto"/>
                <w:sz w:val="24"/>
                <w:szCs w:val="24"/>
              </w:rPr>
            </w:pPr>
            <w:r>
              <w:rPr>
                <w:rFonts w:hint="eastAsia" w:eastAsia="宋体"/>
                <w:color w:val="auto"/>
                <w:sz w:val="24"/>
                <w:szCs w:val="24"/>
              </w:rPr>
              <w:t>采购代理机构开户银行</w:t>
            </w:r>
          </w:p>
        </w:tc>
        <w:tc>
          <w:tcPr>
            <w:tcW w:w="7096" w:type="dxa"/>
            <w:tcBorders>
              <w:top w:val="single" w:color="000000" w:sz="4" w:space="0"/>
              <w:left w:val="nil"/>
              <w:bottom w:val="single" w:color="000000" w:sz="4" w:space="0"/>
              <w:right w:val="single" w:color="000000" w:sz="4" w:space="0"/>
            </w:tcBorders>
            <w:shd w:val="clear" w:color="auto" w:fill="FFFFFF"/>
            <w:noWrap/>
            <w:vAlign w:val="center"/>
          </w:tcPr>
          <w:p>
            <w:pPr>
              <w:spacing w:line="360" w:lineRule="auto"/>
              <w:jc w:val="left"/>
              <w:rPr>
                <w:rFonts w:eastAsia="宋体"/>
                <w:color w:val="auto"/>
                <w:sz w:val="24"/>
                <w:szCs w:val="24"/>
                <w:lang w:val="zh-CN"/>
              </w:rPr>
            </w:pPr>
            <w:r>
              <w:rPr>
                <w:rFonts w:hint="eastAsia" w:eastAsia="宋体"/>
                <w:color w:val="auto"/>
                <w:sz w:val="24"/>
                <w:szCs w:val="24"/>
                <w:lang w:val="zh-CN"/>
              </w:rPr>
              <w:t>兴业银行西宁分行营业部</w:t>
            </w:r>
          </w:p>
        </w:tc>
      </w:tr>
      <w:tr>
        <w:tblPrEx>
          <w:tblCellMar>
            <w:top w:w="0" w:type="dxa"/>
            <w:left w:w="57" w:type="dxa"/>
            <w:bottom w:w="0" w:type="dxa"/>
            <w:right w:w="57" w:type="dxa"/>
          </w:tblCellMar>
        </w:tblPrEx>
        <w:trPr>
          <w:trHeight w:val="116" w:hRule="atLeast"/>
          <w:jc w:val="center"/>
        </w:trPr>
        <w:tc>
          <w:tcPr>
            <w:tcW w:w="2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60" w:lineRule="auto"/>
              <w:jc w:val="left"/>
              <w:rPr>
                <w:rFonts w:eastAsia="宋体"/>
                <w:color w:val="auto"/>
                <w:sz w:val="24"/>
                <w:szCs w:val="24"/>
              </w:rPr>
            </w:pPr>
            <w:r>
              <w:rPr>
                <w:rFonts w:hint="eastAsia" w:eastAsia="宋体"/>
                <w:color w:val="auto"/>
                <w:sz w:val="24"/>
                <w:szCs w:val="24"/>
              </w:rPr>
              <w:t>收款人</w:t>
            </w:r>
          </w:p>
        </w:tc>
        <w:tc>
          <w:tcPr>
            <w:tcW w:w="7096" w:type="dxa"/>
            <w:tcBorders>
              <w:top w:val="single" w:color="000000" w:sz="4" w:space="0"/>
              <w:left w:val="nil"/>
              <w:bottom w:val="single" w:color="000000" w:sz="4" w:space="0"/>
              <w:right w:val="single" w:color="000000" w:sz="4" w:space="0"/>
            </w:tcBorders>
            <w:shd w:val="clear" w:color="auto" w:fill="FFFFFF"/>
            <w:noWrap/>
            <w:vAlign w:val="center"/>
          </w:tcPr>
          <w:p>
            <w:pPr>
              <w:spacing w:line="360" w:lineRule="auto"/>
              <w:jc w:val="left"/>
              <w:rPr>
                <w:rFonts w:eastAsia="宋体"/>
                <w:b/>
                <w:bCs/>
                <w:color w:val="auto"/>
                <w:sz w:val="24"/>
                <w:szCs w:val="24"/>
                <w:lang w:val="zh-CN"/>
              </w:rPr>
            </w:pPr>
            <w:r>
              <w:rPr>
                <w:rFonts w:hint="eastAsia" w:eastAsia="宋体"/>
                <w:color w:val="auto"/>
                <w:sz w:val="24"/>
                <w:szCs w:val="24"/>
                <w:lang w:val="zh-CN"/>
              </w:rPr>
              <w:t>青海中旭工程项目管理有限公司</w:t>
            </w:r>
          </w:p>
        </w:tc>
      </w:tr>
      <w:tr>
        <w:tblPrEx>
          <w:tblCellMar>
            <w:top w:w="0" w:type="dxa"/>
            <w:left w:w="57" w:type="dxa"/>
            <w:bottom w:w="0" w:type="dxa"/>
            <w:right w:w="57" w:type="dxa"/>
          </w:tblCellMar>
        </w:tblPrEx>
        <w:trPr>
          <w:trHeight w:val="116" w:hRule="atLeast"/>
          <w:jc w:val="center"/>
        </w:trPr>
        <w:tc>
          <w:tcPr>
            <w:tcW w:w="2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60" w:lineRule="auto"/>
              <w:jc w:val="left"/>
              <w:rPr>
                <w:rFonts w:eastAsia="宋体"/>
                <w:color w:val="auto"/>
                <w:sz w:val="24"/>
                <w:szCs w:val="24"/>
              </w:rPr>
            </w:pPr>
            <w:r>
              <w:rPr>
                <w:rFonts w:hint="eastAsia" w:eastAsia="宋体"/>
                <w:color w:val="auto"/>
                <w:sz w:val="24"/>
                <w:szCs w:val="24"/>
              </w:rPr>
              <w:t>银行账号</w:t>
            </w:r>
          </w:p>
        </w:tc>
        <w:tc>
          <w:tcPr>
            <w:tcW w:w="7096" w:type="dxa"/>
            <w:tcBorders>
              <w:top w:val="single" w:color="000000" w:sz="4" w:space="0"/>
              <w:left w:val="nil"/>
              <w:bottom w:val="single" w:color="000000" w:sz="4" w:space="0"/>
              <w:right w:val="single" w:color="000000" w:sz="4" w:space="0"/>
            </w:tcBorders>
            <w:shd w:val="clear" w:color="auto" w:fill="FFFFFF"/>
            <w:noWrap/>
            <w:vAlign w:val="center"/>
          </w:tcPr>
          <w:p>
            <w:pPr>
              <w:spacing w:line="360" w:lineRule="auto"/>
              <w:jc w:val="left"/>
              <w:rPr>
                <w:rFonts w:eastAsia="宋体"/>
                <w:color w:val="auto"/>
                <w:sz w:val="24"/>
                <w:szCs w:val="24"/>
                <w:lang w:val="zh-CN"/>
              </w:rPr>
            </w:pPr>
            <w:r>
              <w:rPr>
                <w:rFonts w:hint="eastAsia" w:eastAsia="宋体"/>
                <w:color w:val="auto"/>
                <w:sz w:val="24"/>
                <w:szCs w:val="24"/>
                <w:lang w:val="zh-CN"/>
              </w:rPr>
              <w:t>632010100100376299（开户行号：309851000028）</w:t>
            </w:r>
          </w:p>
        </w:tc>
      </w:tr>
      <w:tr>
        <w:tblPrEx>
          <w:tblCellMar>
            <w:top w:w="0" w:type="dxa"/>
            <w:left w:w="57" w:type="dxa"/>
            <w:bottom w:w="0" w:type="dxa"/>
            <w:right w:w="57" w:type="dxa"/>
          </w:tblCellMar>
        </w:tblPrEx>
        <w:trPr>
          <w:trHeight w:val="1719" w:hRule="atLeast"/>
          <w:jc w:val="center"/>
        </w:trPr>
        <w:tc>
          <w:tcPr>
            <w:tcW w:w="2653"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left"/>
              <w:rPr>
                <w:rFonts w:eastAsia="宋体"/>
                <w:color w:val="auto"/>
                <w:sz w:val="24"/>
                <w:szCs w:val="24"/>
                <w:lang w:val="zh-CN"/>
              </w:rPr>
            </w:pPr>
            <w:r>
              <w:rPr>
                <w:rFonts w:hint="eastAsia" w:eastAsia="宋体"/>
                <w:color w:val="auto"/>
                <w:sz w:val="24"/>
                <w:szCs w:val="24"/>
                <w:lang w:val="zh-CN"/>
              </w:rPr>
              <w:t>其他事项</w:t>
            </w:r>
          </w:p>
        </w:tc>
        <w:tc>
          <w:tcPr>
            <w:tcW w:w="7096" w:type="dxa"/>
            <w:tcBorders>
              <w:top w:val="single" w:color="000000" w:sz="4" w:space="0"/>
              <w:left w:val="nil"/>
              <w:bottom w:val="single" w:color="000000" w:sz="4" w:space="0"/>
              <w:right w:val="single" w:color="000000" w:sz="4" w:space="0"/>
            </w:tcBorders>
            <w:noWrap/>
            <w:vAlign w:val="center"/>
          </w:tcPr>
          <w:p>
            <w:pPr>
              <w:spacing w:line="540" w:lineRule="exact"/>
              <w:jc w:val="left"/>
              <w:rPr>
                <w:rFonts w:cs="Arial"/>
                <w:b/>
                <w:bCs/>
                <w:sz w:val="24"/>
                <w:lang w:val="zh-CN"/>
              </w:rPr>
            </w:pPr>
            <w:r>
              <w:rPr>
                <w:rFonts w:hint="eastAsia" w:cs="Arial"/>
                <w:b/>
                <w:bCs/>
                <w:sz w:val="24"/>
                <w:lang w:val="zh-CN"/>
              </w:rPr>
              <w:t>公告发布媒体：《青海</w:t>
            </w:r>
            <w:r>
              <w:rPr>
                <w:rFonts w:hint="eastAsia" w:cs="Arial"/>
                <w:b/>
                <w:bCs/>
                <w:sz w:val="24"/>
              </w:rPr>
              <w:t>省</w:t>
            </w:r>
            <w:r>
              <w:rPr>
                <w:rFonts w:hint="eastAsia" w:cs="Arial"/>
                <w:b/>
                <w:bCs/>
                <w:sz w:val="24"/>
                <w:lang w:val="zh-CN"/>
              </w:rPr>
              <w:t>政府采购网》《青海电子招标投标公共服务平台》《中国采购与招标网》《青海省项目信息网》。公告内容以《青海</w:t>
            </w:r>
            <w:r>
              <w:rPr>
                <w:rFonts w:hint="eastAsia" w:cs="Arial"/>
                <w:b/>
                <w:bCs/>
                <w:sz w:val="24"/>
              </w:rPr>
              <w:t>省</w:t>
            </w:r>
            <w:r>
              <w:rPr>
                <w:rFonts w:hint="eastAsia" w:cs="Arial"/>
                <w:b/>
                <w:bCs/>
                <w:sz w:val="24"/>
                <w:lang w:val="zh-CN"/>
              </w:rPr>
              <w:t>政府采购网》发布的为准。</w:t>
            </w:r>
          </w:p>
          <w:p>
            <w:pPr>
              <w:spacing w:line="540" w:lineRule="exact"/>
              <w:jc w:val="left"/>
              <w:rPr>
                <w:rFonts w:cs="Arial"/>
                <w:b/>
                <w:bCs/>
                <w:sz w:val="24"/>
              </w:rPr>
            </w:pPr>
            <w:r>
              <w:rPr>
                <w:rFonts w:hint="eastAsia" w:cs="Arial"/>
                <w:b/>
                <w:bCs/>
                <w:sz w:val="24"/>
              </w:rPr>
              <w:t>1、本次项目磋商活动采用线上进行，供应商无需到现场；如非系统原因造成无法解密的或非系统原因加密文件上传不成功的或未办理CA锁而造成加密响应文件无法解密、加密响应文件无法上传的视为无效响应文件，线上电子加密响应文件必须在响应文件提交截止时间前上传至政采云电子开评标系统；</w:t>
            </w:r>
          </w:p>
          <w:p>
            <w:pPr>
              <w:spacing w:line="540" w:lineRule="exact"/>
              <w:jc w:val="left"/>
              <w:rPr>
                <w:rFonts w:cs="Arial" w:eastAsiaTheme="minorEastAsia"/>
                <w:b/>
                <w:bCs/>
                <w:sz w:val="24"/>
              </w:rPr>
            </w:pPr>
            <w:r>
              <w:rPr>
                <w:rFonts w:hint="eastAsia" w:cs="Arial"/>
                <w:b/>
                <w:bCs/>
                <w:sz w:val="24"/>
              </w:rPr>
              <w:t>2、线上电子化开评标系统操作及办理CA锁等相关事宜请咨询政采云：咨询电话：400-881-7190；</w:t>
            </w:r>
          </w:p>
        </w:tc>
      </w:tr>
      <w:tr>
        <w:tblPrEx>
          <w:tblCellMar>
            <w:top w:w="0" w:type="dxa"/>
            <w:left w:w="57" w:type="dxa"/>
            <w:bottom w:w="0" w:type="dxa"/>
            <w:right w:w="57" w:type="dxa"/>
          </w:tblCellMar>
        </w:tblPrEx>
        <w:trPr>
          <w:trHeight w:val="211" w:hRule="atLeast"/>
          <w:jc w:val="center"/>
        </w:trPr>
        <w:tc>
          <w:tcPr>
            <w:tcW w:w="2653" w:type="dxa"/>
            <w:tcBorders>
              <w:top w:val="single" w:color="000000" w:sz="4" w:space="0"/>
              <w:left w:val="single" w:color="000000" w:sz="4" w:space="0"/>
              <w:bottom w:val="single" w:color="000000" w:sz="4" w:space="0"/>
              <w:right w:val="single" w:color="000000" w:sz="4" w:space="0"/>
            </w:tcBorders>
            <w:noWrap/>
            <w:vAlign w:val="center"/>
          </w:tcPr>
          <w:p>
            <w:pPr>
              <w:spacing w:line="360" w:lineRule="auto"/>
              <w:jc w:val="left"/>
              <w:rPr>
                <w:rFonts w:eastAsia="宋体"/>
                <w:color w:val="auto"/>
                <w:sz w:val="24"/>
                <w:szCs w:val="24"/>
                <w:lang w:val="zh-CN"/>
              </w:rPr>
            </w:pPr>
            <w:r>
              <w:rPr>
                <w:rFonts w:hint="eastAsia" w:eastAsia="宋体"/>
                <w:color w:val="auto"/>
                <w:sz w:val="24"/>
                <w:szCs w:val="24"/>
                <w:lang w:val="zh-CN"/>
              </w:rPr>
              <w:t>财政部门监督电话</w:t>
            </w:r>
          </w:p>
        </w:tc>
        <w:tc>
          <w:tcPr>
            <w:tcW w:w="7096" w:type="dxa"/>
            <w:tcBorders>
              <w:top w:val="single" w:color="000000" w:sz="4" w:space="0"/>
              <w:left w:val="nil"/>
              <w:bottom w:val="single" w:color="000000" w:sz="4" w:space="0"/>
              <w:right w:val="single" w:color="000000" w:sz="4" w:space="0"/>
            </w:tcBorders>
            <w:noWrap/>
            <w:vAlign w:val="center"/>
          </w:tcPr>
          <w:p>
            <w:pPr>
              <w:spacing w:line="360" w:lineRule="auto"/>
              <w:jc w:val="left"/>
              <w:rPr>
                <w:rFonts w:eastAsia="宋体"/>
                <w:color w:val="auto"/>
                <w:sz w:val="24"/>
                <w:szCs w:val="24"/>
                <w:lang w:val="zh-CN"/>
              </w:rPr>
            </w:pPr>
            <w:r>
              <w:rPr>
                <w:rFonts w:hint="eastAsia" w:eastAsia="宋体"/>
                <w:color w:val="auto"/>
                <w:sz w:val="24"/>
                <w:szCs w:val="24"/>
                <w:lang w:val="zh-CN"/>
              </w:rPr>
              <w:t xml:space="preserve">监督单位：青海省财政厅  </w:t>
            </w:r>
          </w:p>
          <w:p>
            <w:pPr>
              <w:spacing w:line="360" w:lineRule="auto"/>
              <w:jc w:val="left"/>
              <w:rPr>
                <w:rFonts w:eastAsia="宋体"/>
                <w:color w:val="auto"/>
                <w:sz w:val="24"/>
                <w:szCs w:val="24"/>
              </w:rPr>
            </w:pPr>
            <w:r>
              <w:rPr>
                <w:rFonts w:hint="eastAsia" w:eastAsia="宋体"/>
                <w:color w:val="auto"/>
                <w:sz w:val="24"/>
                <w:szCs w:val="24"/>
                <w:lang w:val="zh-CN"/>
              </w:rPr>
              <w:t>联系电话：0971-6145505</w:t>
            </w:r>
          </w:p>
        </w:tc>
      </w:tr>
    </w:tbl>
    <w:p>
      <w:pPr>
        <w:tabs>
          <w:tab w:val="left" w:pos="8306"/>
        </w:tabs>
        <w:spacing w:before="240" w:after="240" w:line="360" w:lineRule="auto"/>
        <w:ind w:right="640" w:firstLine="199" w:firstLineChars="83"/>
        <w:jc w:val="right"/>
        <w:rPr>
          <w:rFonts w:eastAsia="宋体"/>
          <w:color w:val="auto"/>
          <w:sz w:val="24"/>
          <w:szCs w:val="24"/>
          <w:lang w:val="zh-CN"/>
        </w:rPr>
      </w:pPr>
      <w:r>
        <w:rPr>
          <w:rFonts w:hint="eastAsia" w:eastAsia="宋体"/>
          <w:color w:val="auto"/>
          <w:sz w:val="24"/>
          <w:szCs w:val="24"/>
          <w:lang w:val="zh-CN"/>
        </w:rPr>
        <w:t>青海中旭工程项目管理有限公司</w:t>
      </w:r>
    </w:p>
    <w:p>
      <w:pPr>
        <w:spacing w:before="240" w:after="240" w:line="360" w:lineRule="auto"/>
        <w:jc w:val="left"/>
        <w:rPr>
          <w:rFonts w:eastAsia="宋体"/>
          <w:color w:val="auto"/>
          <w:sz w:val="24"/>
          <w:szCs w:val="24"/>
        </w:rPr>
      </w:pPr>
      <w:r>
        <w:rPr>
          <w:rFonts w:hint="eastAsia" w:eastAsia="宋体"/>
          <w:color w:val="auto"/>
          <w:sz w:val="24"/>
          <w:szCs w:val="24"/>
        </w:rPr>
        <w:t xml:space="preserve">                                                      2022年07月</w:t>
      </w:r>
      <w:r>
        <w:rPr>
          <w:rFonts w:hint="eastAsia" w:eastAsia="宋体"/>
          <w:color w:val="auto"/>
          <w:sz w:val="24"/>
          <w:szCs w:val="24"/>
          <w:lang w:val="en-US" w:eastAsia="zh-CN"/>
        </w:rPr>
        <w:t>20</w:t>
      </w:r>
      <w:r>
        <w:rPr>
          <w:rFonts w:hint="eastAsia" w:eastAsia="宋体"/>
          <w:color w:val="auto"/>
          <w:sz w:val="24"/>
          <w:szCs w:val="24"/>
        </w:rPr>
        <w:t>日</w:t>
      </w:r>
    </w:p>
    <w:p>
      <w:pPr>
        <w:pStyle w:val="21"/>
        <w:spacing w:before="0" w:after="0"/>
        <w:rPr>
          <w:rFonts w:ascii="宋体" w:hAnsi="宋体"/>
          <w:color w:val="auto"/>
          <w:lang w:val="zh-CN"/>
        </w:rPr>
      </w:pPr>
      <w:r>
        <w:rPr>
          <w:rFonts w:hint="eastAsia" w:ascii="宋体" w:hAnsi="宋体"/>
          <w:color w:val="auto"/>
          <w:sz w:val="24"/>
          <w:szCs w:val="24"/>
        </w:rPr>
        <w:br w:type="page"/>
      </w:r>
      <w:bookmarkStart w:id="9" w:name="_Toc22141"/>
      <w:bookmarkStart w:id="10" w:name="_Toc3201"/>
      <w:bookmarkStart w:id="11" w:name="_Toc495666256"/>
      <w:bookmarkStart w:id="12" w:name="_Toc14075"/>
      <w:bookmarkStart w:id="13" w:name="_Toc495567939"/>
      <w:bookmarkStart w:id="14" w:name="_Toc6982"/>
      <w:bookmarkStart w:id="15" w:name="_Toc21471"/>
      <w:bookmarkStart w:id="16" w:name="_Toc27773"/>
      <w:bookmarkStart w:id="17" w:name="_Toc9821"/>
      <w:r>
        <w:rPr>
          <w:rFonts w:hint="eastAsia" w:ascii="宋体" w:hAnsi="宋体"/>
          <w:color w:val="auto"/>
          <w:lang w:val="zh-CN"/>
        </w:rPr>
        <w:t>第二部分 供应商须知前附表</w:t>
      </w:r>
      <w:bookmarkEnd w:id="9"/>
      <w:bookmarkEnd w:id="10"/>
      <w:bookmarkEnd w:id="11"/>
      <w:bookmarkEnd w:id="12"/>
      <w:bookmarkEnd w:id="13"/>
      <w:bookmarkEnd w:id="14"/>
      <w:bookmarkEnd w:id="15"/>
      <w:bookmarkEnd w:id="16"/>
      <w:bookmarkEnd w:id="17"/>
    </w:p>
    <w:tbl>
      <w:tblPr>
        <w:tblStyle w:val="23"/>
        <w:tblW w:w="9093" w:type="dxa"/>
        <w:jc w:val="center"/>
        <w:tblLayout w:type="fixed"/>
        <w:tblCellMar>
          <w:top w:w="0" w:type="dxa"/>
          <w:left w:w="57" w:type="dxa"/>
          <w:bottom w:w="0" w:type="dxa"/>
          <w:right w:w="57" w:type="dxa"/>
        </w:tblCellMar>
      </w:tblPr>
      <w:tblGrid>
        <w:gridCol w:w="785"/>
        <w:gridCol w:w="2093"/>
        <w:gridCol w:w="6215"/>
      </w:tblGrid>
      <w:tr>
        <w:tblPrEx>
          <w:tblCellMar>
            <w:top w:w="0" w:type="dxa"/>
            <w:left w:w="57" w:type="dxa"/>
            <w:bottom w:w="0" w:type="dxa"/>
            <w:right w:w="57" w:type="dxa"/>
          </w:tblCellMar>
        </w:tblPrEx>
        <w:trPr>
          <w:trHeight w:val="345"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序号</w:t>
            </w:r>
          </w:p>
        </w:tc>
        <w:tc>
          <w:tcPr>
            <w:tcW w:w="8308" w:type="dxa"/>
            <w:gridSpan w:val="2"/>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center"/>
              <w:rPr>
                <w:rFonts w:eastAsia="宋体"/>
                <w:color w:val="auto"/>
                <w:sz w:val="24"/>
                <w:szCs w:val="24"/>
                <w:lang w:val="zh-CN"/>
              </w:rPr>
            </w:pPr>
            <w:r>
              <w:rPr>
                <w:rFonts w:hint="eastAsia" w:eastAsia="宋体"/>
                <w:color w:val="auto"/>
                <w:sz w:val="24"/>
                <w:szCs w:val="24"/>
                <w:lang w:val="zh-CN"/>
              </w:rPr>
              <w:t>内 容</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numPr>
                <w:ilvl w:val="0"/>
                <w:numId w:val="3"/>
              </w:numPr>
              <w:autoSpaceDE w:val="0"/>
              <w:autoSpaceDN w:val="0"/>
              <w:spacing w:line="360" w:lineRule="auto"/>
              <w:jc w:val="left"/>
              <w:rPr>
                <w:rFonts w:eastAsia="宋体"/>
                <w:color w:val="auto"/>
                <w:sz w:val="24"/>
                <w:szCs w:val="24"/>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采购项目编号</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adjustRightInd w:val="0"/>
              <w:spacing w:line="360" w:lineRule="auto"/>
              <w:jc w:val="left"/>
              <w:rPr>
                <w:rFonts w:eastAsia="宋体"/>
                <w:color w:val="auto"/>
                <w:sz w:val="24"/>
                <w:szCs w:val="24"/>
              </w:rPr>
            </w:pPr>
            <w:r>
              <w:rPr>
                <w:rFonts w:hint="eastAsia" w:eastAsia="宋体"/>
                <w:color w:val="auto"/>
                <w:sz w:val="24"/>
                <w:szCs w:val="24"/>
              </w:rPr>
              <w:t>青海中旭竞磋（服务）2022-029</w:t>
            </w:r>
          </w:p>
        </w:tc>
      </w:tr>
      <w:tr>
        <w:tblPrEx>
          <w:tblCellMar>
            <w:top w:w="0" w:type="dxa"/>
            <w:left w:w="57" w:type="dxa"/>
            <w:bottom w:w="0" w:type="dxa"/>
            <w:right w:w="57" w:type="dxa"/>
          </w:tblCellMar>
        </w:tblPrEx>
        <w:trPr>
          <w:trHeight w:val="564"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numPr>
                <w:ilvl w:val="0"/>
                <w:numId w:val="3"/>
              </w:numPr>
              <w:autoSpaceDE w:val="0"/>
              <w:autoSpaceDN w:val="0"/>
              <w:spacing w:line="360" w:lineRule="auto"/>
              <w:jc w:val="left"/>
              <w:rPr>
                <w:rFonts w:eastAsia="宋体"/>
                <w:color w:val="auto"/>
                <w:sz w:val="24"/>
                <w:szCs w:val="24"/>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采购项目名称</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adjustRightInd w:val="0"/>
              <w:spacing w:line="360" w:lineRule="auto"/>
              <w:jc w:val="left"/>
              <w:rPr>
                <w:rFonts w:eastAsia="宋体"/>
                <w:color w:val="auto"/>
                <w:sz w:val="24"/>
                <w:szCs w:val="24"/>
                <w:lang w:val="zh-CN"/>
              </w:rPr>
            </w:pPr>
            <w:r>
              <w:rPr>
                <w:rFonts w:hint="eastAsia" w:eastAsia="宋体"/>
                <w:color w:val="auto"/>
                <w:sz w:val="24"/>
                <w:szCs w:val="24"/>
                <w:lang w:val="zh-CN"/>
              </w:rPr>
              <w:t>2022年中央支持地方高校改革发展专项</w:t>
            </w:r>
            <w:r>
              <w:rPr>
                <w:rFonts w:hint="eastAsia" w:ascii="黑体" w:hAnsi="黑体" w:eastAsia="黑体" w:cs="黑体"/>
                <w:color w:val="auto"/>
                <w:sz w:val="24"/>
                <w:szCs w:val="24"/>
                <w:lang w:val="zh-CN"/>
              </w:rPr>
              <w:t>——</w:t>
            </w:r>
            <w:r>
              <w:rPr>
                <w:rFonts w:hint="eastAsia" w:eastAsia="宋体"/>
                <w:color w:val="auto"/>
                <w:sz w:val="24"/>
                <w:szCs w:val="24"/>
                <w:lang w:val="zh-CN"/>
              </w:rPr>
              <w:t>本科教育教学建设（校级精品在线开放课程建设）</w:t>
            </w:r>
          </w:p>
        </w:tc>
      </w:tr>
      <w:tr>
        <w:tblPrEx>
          <w:tblCellMar>
            <w:top w:w="0" w:type="dxa"/>
            <w:left w:w="57" w:type="dxa"/>
            <w:bottom w:w="0" w:type="dxa"/>
            <w:right w:w="57" w:type="dxa"/>
          </w:tblCellMar>
        </w:tblPrEx>
        <w:trPr>
          <w:trHeight w:val="90"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numPr>
                <w:ilvl w:val="0"/>
                <w:numId w:val="3"/>
              </w:numPr>
              <w:autoSpaceDE w:val="0"/>
              <w:autoSpaceDN w:val="0"/>
              <w:spacing w:line="360" w:lineRule="auto"/>
              <w:jc w:val="left"/>
              <w:rPr>
                <w:rFonts w:eastAsia="宋体"/>
                <w:color w:val="auto"/>
                <w:sz w:val="24"/>
                <w:szCs w:val="24"/>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采购人</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rPr>
            </w:pPr>
            <w:r>
              <w:rPr>
                <w:rFonts w:hint="eastAsia" w:eastAsia="宋体"/>
                <w:color w:val="auto"/>
                <w:sz w:val="24"/>
                <w:szCs w:val="24"/>
              </w:rPr>
              <w:t>青海民族大学</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numPr>
                <w:ilvl w:val="0"/>
                <w:numId w:val="3"/>
              </w:numPr>
              <w:autoSpaceDE w:val="0"/>
              <w:autoSpaceDN w:val="0"/>
              <w:spacing w:line="360" w:lineRule="auto"/>
              <w:jc w:val="left"/>
              <w:rPr>
                <w:rFonts w:eastAsia="宋体"/>
                <w:color w:val="auto"/>
                <w:sz w:val="24"/>
                <w:szCs w:val="24"/>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采购代理机构</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青海中旭工程项目管理有限公司</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numPr>
                <w:ilvl w:val="0"/>
                <w:numId w:val="3"/>
              </w:numPr>
              <w:autoSpaceDE w:val="0"/>
              <w:autoSpaceDN w:val="0"/>
              <w:spacing w:line="360" w:lineRule="auto"/>
              <w:jc w:val="left"/>
              <w:rPr>
                <w:rFonts w:eastAsia="宋体"/>
                <w:color w:val="auto"/>
                <w:sz w:val="24"/>
                <w:szCs w:val="24"/>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采购方式</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adjustRightInd w:val="0"/>
              <w:spacing w:line="360" w:lineRule="auto"/>
              <w:jc w:val="left"/>
              <w:rPr>
                <w:rFonts w:eastAsia="宋体"/>
                <w:color w:val="auto"/>
                <w:sz w:val="24"/>
                <w:szCs w:val="24"/>
                <w:lang w:val="zh-CN"/>
              </w:rPr>
            </w:pPr>
            <w:r>
              <w:rPr>
                <w:rFonts w:hint="eastAsia" w:eastAsia="宋体"/>
                <w:color w:val="auto"/>
                <w:sz w:val="24"/>
                <w:szCs w:val="24"/>
                <w:lang w:val="zh-CN"/>
              </w:rPr>
              <w:t>竞争性磋商</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numPr>
                <w:ilvl w:val="0"/>
                <w:numId w:val="3"/>
              </w:numPr>
              <w:autoSpaceDE w:val="0"/>
              <w:autoSpaceDN w:val="0"/>
              <w:spacing w:line="360" w:lineRule="auto"/>
              <w:jc w:val="left"/>
              <w:rPr>
                <w:rFonts w:eastAsia="宋体"/>
                <w:color w:val="auto"/>
                <w:sz w:val="24"/>
                <w:szCs w:val="24"/>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评分办法</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adjustRightInd w:val="0"/>
              <w:spacing w:line="360" w:lineRule="auto"/>
              <w:jc w:val="left"/>
              <w:rPr>
                <w:rFonts w:eastAsia="宋体"/>
                <w:color w:val="auto"/>
                <w:sz w:val="24"/>
                <w:szCs w:val="24"/>
                <w:lang w:val="zh-CN"/>
              </w:rPr>
            </w:pPr>
            <w:r>
              <w:rPr>
                <w:rFonts w:hint="eastAsia" w:eastAsia="宋体"/>
                <w:color w:val="auto"/>
                <w:sz w:val="24"/>
                <w:szCs w:val="24"/>
                <w:lang w:val="zh-CN"/>
              </w:rPr>
              <w:t>综合评分法</w:t>
            </w:r>
          </w:p>
        </w:tc>
      </w:tr>
      <w:tr>
        <w:tblPrEx>
          <w:tblCellMar>
            <w:top w:w="0" w:type="dxa"/>
            <w:left w:w="57" w:type="dxa"/>
            <w:bottom w:w="0" w:type="dxa"/>
            <w:right w:w="57" w:type="dxa"/>
          </w:tblCellMar>
        </w:tblPrEx>
        <w:trPr>
          <w:trHeight w:val="515"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numPr>
                <w:ilvl w:val="0"/>
                <w:numId w:val="3"/>
              </w:numPr>
              <w:autoSpaceDE w:val="0"/>
              <w:autoSpaceDN w:val="0"/>
              <w:spacing w:line="360" w:lineRule="auto"/>
              <w:jc w:val="left"/>
              <w:rPr>
                <w:rFonts w:eastAsia="宋体"/>
                <w:color w:val="auto"/>
                <w:sz w:val="24"/>
                <w:szCs w:val="24"/>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采购预算控制额度</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adjustRightInd w:val="0"/>
              <w:spacing w:line="360" w:lineRule="auto"/>
              <w:jc w:val="left"/>
              <w:rPr>
                <w:rFonts w:eastAsia="宋体"/>
                <w:color w:val="auto"/>
                <w:sz w:val="24"/>
                <w:szCs w:val="24"/>
                <w:lang w:val="zh-CN"/>
              </w:rPr>
            </w:pPr>
            <w:r>
              <w:rPr>
                <w:rFonts w:hint="eastAsia" w:eastAsia="宋体"/>
                <w:color w:val="auto"/>
                <w:sz w:val="24"/>
                <w:szCs w:val="24"/>
              </w:rPr>
              <w:t>人民币1500000.00元（大写：壹佰伍拾万元整）</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numPr>
                <w:ilvl w:val="0"/>
                <w:numId w:val="3"/>
              </w:numPr>
              <w:autoSpaceDE w:val="0"/>
              <w:autoSpaceDN w:val="0"/>
              <w:spacing w:line="360" w:lineRule="auto"/>
              <w:jc w:val="left"/>
              <w:rPr>
                <w:rFonts w:eastAsia="宋体"/>
                <w:color w:val="auto"/>
                <w:sz w:val="24"/>
                <w:szCs w:val="24"/>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采购要求</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adjustRightInd w:val="0"/>
              <w:spacing w:line="360" w:lineRule="auto"/>
              <w:jc w:val="left"/>
              <w:rPr>
                <w:rFonts w:eastAsia="宋体"/>
                <w:color w:val="auto"/>
                <w:sz w:val="24"/>
                <w:szCs w:val="24"/>
                <w:lang w:val="zh-CN"/>
              </w:rPr>
            </w:pPr>
            <w:r>
              <w:rPr>
                <w:rFonts w:hint="eastAsia" w:eastAsia="宋体"/>
                <w:color w:val="auto"/>
                <w:sz w:val="24"/>
                <w:szCs w:val="24"/>
              </w:rPr>
              <w:t>具体内容详见《竞争性磋商文件》</w:t>
            </w:r>
          </w:p>
        </w:tc>
      </w:tr>
      <w:tr>
        <w:tblPrEx>
          <w:tblCellMar>
            <w:top w:w="0" w:type="dxa"/>
            <w:left w:w="57" w:type="dxa"/>
            <w:bottom w:w="0" w:type="dxa"/>
            <w:right w:w="57" w:type="dxa"/>
          </w:tblCellMar>
        </w:tblPrEx>
        <w:trPr>
          <w:trHeight w:val="2978"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numPr>
                <w:ilvl w:val="0"/>
                <w:numId w:val="3"/>
              </w:numPr>
              <w:autoSpaceDE w:val="0"/>
              <w:autoSpaceDN w:val="0"/>
              <w:spacing w:line="360" w:lineRule="auto"/>
              <w:jc w:val="left"/>
              <w:rPr>
                <w:rFonts w:eastAsia="宋体"/>
                <w:color w:val="auto"/>
                <w:sz w:val="24"/>
                <w:szCs w:val="24"/>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磋商保证金</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磋商保证金：¥</w:t>
            </w:r>
            <w:r>
              <w:rPr>
                <w:rFonts w:hint="eastAsia" w:eastAsia="宋体"/>
                <w:color w:val="auto"/>
                <w:sz w:val="24"/>
                <w:szCs w:val="24"/>
              </w:rPr>
              <w:t>30000.00</w:t>
            </w:r>
            <w:r>
              <w:rPr>
                <w:rFonts w:hint="eastAsia" w:eastAsia="宋体"/>
                <w:color w:val="auto"/>
                <w:sz w:val="24"/>
                <w:szCs w:val="24"/>
                <w:lang w:val="zh-CN"/>
              </w:rPr>
              <w:t>元（大写：</w:t>
            </w:r>
            <w:r>
              <w:rPr>
                <w:rFonts w:hint="eastAsia" w:eastAsia="宋体"/>
                <w:color w:val="auto"/>
                <w:sz w:val="24"/>
                <w:szCs w:val="24"/>
              </w:rPr>
              <w:t>叁万元整</w:t>
            </w:r>
            <w:r>
              <w:rPr>
                <w:rFonts w:hint="eastAsia" w:eastAsia="宋体"/>
                <w:color w:val="auto"/>
                <w:sz w:val="24"/>
                <w:szCs w:val="24"/>
                <w:lang w:val="zh-CN"/>
              </w:rPr>
              <w:t>）；</w:t>
            </w:r>
          </w:p>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收款单位：青海中旭工程项目管理有限公司</w:t>
            </w:r>
          </w:p>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开 户 行：兴业银行西宁分行营业部</w:t>
            </w:r>
          </w:p>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银行账号：632010100100376299</w:t>
            </w:r>
          </w:p>
          <w:p>
            <w:pPr>
              <w:autoSpaceDE w:val="0"/>
              <w:autoSpaceDN w:val="0"/>
              <w:spacing w:line="360" w:lineRule="auto"/>
              <w:jc w:val="left"/>
              <w:rPr>
                <w:rFonts w:eastAsia="宋体"/>
                <w:color w:val="auto"/>
                <w:sz w:val="24"/>
                <w:szCs w:val="24"/>
              </w:rPr>
            </w:pPr>
            <w:r>
              <w:rPr>
                <w:rFonts w:hint="eastAsia" w:eastAsia="宋体"/>
                <w:color w:val="auto"/>
                <w:sz w:val="24"/>
                <w:szCs w:val="24"/>
                <w:lang w:val="zh-CN"/>
              </w:rPr>
              <w:t>开户行号：</w:t>
            </w:r>
            <w:r>
              <w:rPr>
                <w:rFonts w:hint="eastAsia" w:eastAsia="宋体"/>
                <w:color w:val="auto"/>
                <w:sz w:val="24"/>
                <w:szCs w:val="24"/>
              </w:rPr>
              <w:t>309851000028</w:t>
            </w:r>
          </w:p>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缴费时间：磋商截止期前一工作日，以银行到账时间为准。</w:t>
            </w:r>
          </w:p>
        </w:tc>
      </w:tr>
      <w:tr>
        <w:tblPrEx>
          <w:tblCellMar>
            <w:top w:w="0" w:type="dxa"/>
            <w:left w:w="57" w:type="dxa"/>
            <w:bottom w:w="0" w:type="dxa"/>
            <w:right w:w="57" w:type="dxa"/>
          </w:tblCellMar>
        </w:tblPrEx>
        <w:trPr>
          <w:trHeight w:val="1932"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numPr>
                <w:ilvl w:val="0"/>
                <w:numId w:val="3"/>
              </w:numPr>
              <w:autoSpaceDE w:val="0"/>
              <w:autoSpaceDN w:val="0"/>
              <w:spacing w:line="360" w:lineRule="auto"/>
              <w:jc w:val="left"/>
              <w:rPr>
                <w:rFonts w:eastAsia="宋体"/>
                <w:color w:val="auto"/>
                <w:sz w:val="24"/>
                <w:szCs w:val="24"/>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缴费方式</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磋商保证金缴纳形式：转账、电汇（不接受现金），须由供应商从其基本账户转入指定专用账户，汇单附言栏内注明项目名称及用途，附基本账户开户许可证复印件；</w:t>
            </w:r>
          </w:p>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供应商未按照磋商文件要求提交磋商保证金的，磋商无效。</w:t>
            </w:r>
          </w:p>
        </w:tc>
      </w:tr>
      <w:tr>
        <w:tblPrEx>
          <w:tblCellMar>
            <w:top w:w="0" w:type="dxa"/>
            <w:left w:w="57" w:type="dxa"/>
            <w:bottom w:w="0" w:type="dxa"/>
            <w:right w:w="57" w:type="dxa"/>
          </w:tblCellMar>
        </w:tblPrEx>
        <w:trPr>
          <w:trHeight w:val="328"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numPr>
                <w:ilvl w:val="0"/>
                <w:numId w:val="3"/>
              </w:numPr>
              <w:autoSpaceDE w:val="0"/>
              <w:autoSpaceDN w:val="0"/>
              <w:spacing w:line="360" w:lineRule="auto"/>
              <w:jc w:val="left"/>
              <w:rPr>
                <w:rFonts w:eastAsia="宋体"/>
                <w:color w:val="auto"/>
                <w:sz w:val="24"/>
                <w:szCs w:val="24"/>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磋商保证金退还</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未成交供应商的磋商保证金在成交通知书发出后5个工作日内退还，成交供应商的磋商保证金在采购合同签订后5个工作日内退还。</w:t>
            </w:r>
          </w:p>
        </w:tc>
      </w:tr>
      <w:tr>
        <w:tblPrEx>
          <w:tblCellMar>
            <w:top w:w="0" w:type="dxa"/>
            <w:left w:w="57" w:type="dxa"/>
            <w:bottom w:w="0" w:type="dxa"/>
            <w:right w:w="57" w:type="dxa"/>
          </w:tblCellMar>
        </w:tblPrEx>
        <w:trPr>
          <w:trHeight w:val="328"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numPr>
                <w:ilvl w:val="0"/>
                <w:numId w:val="3"/>
              </w:numPr>
              <w:autoSpaceDE w:val="0"/>
              <w:autoSpaceDN w:val="0"/>
              <w:spacing w:line="360" w:lineRule="auto"/>
              <w:jc w:val="left"/>
              <w:rPr>
                <w:rFonts w:eastAsia="宋体"/>
                <w:color w:val="auto"/>
                <w:sz w:val="24"/>
                <w:szCs w:val="24"/>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rPr>
              <w:t>响应文件编制要求</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1、电子投标文件编制要求按政采云平台操作要求上传。</w:t>
            </w:r>
          </w:p>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2、磋商响应文件中的扫描或复印件内容应清晰可辨，且要求正向放置。</w:t>
            </w:r>
          </w:p>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3、磋商响应文件要求签字、盖章的地方必须由供应商的法定代表人或委托代理人按要求签字、盖章；磋商供应商提供的扫描（或复印）件均需加盖公章。</w:t>
            </w:r>
          </w:p>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4、供应商应在提交磋商响应文件截止时间前上传磋商响应文件。</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numPr>
                <w:ilvl w:val="0"/>
                <w:numId w:val="3"/>
              </w:numPr>
              <w:autoSpaceDE w:val="0"/>
              <w:autoSpaceDN w:val="0"/>
              <w:spacing w:line="360" w:lineRule="auto"/>
              <w:jc w:val="left"/>
              <w:rPr>
                <w:rFonts w:eastAsia="宋体"/>
                <w:color w:val="auto"/>
                <w:sz w:val="24"/>
                <w:szCs w:val="24"/>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递交响应文件方式</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政采云平台线上上传</w:t>
            </w:r>
          </w:p>
        </w:tc>
      </w:tr>
      <w:tr>
        <w:tblPrEx>
          <w:tblCellMar>
            <w:top w:w="0" w:type="dxa"/>
            <w:left w:w="57" w:type="dxa"/>
            <w:bottom w:w="0" w:type="dxa"/>
            <w:right w:w="57" w:type="dxa"/>
          </w:tblCellMar>
        </w:tblPrEx>
        <w:trPr>
          <w:trHeight w:val="538"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numPr>
                <w:ilvl w:val="0"/>
                <w:numId w:val="3"/>
              </w:numPr>
              <w:autoSpaceDE w:val="0"/>
              <w:autoSpaceDN w:val="0"/>
              <w:spacing w:line="360" w:lineRule="auto"/>
              <w:jc w:val="left"/>
              <w:rPr>
                <w:rFonts w:eastAsia="宋体"/>
                <w:color w:val="auto"/>
                <w:sz w:val="24"/>
                <w:szCs w:val="24"/>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答疑澄清方式</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线上答疑。在项目评审时须在线了解开标信息，掌握答疑时间，需由法定代表人或委托代理人对磋商小组提出的质疑做出应答。供应商须在规定的时间内进行答疑澄清，如在规定的时间内未答疑的，视同放弃答疑。</w:t>
            </w:r>
          </w:p>
        </w:tc>
      </w:tr>
      <w:tr>
        <w:tblPrEx>
          <w:tblCellMar>
            <w:top w:w="0" w:type="dxa"/>
            <w:left w:w="57" w:type="dxa"/>
            <w:bottom w:w="0" w:type="dxa"/>
            <w:right w:w="57" w:type="dxa"/>
          </w:tblCellMar>
        </w:tblPrEx>
        <w:trPr>
          <w:trHeight w:val="1040"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numPr>
                <w:ilvl w:val="0"/>
                <w:numId w:val="3"/>
              </w:numPr>
              <w:autoSpaceDE w:val="0"/>
              <w:autoSpaceDN w:val="0"/>
              <w:spacing w:line="360" w:lineRule="auto"/>
              <w:jc w:val="left"/>
              <w:rPr>
                <w:rFonts w:eastAsia="宋体"/>
                <w:color w:val="auto"/>
                <w:sz w:val="24"/>
                <w:szCs w:val="24"/>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代理服务费收取</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rPr>
            </w:pPr>
            <w:r>
              <w:rPr>
                <w:rFonts w:hint="eastAsia" w:eastAsia="宋体"/>
                <w:color w:val="auto"/>
                <w:sz w:val="24"/>
                <w:szCs w:val="24"/>
              </w:rPr>
              <w:t>收取对象：成交供应商</w:t>
            </w:r>
          </w:p>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收取方式：按《关于进一步放开建设项目专业服务价格的通知》（发改价格〔2015〕299号）。</w:t>
            </w:r>
          </w:p>
          <w:p>
            <w:pPr>
              <w:autoSpaceDE w:val="0"/>
              <w:autoSpaceDN w:val="0"/>
              <w:spacing w:line="360" w:lineRule="auto"/>
              <w:jc w:val="left"/>
              <w:rPr>
                <w:rFonts w:eastAsia="宋体"/>
                <w:b/>
                <w:bCs/>
                <w:color w:val="auto"/>
                <w:sz w:val="24"/>
                <w:szCs w:val="24"/>
              </w:rPr>
            </w:pPr>
            <w:r>
              <w:rPr>
                <w:rFonts w:hint="eastAsia" w:eastAsia="宋体"/>
                <w:b/>
                <w:bCs/>
                <w:color w:val="auto"/>
                <w:sz w:val="24"/>
                <w:szCs w:val="24"/>
                <w:lang w:val="zh-CN"/>
              </w:rPr>
              <w:t>收取金额：小写金额：¥</w:t>
            </w:r>
            <w:r>
              <w:rPr>
                <w:rFonts w:hint="eastAsia" w:eastAsia="宋体"/>
                <w:b/>
                <w:bCs/>
                <w:color w:val="auto"/>
                <w:sz w:val="24"/>
                <w:szCs w:val="24"/>
              </w:rPr>
              <w:t>20000.00元；</w:t>
            </w:r>
          </w:p>
          <w:p>
            <w:pPr>
              <w:autoSpaceDE w:val="0"/>
              <w:autoSpaceDN w:val="0"/>
              <w:spacing w:line="360" w:lineRule="auto"/>
              <w:ind w:firstLine="482" w:firstLineChars="200"/>
              <w:jc w:val="left"/>
              <w:rPr>
                <w:rFonts w:eastAsia="宋体"/>
                <w:b/>
                <w:bCs/>
                <w:color w:val="auto"/>
                <w:sz w:val="24"/>
                <w:szCs w:val="24"/>
              </w:rPr>
            </w:pPr>
            <w:r>
              <w:rPr>
                <w:rFonts w:hint="eastAsia" w:eastAsia="宋体"/>
                <w:b/>
                <w:bCs/>
                <w:color w:val="auto"/>
                <w:sz w:val="24"/>
                <w:szCs w:val="24"/>
              </w:rPr>
              <w:t xml:space="preserve">      大写金额：贰万元整。</w:t>
            </w:r>
          </w:p>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收取单位：青海中旭工程项目管理有限公司</w:t>
            </w:r>
          </w:p>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开户银行：中国农业银行股份有限公司西宁城西区万达支行交通巷分理处</w:t>
            </w:r>
          </w:p>
          <w:p>
            <w:pPr>
              <w:autoSpaceDE w:val="0"/>
              <w:autoSpaceDN w:val="0"/>
              <w:spacing w:line="360" w:lineRule="auto"/>
              <w:jc w:val="left"/>
              <w:rPr>
                <w:rFonts w:eastAsia="宋体"/>
                <w:color w:val="auto"/>
                <w:sz w:val="24"/>
                <w:szCs w:val="24"/>
              </w:rPr>
            </w:pPr>
            <w:r>
              <w:rPr>
                <w:rFonts w:hint="eastAsia" w:eastAsia="宋体"/>
                <w:color w:val="auto"/>
                <w:sz w:val="24"/>
                <w:szCs w:val="24"/>
                <w:lang w:val="zh-CN"/>
              </w:rPr>
              <w:t>代理服务费账号：28043001040001791（开户行号：103851004307）</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numPr>
                <w:ilvl w:val="0"/>
                <w:numId w:val="3"/>
              </w:numPr>
              <w:autoSpaceDE w:val="0"/>
              <w:autoSpaceDN w:val="0"/>
              <w:spacing w:line="360" w:lineRule="auto"/>
              <w:jc w:val="left"/>
              <w:rPr>
                <w:rFonts w:eastAsia="宋体"/>
                <w:color w:val="auto"/>
                <w:sz w:val="24"/>
                <w:szCs w:val="24"/>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合同签订有效期</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自成交通知书发出之日起30日内与采购人签订合同</w:t>
            </w:r>
          </w:p>
        </w:tc>
      </w:tr>
      <w:tr>
        <w:tblPrEx>
          <w:tblCellMar>
            <w:top w:w="0" w:type="dxa"/>
            <w:left w:w="57" w:type="dxa"/>
            <w:bottom w:w="0" w:type="dxa"/>
            <w:right w:w="57" w:type="dxa"/>
          </w:tblCellMar>
        </w:tblPrEx>
        <w:trPr>
          <w:trHeight w:val="893"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numPr>
                <w:ilvl w:val="0"/>
                <w:numId w:val="3"/>
              </w:numPr>
              <w:autoSpaceDE w:val="0"/>
              <w:autoSpaceDN w:val="0"/>
              <w:spacing w:line="360" w:lineRule="auto"/>
              <w:jc w:val="left"/>
              <w:rPr>
                <w:rFonts w:eastAsia="宋体"/>
                <w:color w:val="auto"/>
                <w:sz w:val="24"/>
                <w:szCs w:val="24"/>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政府采购合同备案</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采购合同全数返回采购代理机构鉴证，盖章。</w:t>
            </w:r>
          </w:p>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采购代理机构留存两份原件备案。</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numPr>
                <w:ilvl w:val="0"/>
                <w:numId w:val="3"/>
              </w:numPr>
              <w:autoSpaceDE w:val="0"/>
              <w:autoSpaceDN w:val="0"/>
              <w:spacing w:line="360" w:lineRule="auto"/>
              <w:jc w:val="left"/>
              <w:rPr>
                <w:rFonts w:eastAsia="宋体"/>
                <w:color w:val="auto"/>
                <w:sz w:val="24"/>
                <w:szCs w:val="24"/>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rPr>
              <w:t>磋商有效期</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磋商有效期为自磋商开始之日起60日历日</w:t>
            </w:r>
          </w:p>
        </w:tc>
      </w:tr>
      <w:tr>
        <w:tblPrEx>
          <w:tblCellMar>
            <w:top w:w="0" w:type="dxa"/>
            <w:left w:w="57" w:type="dxa"/>
            <w:bottom w:w="0" w:type="dxa"/>
            <w:right w:w="57" w:type="dxa"/>
          </w:tblCellMar>
        </w:tblPrEx>
        <w:trPr>
          <w:trHeight w:val="484"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numPr>
                <w:ilvl w:val="0"/>
                <w:numId w:val="3"/>
              </w:numPr>
              <w:autoSpaceDE w:val="0"/>
              <w:autoSpaceDN w:val="0"/>
              <w:spacing w:line="360" w:lineRule="auto"/>
              <w:jc w:val="left"/>
              <w:rPr>
                <w:rFonts w:eastAsia="宋体"/>
                <w:color w:val="auto"/>
                <w:sz w:val="24"/>
                <w:szCs w:val="24"/>
                <w:lang w:val="zh-CN"/>
              </w:rPr>
            </w:pPr>
          </w:p>
        </w:tc>
        <w:tc>
          <w:tcPr>
            <w:tcW w:w="2093"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其他事项</w:t>
            </w:r>
          </w:p>
        </w:tc>
        <w:tc>
          <w:tcPr>
            <w:tcW w:w="621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szCs w:val="24"/>
              </w:rPr>
            </w:pPr>
            <w:r>
              <w:rPr>
                <w:rFonts w:hint="eastAsia" w:eastAsia="宋体"/>
                <w:color w:val="auto"/>
                <w:sz w:val="24"/>
                <w:szCs w:val="24"/>
              </w:rPr>
              <w:t>/</w:t>
            </w:r>
          </w:p>
        </w:tc>
      </w:tr>
    </w:tbl>
    <w:p>
      <w:pPr>
        <w:spacing w:line="360" w:lineRule="auto"/>
        <w:jc w:val="left"/>
        <w:rPr>
          <w:rFonts w:eastAsia="宋体"/>
          <w:color w:val="auto"/>
          <w:sz w:val="24"/>
          <w:szCs w:val="24"/>
        </w:rPr>
      </w:pPr>
    </w:p>
    <w:bookmarkEnd w:id="6"/>
    <w:p>
      <w:pPr>
        <w:pStyle w:val="21"/>
        <w:rPr>
          <w:rFonts w:ascii="宋体" w:hAnsi="宋体"/>
          <w:color w:val="auto"/>
          <w:kern w:val="28"/>
        </w:rPr>
      </w:pPr>
      <w:bookmarkStart w:id="18" w:name="_Toc495567940"/>
      <w:bookmarkStart w:id="19" w:name="_Toc495666257"/>
      <w:bookmarkStart w:id="20" w:name="_Toc325725997"/>
      <w:r>
        <w:rPr>
          <w:rFonts w:hint="eastAsia" w:ascii="宋体" w:hAnsi="宋体"/>
          <w:color w:val="auto"/>
          <w:kern w:val="28"/>
        </w:rPr>
        <w:br w:type="page"/>
      </w:r>
      <w:bookmarkStart w:id="21" w:name="_Toc16642"/>
      <w:bookmarkStart w:id="22" w:name="_Toc24529"/>
      <w:bookmarkStart w:id="23" w:name="_Toc15991"/>
      <w:bookmarkStart w:id="24" w:name="_Toc26091"/>
      <w:bookmarkStart w:id="25" w:name="_Toc13839"/>
      <w:bookmarkStart w:id="26" w:name="_Toc3237"/>
      <w:r>
        <w:rPr>
          <w:rFonts w:hint="eastAsia" w:ascii="宋体" w:hAnsi="宋体"/>
          <w:color w:val="auto"/>
          <w:kern w:val="28"/>
        </w:rPr>
        <w:t>第三部分 供应商须知</w:t>
      </w:r>
      <w:bookmarkEnd w:id="18"/>
      <w:bookmarkEnd w:id="19"/>
      <w:bookmarkEnd w:id="21"/>
      <w:bookmarkEnd w:id="22"/>
      <w:bookmarkEnd w:id="23"/>
      <w:bookmarkEnd w:id="24"/>
      <w:bookmarkEnd w:id="25"/>
      <w:bookmarkEnd w:id="26"/>
    </w:p>
    <w:p>
      <w:pPr>
        <w:pStyle w:val="2"/>
        <w:rPr>
          <w:rFonts w:ascii="宋体" w:hAnsi="宋体" w:cs="宋体"/>
        </w:rPr>
      </w:pPr>
      <w:bookmarkStart w:id="27" w:name="_Toc25088"/>
      <w:bookmarkStart w:id="28" w:name="_Toc2475"/>
      <w:bookmarkStart w:id="29" w:name="_Toc376936728"/>
      <w:bookmarkStart w:id="30" w:name="_Toc4558"/>
      <w:bookmarkStart w:id="31" w:name="_Toc16101"/>
      <w:bookmarkStart w:id="32" w:name="_Toc27514"/>
      <w:bookmarkStart w:id="33" w:name="_Toc14943"/>
      <w:bookmarkStart w:id="34" w:name="_Toc24622"/>
      <w:bookmarkStart w:id="35" w:name="_Toc10822"/>
      <w:r>
        <w:rPr>
          <w:rFonts w:hint="eastAsia" w:ascii="宋体" w:hAnsi="宋体" w:cs="宋体"/>
        </w:rPr>
        <w:t>一、说  明</w:t>
      </w:r>
      <w:bookmarkEnd w:id="20"/>
      <w:bookmarkEnd w:id="27"/>
      <w:bookmarkEnd w:id="28"/>
      <w:bookmarkEnd w:id="29"/>
      <w:bookmarkEnd w:id="30"/>
      <w:bookmarkEnd w:id="31"/>
      <w:bookmarkEnd w:id="32"/>
      <w:bookmarkEnd w:id="33"/>
      <w:bookmarkEnd w:id="34"/>
      <w:bookmarkEnd w:id="35"/>
    </w:p>
    <w:p>
      <w:pPr>
        <w:pStyle w:val="3"/>
        <w:rPr>
          <w:rFonts w:ascii="宋体" w:hAnsi="宋体" w:cs="宋体"/>
          <w:color w:val="auto"/>
        </w:rPr>
      </w:pPr>
      <w:bookmarkStart w:id="36" w:name="_Toc10415"/>
      <w:bookmarkStart w:id="37" w:name="_Toc4801"/>
      <w:bookmarkStart w:id="38" w:name="_Toc6553"/>
      <w:bookmarkStart w:id="39" w:name="_Toc9770"/>
      <w:bookmarkStart w:id="40" w:name="_Toc325725998"/>
      <w:bookmarkStart w:id="41" w:name="_Toc495666258"/>
      <w:bookmarkStart w:id="42" w:name="_Toc376936729"/>
      <w:bookmarkStart w:id="43" w:name="_Toc29862"/>
      <w:bookmarkStart w:id="44" w:name="_Toc6162"/>
      <w:bookmarkStart w:id="45" w:name="_Toc495567941"/>
      <w:bookmarkStart w:id="46" w:name="_Toc26944"/>
      <w:r>
        <w:rPr>
          <w:rFonts w:hint="eastAsia" w:ascii="宋体" w:hAnsi="宋体" w:cs="宋体"/>
          <w:color w:val="auto"/>
        </w:rPr>
        <w:t>1.适用范围</w:t>
      </w:r>
      <w:bookmarkEnd w:id="36"/>
      <w:bookmarkEnd w:id="37"/>
      <w:bookmarkEnd w:id="38"/>
      <w:bookmarkEnd w:id="39"/>
      <w:bookmarkEnd w:id="40"/>
      <w:bookmarkEnd w:id="41"/>
      <w:bookmarkEnd w:id="42"/>
      <w:bookmarkEnd w:id="43"/>
      <w:bookmarkEnd w:id="44"/>
      <w:bookmarkEnd w:id="45"/>
      <w:bookmarkEnd w:id="46"/>
    </w:p>
    <w:p>
      <w:pPr>
        <w:spacing w:line="360" w:lineRule="auto"/>
        <w:ind w:firstLine="480" w:firstLineChars="200"/>
        <w:jc w:val="left"/>
        <w:rPr>
          <w:rFonts w:eastAsia="宋体"/>
          <w:color w:val="auto"/>
          <w:sz w:val="24"/>
          <w:szCs w:val="24"/>
          <w:lang w:val="zh-CN"/>
        </w:rPr>
      </w:pPr>
      <w:bookmarkStart w:id="47" w:name="_Toc325725999"/>
      <w:bookmarkStart w:id="48" w:name="_Toc21998"/>
      <w:bookmarkStart w:id="49" w:name="_Toc376936730"/>
      <w:bookmarkStart w:id="50" w:name="_Toc31556"/>
      <w:r>
        <w:rPr>
          <w:rFonts w:hint="eastAsia" w:eastAsia="宋体"/>
          <w:color w:val="auto"/>
          <w:sz w:val="24"/>
          <w:szCs w:val="24"/>
          <w:lang w:val="zh-CN"/>
        </w:rPr>
        <w:t>1.1本次磋商活动依据采购人的采购计划，仅适用于本磋商文件中所叙述的项目。</w:t>
      </w:r>
    </w:p>
    <w:p>
      <w:pPr>
        <w:pStyle w:val="3"/>
        <w:rPr>
          <w:rFonts w:ascii="宋体" w:hAnsi="宋体" w:cs="宋体"/>
          <w:color w:val="auto"/>
        </w:rPr>
      </w:pPr>
      <w:bookmarkStart w:id="51" w:name="_Toc6012"/>
      <w:bookmarkStart w:id="52" w:name="_Toc495666259"/>
      <w:bookmarkStart w:id="53" w:name="_Toc8780"/>
      <w:bookmarkStart w:id="54" w:name="_Toc495567942"/>
      <w:bookmarkStart w:id="55" w:name="_Toc25696"/>
      <w:bookmarkStart w:id="56" w:name="_Toc3862"/>
      <w:bookmarkStart w:id="57" w:name="_Toc3225"/>
      <w:r>
        <w:rPr>
          <w:rFonts w:hint="eastAsia" w:ascii="宋体" w:hAnsi="宋体" w:cs="宋体"/>
          <w:color w:val="auto"/>
        </w:rPr>
        <w:t>2.采购方式、合格的</w:t>
      </w:r>
      <w:bookmarkEnd w:id="47"/>
      <w:bookmarkEnd w:id="48"/>
      <w:bookmarkEnd w:id="49"/>
      <w:r>
        <w:rPr>
          <w:rFonts w:hint="eastAsia" w:ascii="宋体" w:hAnsi="宋体" w:cs="宋体"/>
          <w:color w:val="auto"/>
        </w:rPr>
        <w:t>供应商</w:t>
      </w:r>
      <w:bookmarkEnd w:id="50"/>
      <w:bookmarkEnd w:id="51"/>
      <w:bookmarkEnd w:id="52"/>
      <w:bookmarkEnd w:id="53"/>
      <w:bookmarkEnd w:id="54"/>
      <w:bookmarkEnd w:id="55"/>
      <w:bookmarkEnd w:id="56"/>
      <w:bookmarkEnd w:id="57"/>
    </w:p>
    <w:p>
      <w:pPr>
        <w:tabs>
          <w:tab w:val="left" w:pos="840"/>
        </w:tabs>
        <w:spacing w:line="360" w:lineRule="auto"/>
        <w:ind w:firstLine="480" w:firstLineChars="200"/>
        <w:jc w:val="left"/>
        <w:rPr>
          <w:rFonts w:eastAsia="宋体"/>
          <w:color w:val="auto"/>
          <w:sz w:val="24"/>
          <w:szCs w:val="24"/>
        </w:rPr>
      </w:pPr>
      <w:r>
        <w:rPr>
          <w:rFonts w:hint="eastAsia" w:eastAsia="宋体"/>
          <w:color w:val="auto"/>
          <w:sz w:val="24"/>
          <w:szCs w:val="24"/>
        </w:rPr>
        <w:t>2.1本次采购采取竞争性磋商。</w:t>
      </w:r>
    </w:p>
    <w:p>
      <w:pPr>
        <w:tabs>
          <w:tab w:val="left" w:pos="840"/>
        </w:tabs>
        <w:spacing w:line="360" w:lineRule="auto"/>
        <w:ind w:firstLine="480" w:firstLineChars="200"/>
        <w:jc w:val="left"/>
        <w:rPr>
          <w:rFonts w:eastAsia="宋体"/>
          <w:color w:val="auto"/>
          <w:sz w:val="24"/>
          <w:szCs w:val="24"/>
        </w:rPr>
      </w:pPr>
      <w:r>
        <w:rPr>
          <w:rFonts w:hint="eastAsia" w:eastAsia="宋体"/>
          <w:color w:val="auto"/>
          <w:sz w:val="24"/>
          <w:szCs w:val="24"/>
        </w:rPr>
        <w:t>2.2合格的供应商：详见第一部分“供应商资格条件”。</w:t>
      </w:r>
    </w:p>
    <w:p>
      <w:pPr>
        <w:pStyle w:val="3"/>
        <w:rPr>
          <w:rFonts w:ascii="宋体" w:hAnsi="宋体" w:cs="宋体"/>
          <w:color w:val="auto"/>
        </w:rPr>
      </w:pPr>
      <w:bookmarkStart w:id="58" w:name="_Toc495666260"/>
      <w:bookmarkStart w:id="59" w:name="_Toc4392"/>
      <w:bookmarkStart w:id="60" w:name="_Toc9402"/>
      <w:bookmarkStart w:id="61" w:name="_Toc325726000"/>
      <w:bookmarkStart w:id="62" w:name="_Toc8805"/>
      <w:bookmarkStart w:id="63" w:name="_Toc28381"/>
      <w:bookmarkStart w:id="64" w:name="_Toc495567943"/>
      <w:bookmarkStart w:id="65" w:name="_Toc376936731"/>
      <w:bookmarkStart w:id="66" w:name="_Toc10317"/>
      <w:bookmarkStart w:id="67" w:name="_Toc8820"/>
      <w:bookmarkStart w:id="68" w:name="_Toc26310"/>
      <w:r>
        <w:rPr>
          <w:rFonts w:hint="eastAsia" w:ascii="宋体" w:hAnsi="宋体" w:cs="宋体"/>
          <w:color w:val="auto"/>
        </w:rPr>
        <w:t>3.磋商费用</w:t>
      </w:r>
      <w:bookmarkEnd w:id="58"/>
      <w:bookmarkEnd w:id="59"/>
      <w:bookmarkEnd w:id="60"/>
      <w:bookmarkEnd w:id="61"/>
      <w:bookmarkEnd w:id="62"/>
      <w:bookmarkEnd w:id="63"/>
      <w:bookmarkEnd w:id="64"/>
      <w:bookmarkEnd w:id="65"/>
      <w:bookmarkEnd w:id="66"/>
      <w:bookmarkEnd w:id="67"/>
      <w:bookmarkEnd w:id="68"/>
    </w:p>
    <w:p>
      <w:pPr>
        <w:tabs>
          <w:tab w:val="left" w:pos="840"/>
        </w:tabs>
        <w:spacing w:line="360" w:lineRule="auto"/>
        <w:ind w:firstLine="480"/>
        <w:jc w:val="left"/>
        <w:rPr>
          <w:rFonts w:eastAsia="宋体"/>
          <w:color w:val="auto"/>
          <w:sz w:val="24"/>
          <w:szCs w:val="24"/>
        </w:rPr>
      </w:pPr>
      <w:r>
        <w:rPr>
          <w:rFonts w:hint="eastAsia" w:eastAsia="宋体"/>
          <w:color w:val="auto"/>
          <w:sz w:val="24"/>
          <w:szCs w:val="24"/>
        </w:rPr>
        <w:t>3.1 供应商应自愿承担与参加本次磋商有关的费用。采购代理机构对供应商发生的费用不承担任何责任。</w:t>
      </w:r>
      <w:bookmarkStart w:id="69" w:name="_Toc325726001"/>
      <w:bookmarkStart w:id="70" w:name="_Toc18155"/>
      <w:bookmarkStart w:id="71" w:name="_Toc376936732"/>
    </w:p>
    <w:p>
      <w:pPr>
        <w:pStyle w:val="2"/>
        <w:rPr>
          <w:rFonts w:ascii="宋体" w:hAnsi="宋体" w:cs="宋体"/>
          <w:lang w:val="zh-CN"/>
        </w:rPr>
      </w:pPr>
      <w:bookmarkStart w:id="72" w:name="_Toc9067"/>
      <w:bookmarkStart w:id="73" w:name="_Toc10686"/>
      <w:bookmarkStart w:id="74" w:name="_Toc23474"/>
      <w:bookmarkStart w:id="75" w:name="_Toc14238"/>
      <w:bookmarkStart w:id="76" w:name="_Toc3406"/>
      <w:bookmarkStart w:id="77" w:name="_Toc20"/>
      <w:r>
        <w:rPr>
          <w:rFonts w:hint="eastAsia" w:ascii="宋体" w:hAnsi="宋体" w:cs="宋体"/>
          <w:lang w:val="zh-CN"/>
        </w:rPr>
        <w:t>二、磋商文件说明</w:t>
      </w:r>
      <w:bookmarkEnd w:id="69"/>
      <w:bookmarkEnd w:id="70"/>
      <w:bookmarkEnd w:id="71"/>
      <w:bookmarkEnd w:id="72"/>
      <w:bookmarkEnd w:id="73"/>
      <w:bookmarkEnd w:id="74"/>
      <w:bookmarkEnd w:id="75"/>
      <w:bookmarkEnd w:id="76"/>
      <w:bookmarkEnd w:id="77"/>
    </w:p>
    <w:p>
      <w:pPr>
        <w:pStyle w:val="3"/>
        <w:rPr>
          <w:rFonts w:ascii="宋体" w:hAnsi="宋体" w:cs="宋体"/>
          <w:color w:val="auto"/>
        </w:rPr>
      </w:pPr>
      <w:bookmarkStart w:id="78" w:name="_Toc14225"/>
      <w:bookmarkStart w:id="79" w:name="_Toc15063"/>
      <w:bookmarkStart w:id="80" w:name="_Toc25704"/>
      <w:bookmarkStart w:id="81" w:name="_Toc14931"/>
      <w:bookmarkStart w:id="82" w:name="_Toc495666261"/>
      <w:bookmarkStart w:id="83" w:name="_Toc495567944"/>
      <w:bookmarkStart w:id="84" w:name="_Toc10649"/>
      <w:bookmarkStart w:id="85" w:name="_Toc325726002"/>
      <w:bookmarkStart w:id="86" w:name="_Toc376936733"/>
      <w:bookmarkStart w:id="87" w:name="_Toc14153"/>
      <w:bookmarkStart w:id="88" w:name="_Toc14488"/>
      <w:r>
        <w:rPr>
          <w:rFonts w:hint="eastAsia" w:ascii="宋体" w:hAnsi="宋体" w:cs="宋体"/>
          <w:color w:val="auto"/>
        </w:rPr>
        <w:t>4.磋商文件的构成</w:t>
      </w:r>
      <w:bookmarkEnd w:id="78"/>
      <w:bookmarkEnd w:id="79"/>
      <w:bookmarkEnd w:id="80"/>
      <w:bookmarkEnd w:id="81"/>
      <w:bookmarkEnd w:id="82"/>
      <w:bookmarkEnd w:id="83"/>
      <w:bookmarkEnd w:id="84"/>
      <w:bookmarkEnd w:id="85"/>
      <w:bookmarkEnd w:id="86"/>
      <w:bookmarkEnd w:id="87"/>
      <w:bookmarkEnd w:id="88"/>
    </w:p>
    <w:p>
      <w:pPr>
        <w:spacing w:line="360" w:lineRule="auto"/>
        <w:ind w:firstLine="480" w:firstLineChars="200"/>
        <w:jc w:val="left"/>
        <w:rPr>
          <w:rFonts w:eastAsia="宋体"/>
          <w:color w:val="auto"/>
          <w:sz w:val="24"/>
          <w:szCs w:val="24"/>
        </w:rPr>
      </w:pPr>
      <w:r>
        <w:rPr>
          <w:rFonts w:hint="eastAsia" w:eastAsia="宋体"/>
          <w:color w:val="auto"/>
          <w:sz w:val="24"/>
          <w:szCs w:val="24"/>
        </w:rPr>
        <w:t>4.1磋商文件包括：</w:t>
      </w:r>
    </w:p>
    <w:p>
      <w:pPr>
        <w:spacing w:line="360" w:lineRule="auto"/>
        <w:ind w:firstLine="480" w:firstLineChars="200"/>
        <w:jc w:val="left"/>
        <w:rPr>
          <w:rFonts w:eastAsia="宋体"/>
          <w:color w:val="auto"/>
          <w:sz w:val="24"/>
          <w:szCs w:val="24"/>
        </w:rPr>
      </w:pPr>
      <w:r>
        <w:rPr>
          <w:rFonts w:hint="eastAsia" w:eastAsia="宋体"/>
          <w:color w:val="auto"/>
          <w:sz w:val="24"/>
          <w:szCs w:val="24"/>
        </w:rPr>
        <w:t>（1）竞争性磋商公告</w:t>
      </w:r>
    </w:p>
    <w:p>
      <w:pPr>
        <w:spacing w:line="360" w:lineRule="auto"/>
        <w:ind w:firstLine="480" w:firstLineChars="200"/>
        <w:jc w:val="left"/>
        <w:rPr>
          <w:rFonts w:eastAsia="宋体"/>
          <w:color w:val="auto"/>
          <w:sz w:val="24"/>
          <w:szCs w:val="24"/>
        </w:rPr>
      </w:pPr>
      <w:r>
        <w:rPr>
          <w:rFonts w:hint="eastAsia" w:eastAsia="宋体"/>
          <w:color w:val="auto"/>
          <w:sz w:val="24"/>
          <w:szCs w:val="24"/>
        </w:rPr>
        <w:t>（2）</w:t>
      </w:r>
      <w:r>
        <w:rPr>
          <w:rFonts w:hint="eastAsia" w:eastAsia="宋体"/>
          <w:color w:val="auto"/>
          <w:sz w:val="24"/>
          <w:szCs w:val="24"/>
          <w:lang w:val="zh-CN"/>
        </w:rPr>
        <w:t>供应商须知前附表</w:t>
      </w:r>
    </w:p>
    <w:p>
      <w:pPr>
        <w:spacing w:line="360" w:lineRule="auto"/>
        <w:ind w:firstLine="480" w:firstLineChars="200"/>
        <w:jc w:val="left"/>
        <w:rPr>
          <w:rFonts w:eastAsia="宋体"/>
          <w:color w:val="auto"/>
          <w:sz w:val="24"/>
          <w:szCs w:val="24"/>
        </w:rPr>
      </w:pPr>
      <w:r>
        <w:rPr>
          <w:rFonts w:hint="eastAsia" w:eastAsia="宋体"/>
          <w:color w:val="auto"/>
          <w:sz w:val="24"/>
          <w:szCs w:val="24"/>
        </w:rPr>
        <w:t>（3）供应商须知</w:t>
      </w:r>
    </w:p>
    <w:p>
      <w:pPr>
        <w:spacing w:line="360" w:lineRule="auto"/>
        <w:ind w:firstLine="480" w:firstLineChars="200"/>
        <w:jc w:val="left"/>
        <w:rPr>
          <w:rFonts w:eastAsia="宋体"/>
          <w:color w:val="auto"/>
          <w:sz w:val="24"/>
          <w:szCs w:val="24"/>
        </w:rPr>
      </w:pPr>
      <w:r>
        <w:rPr>
          <w:rFonts w:hint="eastAsia" w:eastAsia="宋体"/>
          <w:color w:val="auto"/>
          <w:sz w:val="24"/>
          <w:szCs w:val="24"/>
        </w:rPr>
        <w:t>（4）采购项目合同书</w:t>
      </w:r>
    </w:p>
    <w:p>
      <w:pPr>
        <w:spacing w:line="360" w:lineRule="auto"/>
        <w:ind w:firstLine="480" w:firstLineChars="200"/>
        <w:jc w:val="left"/>
        <w:rPr>
          <w:rFonts w:eastAsia="宋体"/>
          <w:color w:val="auto"/>
          <w:sz w:val="24"/>
          <w:szCs w:val="24"/>
        </w:rPr>
      </w:pPr>
      <w:r>
        <w:rPr>
          <w:rFonts w:hint="eastAsia" w:eastAsia="宋体"/>
          <w:color w:val="auto"/>
          <w:sz w:val="24"/>
          <w:szCs w:val="24"/>
        </w:rPr>
        <w:t>（5）响应文件格式（相关附件）</w:t>
      </w:r>
    </w:p>
    <w:p>
      <w:pPr>
        <w:spacing w:line="360" w:lineRule="auto"/>
        <w:ind w:firstLine="480" w:firstLineChars="200"/>
        <w:jc w:val="left"/>
        <w:rPr>
          <w:rFonts w:eastAsia="宋体"/>
          <w:color w:val="auto"/>
          <w:sz w:val="24"/>
          <w:szCs w:val="24"/>
        </w:rPr>
      </w:pPr>
      <w:r>
        <w:rPr>
          <w:rFonts w:hint="eastAsia" w:eastAsia="宋体"/>
          <w:color w:val="auto"/>
          <w:sz w:val="24"/>
          <w:szCs w:val="24"/>
        </w:rPr>
        <w:t>（6）采购项目服务要求</w:t>
      </w:r>
    </w:p>
    <w:p>
      <w:pPr>
        <w:spacing w:line="360" w:lineRule="auto"/>
        <w:ind w:firstLine="480" w:firstLineChars="200"/>
        <w:jc w:val="left"/>
        <w:rPr>
          <w:rFonts w:eastAsia="宋体"/>
          <w:color w:val="auto"/>
          <w:sz w:val="24"/>
          <w:szCs w:val="24"/>
        </w:rPr>
      </w:pPr>
      <w:r>
        <w:rPr>
          <w:rFonts w:hint="eastAsia" w:eastAsia="宋体"/>
          <w:color w:val="auto"/>
          <w:sz w:val="24"/>
          <w:szCs w:val="24"/>
        </w:rPr>
        <w:t>（7）磋商过程中发生的澄清、变更和补充文件</w:t>
      </w:r>
    </w:p>
    <w:p>
      <w:pPr>
        <w:spacing w:line="360" w:lineRule="auto"/>
        <w:ind w:firstLine="480" w:firstLineChars="200"/>
        <w:jc w:val="left"/>
        <w:rPr>
          <w:rFonts w:eastAsia="宋体"/>
          <w:color w:val="auto"/>
          <w:sz w:val="24"/>
          <w:szCs w:val="24"/>
        </w:rPr>
      </w:pPr>
      <w:r>
        <w:rPr>
          <w:rFonts w:hint="eastAsia" w:eastAsia="宋体"/>
          <w:color w:val="auto"/>
          <w:sz w:val="24"/>
          <w:szCs w:val="24"/>
        </w:rPr>
        <w:t>4.2供应商应认真阅读磋商文件中列示的事项、格式、条款和要求等内容。如果供应商未按磋商文件要求提交全部资料，或者对磋商文件未作出实质性响应的，将视为无效响应。</w:t>
      </w:r>
    </w:p>
    <w:p>
      <w:pPr>
        <w:pStyle w:val="3"/>
        <w:rPr>
          <w:rFonts w:ascii="宋体" w:hAnsi="宋体" w:cs="宋体"/>
          <w:color w:val="auto"/>
        </w:rPr>
      </w:pPr>
      <w:bookmarkStart w:id="89" w:name="_Toc325726003"/>
      <w:bookmarkStart w:id="90" w:name="_Toc376936734"/>
      <w:bookmarkStart w:id="91" w:name="_Toc495567945"/>
      <w:bookmarkStart w:id="92" w:name="_Toc5235"/>
      <w:bookmarkStart w:id="93" w:name="_Toc19933"/>
      <w:bookmarkStart w:id="94" w:name="_Toc3574"/>
      <w:bookmarkStart w:id="95" w:name="_Toc495666262"/>
      <w:bookmarkStart w:id="96" w:name="_Toc4082"/>
      <w:bookmarkStart w:id="97" w:name="_Toc6482"/>
      <w:bookmarkStart w:id="98" w:name="_Toc3451"/>
      <w:bookmarkStart w:id="99" w:name="_Toc16793"/>
      <w:r>
        <w:rPr>
          <w:rFonts w:hint="eastAsia" w:ascii="宋体" w:hAnsi="宋体" w:cs="宋体"/>
          <w:color w:val="auto"/>
        </w:rPr>
        <w:t>5.磋商文件的</w:t>
      </w:r>
      <w:bookmarkEnd w:id="89"/>
      <w:bookmarkEnd w:id="90"/>
      <w:r>
        <w:rPr>
          <w:rFonts w:hint="eastAsia" w:ascii="宋体" w:hAnsi="宋体" w:cs="宋体"/>
          <w:color w:val="auto"/>
        </w:rPr>
        <w:t>质疑</w:t>
      </w:r>
      <w:bookmarkEnd w:id="91"/>
      <w:bookmarkEnd w:id="92"/>
      <w:bookmarkEnd w:id="93"/>
      <w:bookmarkEnd w:id="94"/>
      <w:bookmarkEnd w:id="95"/>
      <w:bookmarkEnd w:id="96"/>
      <w:bookmarkEnd w:id="97"/>
      <w:bookmarkEnd w:id="98"/>
      <w:bookmarkEnd w:id="99"/>
    </w:p>
    <w:p>
      <w:pPr>
        <w:spacing w:line="360" w:lineRule="auto"/>
        <w:ind w:firstLine="480"/>
        <w:jc w:val="left"/>
        <w:rPr>
          <w:rFonts w:eastAsia="宋体"/>
          <w:color w:val="auto"/>
          <w:sz w:val="24"/>
          <w:szCs w:val="24"/>
        </w:rPr>
      </w:pPr>
      <w:r>
        <w:rPr>
          <w:rFonts w:hint="eastAsia" w:eastAsia="宋体"/>
          <w:color w:val="auto"/>
          <w:sz w:val="24"/>
          <w:szCs w:val="24"/>
        </w:rPr>
        <w:t>5.1 供应商对磋商文件有异议的，应在提交首次响应文件截止时间至少3日前以书面形式（邮寄）提出（不接受匿名质疑），采购代理机构在收到供应商的书面质疑后视情况予以答复，并将变更事宜在青海政府采购网上发布公告，告知本项目的所有潜在供应商。</w:t>
      </w:r>
    </w:p>
    <w:p>
      <w:pPr>
        <w:pStyle w:val="3"/>
        <w:rPr>
          <w:rFonts w:ascii="宋体" w:hAnsi="宋体" w:cs="宋体"/>
          <w:color w:val="auto"/>
          <w:szCs w:val="24"/>
        </w:rPr>
      </w:pPr>
      <w:bookmarkStart w:id="100" w:name="_Toc1452"/>
      <w:bookmarkStart w:id="101" w:name="_Toc21821"/>
      <w:bookmarkStart w:id="102" w:name="_Toc26515"/>
      <w:bookmarkStart w:id="103" w:name="_Toc325726004"/>
      <w:bookmarkStart w:id="104" w:name="_Toc3484"/>
      <w:bookmarkStart w:id="105" w:name="_Toc376936735"/>
      <w:bookmarkStart w:id="106" w:name="_Toc495567946"/>
      <w:bookmarkStart w:id="107" w:name="_Toc7330"/>
      <w:bookmarkStart w:id="108" w:name="_Toc495666263"/>
      <w:bookmarkStart w:id="109" w:name="_Toc29772"/>
      <w:bookmarkStart w:id="110" w:name="_Toc13050"/>
      <w:r>
        <w:rPr>
          <w:rFonts w:hint="eastAsia" w:ascii="宋体" w:hAnsi="宋体" w:cs="宋体"/>
          <w:color w:val="auto"/>
          <w:szCs w:val="24"/>
        </w:rPr>
        <w:t>6.磋商文件的澄清、修改</w:t>
      </w:r>
      <w:bookmarkEnd w:id="100"/>
      <w:bookmarkEnd w:id="101"/>
      <w:bookmarkEnd w:id="102"/>
      <w:bookmarkEnd w:id="103"/>
      <w:bookmarkEnd w:id="104"/>
      <w:bookmarkEnd w:id="105"/>
      <w:bookmarkEnd w:id="106"/>
      <w:bookmarkEnd w:id="107"/>
      <w:bookmarkEnd w:id="108"/>
      <w:bookmarkEnd w:id="109"/>
      <w:bookmarkEnd w:id="110"/>
    </w:p>
    <w:p>
      <w:pPr>
        <w:spacing w:line="360" w:lineRule="auto"/>
        <w:ind w:firstLine="480" w:firstLineChars="200"/>
        <w:jc w:val="left"/>
        <w:rPr>
          <w:rFonts w:eastAsia="宋体"/>
          <w:color w:val="auto"/>
          <w:sz w:val="24"/>
          <w:szCs w:val="24"/>
        </w:rPr>
      </w:pPr>
      <w:r>
        <w:rPr>
          <w:rFonts w:hint="eastAsia" w:eastAsia="宋体"/>
          <w:color w:val="auto"/>
          <w:sz w:val="24"/>
          <w:szCs w:val="24"/>
        </w:rPr>
        <w:t>6.1</w:t>
      </w:r>
      <w:r>
        <w:rPr>
          <w:rFonts w:hint="eastAsia" w:eastAsia="宋体"/>
          <w:snapToGrid w:val="0"/>
          <w:color w:val="auto"/>
          <w:sz w:val="24"/>
          <w:szCs w:val="24"/>
        </w:rPr>
        <w:t>提交首次响应文件截止之日前，采购代理机构可以对已发出的磋商文件进行必要的澄清或者修改，澄清或者修改的内容作为磋商文件的组成部分。澄清或者修改的内容可能影响响应文件编制的，采购代理机构应在提交首次响应文件截止时间至少5日前，以书面形式通知所有获取磋商文件的供应商；不足5日的，采购代理机构应当顺延提交首次响应文件截止时间。</w:t>
      </w:r>
    </w:p>
    <w:p>
      <w:pPr>
        <w:spacing w:line="360" w:lineRule="auto"/>
        <w:ind w:firstLine="480" w:firstLineChars="200"/>
        <w:jc w:val="left"/>
        <w:rPr>
          <w:rFonts w:eastAsia="宋体"/>
          <w:color w:val="auto"/>
          <w:sz w:val="24"/>
          <w:szCs w:val="24"/>
        </w:rPr>
      </w:pPr>
      <w:r>
        <w:rPr>
          <w:rFonts w:hint="eastAsia" w:eastAsia="宋体"/>
          <w:color w:val="auto"/>
          <w:sz w:val="24"/>
          <w:szCs w:val="24"/>
        </w:rPr>
        <w:t>6.2在提交响应文件截止时间前，采购代理机构可以视采购具体情况，延长提交响应文件截止时间和开启时间，并在磋商文件中要求的提交响应文件截止时间和开启时间的三日前，将变更公告发布在磋商公告同一媒介。</w:t>
      </w:r>
      <w:bookmarkStart w:id="111" w:name="_Toc325726005"/>
      <w:bookmarkStart w:id="112" w:name="_Toc376936736"/>
      <w:bookmarkStart w:id="113" w:name="_Toc23340"/>
    </w:p>
    <w:p>
      <w:pPr>
        <w:pStyle w:val="2"/>
        <w:rPr>
          <w:rFonts w:ascii="宋体" w:hAnsi="宋体" w:cs="宋体"/>
        </w:rPr>
      </w:pPr>
      <w:bookmarkStart w:id="114" w:name="_Toc16601"/>
      <w:bookmarkStart w:id="115" w:name="_Toc17842"/>
      <w:bookmarkStart w:id="116" w:name="_Toc9495"/>
      <w:bookmarkStart w:id="117" w:name="_Toc15885"/>
      <w:bookmarkStart w:id="118" w:name="_Toc21406"/>
      <w:bookmarkStart w:id="119" w:name="_Toc2872"/>
      <w:r>
        <w:rPr>
          <w:rFonts w:hint="eastAsia" w:ascii="宋体" w:hAnsi="宋体" w:cs="宋体"/>
        </w:rPr>
        <w:t>三、响应文件的编制</w:t>
      </w:r>
      <w:bookmarkEnd w:id="111"/>
      <w:bookmarkEnd w:id="112"/>
      <w:bookmarkEnd w:id="113"/>
      <w:bookmarkEnd w:id="114"/>
      <w:bookmarkEnd w:id="115"/>
      <w:bookmarkEnd w:id="116"/>
      <w:bookmarkEnd w:id="117"/>
      <w:bookmarkEnd w:id="118"/>
      <w:bookmarkEnd w:id="119"/>
    </w:p>
    <w:p>
      <w:pPr>
        <w:pStyle w:val="3"/>
        <w:rPr>
          <w:rFonts w:ascii="宋体" w:hAnsi="宋体" w:cs="宋体"/>
          <w:color w:val="auto"/>
        </w:rPr>
      </w:pPr>
      <w:bookmarkStart w:id="120" w:name="_Toc376936737"/>
      <w:bookmarkStart w:id="121" w:name="_Toc13057"/>
      <w:bookmarkStart w:id="122" w:name="_Toc495666264"/>
      <w:bookmarkStart w:id="123" w:name="_Toc25531"/>
      <w:bookmarkStart w:id="124" w:name="_Toc325726006"/>
      <w:bookmarkStart w:id="125" w:name="_Toc9674"/>
      <w:bookmarkStart w:id="126" w:name="_Toc30951"/>
      <w:bookmarkStart w:id="127" w:name="_Toc495567947"/>
      <w:bookmarkStart w:id="128" w:name="_Toc5438"/>
      <w:bookmarkStart w:id="129" w:name="_Toc12260"/>
      <w:bookmarkStart w:id="130" w:name="_Toc17482"/>
      <w:r>
        <w:rPr>
          <w:rFonts w:hint="eastAsia" w:ascii="宋体" w:hAnsi="宋体" w:cs="宋体"/>
          <w:color w:val="auto"/>
        </w:rPr>
        <w:t>7.响应文件的语言及度量衡单位</w:t>
      </w:r>
      <w:bookmarkEnd w:id="120"/>
      <w:bookmarkEnd w:id="121"/>
      <w:bookmarkEnd w:id="122"/>
      <w:bookmarkEnd w:id="123"/>
      <w:bookmarkEnd w:id="124"/>
      <w:bookmarkEnd w:id="125"/>
      <w:bookmarkEnd w:id="126"/>
      <w:bookmarkEnd w:id="127"/>
      <w:bookmarkEnd w:id="128"/>
      <w:bookmarkEnd w:id="129"/>
      <w:bookmarkEnd w:id="130"/>
    </w:p>
    <w:p>
      <w:pPr>
        <w:spacing w:line="360" w:lineRule="auto"/>
        <w:ind w:firstLine="480" w:firstLineChars="200"/>
        <w:jc w:val="left"/>
        <w:rPr>
          <w:rFonts w:eastAsia="宋体"/>
          <w:color w:val="auto"/>
          <w:sz w:val="24"/>
          <w:szCs w:val="24"/>
        </w:rPr>
      </w:pPr>
      <w:r>
        <w:rPr>
          <w:rFonts w:hint="eastAsia" w:eastAsia="宋体"/>
          <w:color w:val="auto"/>
          <w:sz w:val="24"/>
          <w:szCs w:val="24"/>
        </w:rPr>
        <w:t>7.1供应商提交的响应文件以及供应商与采购代理机构就此磋商发生的所有来往函电均应使用简体中文。</w:t>
      </w:r>
    </w:p>
    <w:p>
      <w:pPr>
        <w:spacing w:line="360" w:lineRule="auto"/>
        <w:ind w:firstLine="480" w:firstLineChars="200"/>
        <w:jc w:val="left"/>
        <w:rPr>
          <w:rFonts w:eastAsia="宋体"/>
          <w:color w:val="auto"/>
          <w:sz w:val="24"/>
          <w:szCs w:val="24"/>
        </w:rPr>
      </w:pPr>
      <w:r>
        <w:rPr>
          <w:rFonts w:hint="eastAsia" w:eastAsia="宋体"/>
          <w:color w:val="auto"/>
          <w:sz w:val="24"/>
          <w:szCs w:val="24"/>
        </w:rPr>
        <w:t>7.2 除磋商文件中另有规定外，响应文件所使用的度量衡单位，均须采用国家法定计量单位。</w:t>
      </w:r>
    </w:p>
    <w:p>
      <w:pPr>
        <w:spacing w:line="360" w:lineRule="auto"/>
        <w:ind w:firstLine="480" w:firstLineChars="200"/>
        <w:jc w:val="left"/>
        <w:rPr>
          <w:rFonts w:eastAsia="宋体"/>
          <w:color w:val="auto"/>
          <w:sz w:val="24"/>
          <w:szCs w:val="24"/>
        </w:rPr>
      </w:pPr>
      <w:r>
        <w:rPr>
          <w:rFonts w:hint="eastAsia" w:eastAsia="宋体"/>
          <w:color w:val="auto"/>
          <w:sz w:val="24"/>
          <w:szCs w:val="24"/>
        </w:rPr>
        <w:t>7.3附有外文资料的，须翻译成中文并加盖供应商公章，如果翻译的中文资料与外文资料存在差异和矛盾时，以中文资料为准。其准确性由供应商负责。</w:t>
      </w:r>
    </w:p>
    <w:p>
      <w:pPr>
        <w:pStyle w:val="3"/>
        <w:rPr>
          <w:rFonts w:ascii="宋体" w:hAnsi="宋体" w:cs="宋体"/>
          <w:color w:val="auto"/>
        </w:rPr>
      </w:pPr>
      <w:bookmarkStart w:id="131" w:name="_Toc21569"/>
      <w:bookmarkStart w:id="132" w:name="_Toc28488"/>
      <w:bookmarkStart w:id="133" w:name="_Toc4187"/>
      <w:bookmarkStart w:id="134" w:name="_Toc8155"/>
      <w:bookmarkStart w:id="135" w:name="_Toc495666265"/>
      <w:bookmarkStart w:id="136" w:name="_Toc376936743"/>
      <w:bookmarkStart w:id="137" w:name="_Toc325726012"/>
      <w:bookmarkStart w:id="138" w:name="_Toc17093"/>
      <w:bookmarkStart w:id="139" w:name="_Toc495567948"/>
      <w:bookmarkStart w:id="140" w:name="_Toc29754"/>
      <w:bookmarkStart w:id="141" w:name="_Toc14844"/>
      <w:r>
        <w:rPr>
          <w:rFonts w:hint="eastAsia" w:ascii="宋体" w:hAnsi="宋体" w:cs="宋体"/>
          <w:color w:val="auto"/>
        </w:rPr>
        <w:t>8.磋商保证金</w:t>
      </w:r>
      <w:bookmarkEnd w:id="131"/>
      <w:bookmarkEnd w:id="132"/>
      <w:bookmarkEnd w:id="133"/>
      <w:bookmarkEnd w:id="134"/>
      <w:bookmarkEnd w:id="135"/>
      <w:bookmarkEnd w:id="136"/>
      <w:bookmarkEnd w:id="137"/>
      <w:bookmarkEnd w:id="138"/>
      <w:bookmarkEnd w:id="139"/>
      <w:bookmarkEnd w:id="140"/>
      <w:bookmarkEnd w:id="141"/>
    </w:p>
    <w:p>
      <w:pPr>
        <w:autoSpaceDE w:val="0"/>
        <w:autoSpaceDN w:val="0"/>
        <w:spacing w:line="360" w:lineRule="auto"/>
        <w:ind w:firstLine="480" w:firstLineChars="200"/>
        <w:jc w:val="left"/>
        <w:rPr>
          <w:rFonts w:eastAsia="宋体"/>
          <w:color w:val="auto"/>
          <w:sz w:val="24"/>
          <w:szCs w:val="24"/>
          <w:lang w:val="zh-CN"/>
        </w:rPr>
      </w:pPr>
      <w:r>
        <w:rPr>
          <w:rFonts w:hint="eastAsia" w:eastAsia="宋体"/>
          <w:color w:val="auto"/>
          <w:sz w:val="24"/>
          <w:szCs w:val="24"/>
        </w:rPr>
        <w:t>8</w:t>
      </w:r>
      <w:r>
        <w:rPr>
          <w:rFonts w:hint="eastAsia" w:eastAsia="宋体"/>
          <w:color w:val="auto"/>
          <w:sz w:val="24"/>
          <w:szCs w:val="24"/>
          <w:lang w:val="zh-CN"/>
        </w:rPr>
        <w:t>.1供应商须在磋商文件开启时间前缴纳磋商保证金；未成交供应商的磋商保证金在成交通知书发出后5个工作日内退还，成交供应商的磋商保证金在采购合同签订后5个工作日内退还。</w:t>
      </w:r>
    </w:p>
    <w:p>
      <w:pPr>
        <w:autoSpaceDE w:val="0"/>
        <w:autoSpaceDN w:val="0"/>
        <w:spacing w:line="360" w:lineRule="auto"/>
        <w:ind w:firstLine="480" w:firstLineChars="200"/>
        <w:jc w:val="left"/>
        <w:rPr>
          <w:rFonts w:eastAsia="宋体"/>
          <w:color w:val="auto"/>
          <w:sz w:val="24"/>
          <w:szCs w:val="24"/>
        </w:rPr>
      </w:pPr>
      <w:r>
        <w:rPr>
          <w:rFonts w:hint="eastAsia" w:eastAsia="宋体"/>
          <w:color w:val="auto"/>
          <w:sz w:val="24"/>
          <w:szCs w:val="24"/>
          <w:lang w:val="zh-CN"/>
        </w:rPr>
        <w:t>8.2磋商保证金由供应商的基本账户以转款方式直接缴入“青海中旭工程项目管理有限公司”指定账户</w:t>
      </w:r>
      <w:r>
        <w:rPr>
          <w:rFonts w:hint="eastAsia" w:eastAsia="宋体"/>
          <w:color w:val="auto"/>
          <w:sz w:val="24"/>
          <w:szCs w:val="24"/>
        </w:rPr>
        <w:t>。</w:t>
      </w:r>
    </w:p>
    <w:p>
      <w:pPr>
        <w:autoSpaceDE w:val="0"/>
        <w:autoSpaceDN w:val="0"/>
        <w:spacing w:line="360" w:lineRule="auto"/>
        <w:ind w:firstLine="480" w:firstLineChars="200"/>
        <w:jc w:val="left"/>
        <w:rPr>
          <w:rFonts w:eastAsia="宋体"/>
          <w:color w:val="auto"/>
          <w:sz w:val="24"/>
          <w:szCs w:val="24"/>
        </w:rPr>
      </w:pPr>
      <w:r>
        <w:rPr>
          <w:rFonts w:hint="eastAsia" w:eastAsia="宋体"/>
          <w:color w:val="auto"/>
          <w:sz w:val="24"/>
          <w:szCs w:val="24"/>
        </w:rPr>
        <w:t>8.3有下列情形之一的，磋商保证金不予退还：</w:t>
      </w:r>
    </w:p>
    <w:p>
      <w:pPr>
        <w:autoSpaceDE w:val="0"/>
        <w:autoSpaceDN w:val="0"/>
        <w:spacing w:line="360" w:lineRule="auto"/>
        <w:ind w:firstLine="480" w:firstLineChars="200"/>
        <w:jc w:val="left"/>
        <w:rPr>
          <w:rFonts w:eastAsia="宋体"/>
          <w:color w:val="auto"/>
          <w:sz w:val="24"/>
          <w:szCs w:val="24"/>
        </w:rPr>
      </w:pPr>
      <w:r>
        <w:rPr>
          <w:rFonts w:hint="eastAsia" w:eastAsia="宋体"/>
          <w:color w:val="auto"/>
          <w:sz w:val="24"/>
          <w:szCs w:val="24"/>
        </w:rPr>
        <w:t>（1）供应商在提交响应文件截止时间后撤回响应文件的；</w:t>
      </w:r>
    </w:p>
    <w:p>
      <w:pPr>
        <w:autoSpaceDE w:val="0"/>
        <w:autoSpaceDN w:val="0"/>
        <w:spacing w:line="360" w:lineRule="auto"/>
        <w:ind w:firstLine="480" w:firstLineChars="200"/>
        <w:jc w:val="left"/>
        <w:rPr>
          <w:rFonts w:eastAsia="宋体"/>
          <w:color w:val="auto"/>
          <w:sz w:val="24"/>
          <w:szCs w:val="24"/>
        </w:rPr>
      </w:pPr>
      <w:r>
        <w:rPr>
          <w:rFonts w:hint="eastAsia" w:eastAsia="宋体"/>
          <w:color w:val="auto"/>
          <w:sz w:val="24"/>
          <w:szCs w:val="24"/>
        </w:rPr>
        <w:t>（2）供应商在响应文件中提供虚假材料的；</w:t>
      </w:r>
    </w:p>
    <w:p>
      <w:pPr>
        <w:autoSpaceDE w:val="0"/>
        <w:autoSpaceDN w:val="0"/>
        <w:spacing w:line="360" w:lineRule="auto"/>
        <w:ind w:firstLine="480" w:firstLineChars="200"/>
        <w:jc w:val="left"/>
        <w:rPr>
          <w:rFonts w:eastAsia="宋体"/>
          <w:color w:val="auto"/>
          <w:sz w:val="24"/>
          <w:szCs w:val="24"/>
        </w:rPr>
      </w:pPr>
      <w:r>
        <w:rPr>
          <w:rFonts w:hint="eastAsia" w:eastAsia="宋体"/>
          <w:color w:val="auto"/>
          <w:sz w:val="24"/>
          <w:szCs w:val="24"/>
        </w:rPr>
        <w:t>（3）除因不可抗力或磋商文件认可的情形以外，成交供应商不与采购人签订合同的；</w:t>
      </w:r>
    </w:p>
    <w:p>
      <w:pPr>
        <w:autoSpaceDE w:val="0"/>
        <w:autoSpaceDN w:val="0"/>
        <w:spacing w:line="360" w:lineRule="auto"/>
        <w:ind w:firstLine="480" w:firstLineChars="200"/>
        <w:jc w:val="left"/>
        <w:rPr>
          <w:rFonts w:eastAsia="宋体"/>
          <w:color w:val="auto"/>
          <w:sz w:val="24"/>
          <w:szCs w:val="24"/>
        </w:rPr>
      </w:pPr>
      <w:r>
        <w:rPr>
          <w:rFonts w:hint="eastAsia" w:eastAsia="宋体"/>
          <w:color w:val="auto"/>
          <w:sz w:val="24"/>
          <w:szCs w:val="24"/>
        </w:rPr>
        <w:t>（4）供应商与采购人、其他供应商或者采购代理机构恶意串通的；</w:t>
      </w:r>
    </w:p>
    <w:p>
      <w:pPr>
        <w:autoSpaceDE w:val="0"/>
        <w:autoSpaceDN w:val="0"/>
        <w:spacing w:line="360" w:lineRule="auto"/>
        <w:ind w:firstLine="480" w:firstLineChars="200"/>
        <w:jc w:val="left"/>
        <w:rPr>
          <w:rFonts w:eastAsia="宋体"/>
          <w:color w:val="auto"/>
          <w:sz w:val="24"/>
          <w:szCs w:val="24"/>
        </w:rPr>
      </w:pPr>
      <w:r>
        <w:rPr>
          <w:rFonts w:hint="eastAsia" w:eastAsia="宋体"/>
          <w:color w:val="auto"/>
          <w:sz w:val="24"/>
          <w:szCs w:val="24"/>
        </w:rPr>
        <w:t>（5）磋商文件规定的其他情形。</w:t>
      </w:r>
    </w:p>
    <w:p>
      <w:pPr>
        <w:pStyle w:val="3"/>
        <w:rPr>
          <w:rFonts w:ascii="宋体" w:hAnsi="宋体" w:cs="宋体"/>
          <w:color w:val="auto"/>
        </w:rPr>
      </w:pPr>
      <w:bookmarkStart w:id="142" w:name="_Toc12375"/>
      <w:bookmarkStart w:id="143" w:name="_Toc325726013"/>
      <w:bookmarkStart w:id="144" w:name="_Toc495666266"/>
      <w:bookmarkStart w:id="145" w:name="_Toc23692"/>
      <w:bookmarkStart w:id="146" w:name="_Toc32704"/>
      <w:bookmarkStart w:id="147" w:name="_Toc1565"/>
      <w:bookmarkStart w:id="148" w:name="_Toc495567949"/>
      <w:bookmarkStart w:id="149" w:name="_Toc32153"/>
      <w:bookmarkStart w:id="150" w:name="_Toc22044"/>
      <w:bookmarkStart w:id="151" w:name="_Toc25550"/>
      <w:bookmarkStart w:id="152" w:name="_Toc376936744"/>
      <w:r>
        <w:rPr>
          <w:rFonts w:hint="eastAsia" w:ascii="宋体" w:hAnsi="宋体" w:cs="宋体"/>
          <w:color w:val="auto"/>
        </w:rPr>
        <w:t>9.磋商有效期</w:t>
      </w:r>
      <w:bookmarkEnd w:id="142"/>
      <w:bookmarkEnd w:id="143"/>
      <w:bookmarkEnd w:id="144"/>
      <w:bookmarkEnd w:id="145"/>
      <w:bookmarkEnd w:id="146"/>
      <w:bookmarkEnd w:id="147"/>
      <w:bookmarkEnd w:id="148"/>
      <w:bookmarkEnd w:id="149"/>
      <w:bookmarkEnd w:id="150"/>
      <w:bookmarkEnd w:id="151"/>
      <w:bookmarkEnd w:id="152"/>
    </w:p>
    <w:p>
      <w:pPr>
        <w:spacing w:line="360" w:lineRule="auto"/>
        <w:ind w:firstLine="480" w:firstLineChars="200"/>
        <w:jc w:val="left"/>
        <w:rPr>
          <w:rFonts w:eastAsia="宋体"/>
          <w:color w:val="auto"/>
          <w:sz w:val="24"/>
          <w:szCs w:val="24"/>
        </w:rPr>
      </w:pPr>
      <w:r>
        <w:rPr>
          <w:rFonts w:hint="eastAsia" w:eastAsia="宋体"/>
          <w:color w:val="auto"/>
          <w:sz w:val="24"/>
          <w:szCs w:val="24"/>
        </w:rPr>
        <w:t>9.1 磋商有效期为自磋商开始之日起60日历日。</w:t>
      </w:r>
    </w:p>
    <w:p>
      <w:pPr>
        <w:pStyle w:val="3"/>
        <w:rPr>
          <w:rFonts w:ascii="宋体" w:hAnsi="宋体" w:cs="宋体"/>
          <w:color w:val="auto"/>
        </w:rPr>
      </w:pPr>
      <w:bookmarkStart w:id="153" w:name="_Toc9321"/>
      <w:bookmarkStart w:id="154" w:name="_Toc495567950"/>
      <w:bookmarkStart w:id="155" w:name="_Toc31915"/>
      <w:bookmarkStart w:id="156" w:name="_Toc16445"/>
      <w:bookmarkStart w:id="157" w:name="_Toc495666267"/>
      <w:bookmarkStart w:id="158" w:name="_Toc7850"/>
      <w:bookmarkStart w:id="159" w:name="_Toc376936739"/>
      <w:bookmarkStart w:id="160" w:name="_Toc19708"/>
      <w:bookmarkStart w:id="161" w:name="_Toc22217"/>
      <w:bookmarkStart w:id="162" w:name="_Toc325726008"/>
      <w:bookmarkStart w:id="163" w:name="_Toc2936"/>
      <w:r>
        <w:rPr>
          <w:rFonts w:hint="eastAsia" w:ascii="宋体" w:hAnsi="宋体" w:cs="宋体"/>
          <w:color w:val="auto"/>
        </w:rPr>
        <w:t>10.响应文件构成</w:t>
      </w:r>
      <w:bookmarkEnd w:id="153"/>
      <w:bookmarkEnd w:id="154"/>
      <w:bookmarkEnd w:id="155"/>
      <w:bookmarkEnd w:id="156"/>
      <w:bookmarkEnd w:id="157"/>
      <w:bookmarkEnd w:id="158"/>
      <w:bookmarkEnd w:id="159"/>
      <w:bookmarkEnd w:id="160"/>
      <w:bookmarkEnd w:id="161"/>
      <w:bookmarkEnd w:id="162"/>
      <w:bookmarkEnd w:id="163"/>
    </w:p>
    <w:p>
      <w:pPr>
        <w:spacing w:line="360" w:lineRule="auto"/>
        <w:ind w:firstLine="480" w:firstLineChars="200"/>
        <w:jc w:val="left"/>
        <w:rPr>
          <w:rFonts w:eastAsia="宋体"/>
          <w:color w:val="auto"/>
          <w:sz w:val="24"/>
          <w:szCs w:val="24"/>
        </w:rPr>
      </w:pPr>
      <w:r>
        <w:rPr>
          <w:rFonts w:hint="eastAsia" w:eastAsia="宋体"/>
          <w:color w:val="auto"/>
          <w:sz w:val="24"/>
          <w:szCs w:val="24"/>
        </w:rPr>
        <w:t>10</w:t>
      </w:r>
      <w:r>
        <w:rPr>
          <w:rFonts w:hint="eastAsia" w:eastAsia="宋体"/>
          <w:color w:val="auto"/>
          <w:sz w:val="24"/>
          <w:szCs w:val="24"/>
          <w:lang w:val="zh-CN"/>
        </w:rPr>
        <w:t>.1</w:t>
      </w:r>
      <w:r>
        <w:rPr>
          <w:rFonts w:hint="eastAsia" w:eastAsia="宋体"/>
          <w:color w:val="auto"/>
          <w:sz w:val="24"/>
          <w:szCs w:val="24"/>
        </w:rPr>
        <w:t>供应商应提交相关证明材料，作为其参加磋商和成交后有能力履行合同的证明。编写的响应文件须包括以下内容（格式详见磋商文件第五部分内容）：</w:t>
      </w:r>
    </w:p>
    <w:p>
      <w:pPr>
        <w:spacing w:line="360" w:lineRule="auto"/>
        <w:ind w:firstLine="480" w:firstLineChars="200"/>
        <w:jc w:val="left"/>
        <w:rPr>
          <w:rFonts w:eastAsia="宋体"/>
          <w:color w:val="auto"/>
          <w:sz w:val="24"/>
          <w:szCs w:val="24"/>
        </w:rPr>
      </w:pPr>
      <w:r>
        <w:rPr>
          <w:rFonts w:hint="eastAsia" w:eastAsia="宋体"/>
          <w:color w:val="auto"/>
          <w:sz w:val="24"/>
          <w:szCs w:val="24"/>
        </w:rPr>
        <w:t>10.1.1磋商响应文件；</w:t>
      </w:r>
    </w:p>
    <w:p>
      <w:pPr>
        <w:spacing w:line="360" w:lineRule="auto"/>
        <w:ind w:firstLine="420" w:firstLineChars="200"/>
        <w:jc w:val="left"/>
        <w:rPr>
          <w:color w:val="auto"/>
          <w:sz w:val="24"/>
          <w:szCs w:val="22"/>
        </w:rPr>
      </w:pPr>
      <w:r>
        <w:fldChar w:fldCharType="begin"/>
      </w:r>
      <w:r>
        <w:instrText xml:space="preserve"> HYPERLINK \l "_Toc24100" </w:instrText>
      </w:r>
      <w:r>
        <w:fldChar w:fldCharType="separate"/>
      </w:r>
      <w:r>
        <w:rPr>
          <w:rFonts w:hint="eastAsia" w:eastAsia="宋体"/>
          <w:color w:val="auto"/>
          <w:sz w:val="24"/>
          <w:szCs w:val="22"/>
          <w:lang w:val="zh-CN"/>
        </w:rPr>
        <w:t>1、磋商函</w:t>
      </w:r>
      <w:r>
        <w:rPr>
          <w:rFonts w:hint="eastAsia" w:eastAsia="宋体"/>
          <w:color w:val="auto"/>
          <w:sz w:val="24"/>
          <w:szCs w:val="22"/>
          <w:lang w:val="zh-CN"/>
        </w:rPr>
        <w:fldChar w:fldCharType="end"/>
      </w:r>
      <w:r>
        <w:rPr>
          <w:rFonts w:hint="eastAsia"/>
          <w:color w:val="auto"/>
          <w:sz w:val="24"/>
          <w:szCs w:val="22"/>
        </w:rPr>
        <w:tab/>
      </w:r>
    </w:p>
    <w:p>
      <w:pPr>
        <w:spacing w:line="360" w:lineRule="auto"/>
        <w:ind w:firstLine="420" w:firstLineChars="200"/>
        <w:jc w:val="left"/>
        <w:rPr>
          <w:rFonts w:eastAsia="宋体"/>
          <w:color w:val="auto"/>
          <w:sz w:val="24"/>
          <w:szCs w:val="22"/>
          <w:lang w:val="zh-CN"/>
        </w:rPr>
      </w:pPr>
      <w:r>
        <w:fldChar w:fldCharType="begin"/>
      </w:r>
      <w:r>
        <w:instrText xml:space="preserve"> HYPERLINK \l "_Toc15138" </w:instrText>
      </w:r>
      <w:r>
        <w:fldChar w:fldCharType="separate"/>
      </w:r>
      <w:r>
        <w:rPr>
          <w:rFonts w:hint="eastAsia" w:eastAsia="宋体"/>
          <w:color w:val="auto"/>
          <w:sz w:val="24"/>
          <w:szCs w:val="22"/>
          <w:lang w:val="zh-CN"/>
        </w:rPr>
        <w:t>2、法定代表人证明书</w:t>
      </w:r>
      <w:r>
        <w:rPr>
          <w:rFonts w:hint="eastAsia" w:eastAsia="宋体"/>
          <w:color w:val="auto"/>
          <w:sz w:val="24"/>
          <w:szCs w:val="22"/>
          <w:lang w:val="zh-CN"/>
        </w:rPr>
        <w:fldChar w:fldCharType="end"/>
      </w:r>
    </w:p>
    <w:p>
      <w:pPr>
        <w:spacing w:line="360" w:lineRule="auto"/>
        <w:ind w:firstLine="420" w:firstLineChars="200"/>
        <w:jc w:val="left"/>
        <w:rPr>
          <w:rFonts w:eastAsia="宋体"/>
          <w:color w:val="auto"/>
          <w:sz w:val="24"/>
          <w:szCs w:val="22"/>
          <w:lang w:val="zh-CN"/>
        </w:rPr>
      </w:pPr>
      <w:r>
        <w:fldChar w:fldCharType="begin"/>
      </w:r>
      <w:r>
        <w:instrText xml:space="preserve"> HYPERLINK \l "_Toc27402" </w:instrText>
      </w:r>
      <w:r>
        <w:fldChar w:fldCharType="separate"/>
      </w:r>
      <w:r>
        <w:rPr>
          <w:rFonts w:hint="eastAsia" w:eastAsia="宋体"/>
          <w:color w:val="auto"/>
          <w:sz w:val="24"/>
          <w:szCs w:val="22"/>
          <w:lang w:val="zh-CN"/>
        </w:rPr>
        <w:t>3、法定代表人授权书</w:t>
      </w:r>
      <w:r>
        <w:rPr>
          <w:rFonts w:hint="eastAsia" w:eastAsia="宋体"/>
          <w:color w:val="auto"/>
          <w:sz w:val="24"/>
          <w:szCs w:val="22"/>
          <w:lang w:val="zh-CN"/>
        </w:rPr>
        <w:fldChar w:fldCharType="end"/>
      </w:r>
    </w:p>
    <w:p>
      <w:pPr>
        <w:spacing w:line="360" w:lineRule="auto"/>
        <w:ind w:firstLine="420" w:firstLineChars="200"/>
        <w:jc w:val="left"/>
        <w:rPr>
          <w:rFonts w:eastAsia="宋体"/>
          <w:color w:val="auto"/>
          <w:sz w:val="24"/>
          <w:szCs w:val="22"/>
          <w:lang w:val="zh-CN"/>
        </w:rPr>
      </w:pPr>
      <w:r>
        <w:fldChar w:fldCharType="begin"/>
      </w:r>
      <w:r>
        <w:instrText xml:space="preserve"> HYPERLINK \l "_Toc14487" </w:instrText>
      </w:r>
      <w:r>
        <w:fldChar w:fldCharType="separate"/>
      </w:r>
      <w:r>
        <w:rPr>
          <w:rFonts w:hint="eastAsia" w:eastAsia="宋体"/>
          <w:color w:val="auto"/>
          <w:sz w:val="24"/>
          <w:szCs w:val="22"/>
          <w:lang w:val="zh-CN"/>
        </w:rPr>
        <w:t>4、磋商供应商承诺书</w:t>
      </w:r>
      <w:r>
        <w:rPr>
          <w:rFonts w:hint="eastAsia" w:eastAsia="宋体"/>
          <w:color w:val="auto"/>
          <w:sz w:val="24"/>
          <w:szCs w:val="22"/>
          <w:lang w:val="zh-CN"/>
        </w:rPr>
        <w:fldChar w:fldCharType="end"/>
      </w:r>
    </w:p>
    <w:p>
      <w:pPr>
        <w:spacing w:line="360" w:lineRule="auto"/>
        <w:ind w:firstLine="420" w:firstLineChars="200"/>
        <w:jc w:val="left"/>
        <w:rPr>
          <w:rFonts w:eastAsia="宋体"/>
          <w:color w:val="auto"/>
          <w:sz w:val="24"/>
          <w:szCs w:val="22"/>
          <w:lang w:val="zh-CN"/>
        </w:rPr>
      </w:pPr>
      <w:r>
        <w:fldChar w:fldCharType="begin"/>
      </w:r>
      <w:r>
        <w:instrText xml:space="preserve"> HYPERLINK \l "_Toc25171" </w:instrText>
      </w:r>
      <w:r>
        <w:fldChar w:fldCharType="separate"/>
      </w:r>
      <w:r>
        <w:rPr>
          <w:rFonts w:hint="eastAsia" w:eastAsia="宋体"/>
          <w:color w:val="auto"/>
          <w:sz w:val="24"/>
          <w:szCs w:val="22"/>
          <w:lang w:val="zh-CN"/>
        </w:rPr>
        <w:t>5、供应商诚信承诺书</w:t>
      </w:r>
      <w:r>
        <w:rPr>
          <w:rFonts w:hint="eastAsia" w:eastAsia="宋体"/>
          <w:color w:val="auto"/>
          <w:sz w:val="24"/>
          <w:szCs w:val="22"/>
          <w:lang w:val="zh-CN"/>
        </w:rPr>
        <w:fldChar w:fldCharType="end"/>
      </w:r>
    </w:p>
    <w:p>
      <w:pPr>
        <w:spacing w:line="360" w:lineRule="auto"/>
        <w:ind w:firstLine="420" w:firstLineChars="200"/>
        <w:jc w:val="left"/>
        <w:rPr>
          <w:rFonts w:eastAsia="宋体"/>
          <w:color w:val="auto"/>
          <w:sz w:val="24"/>
          <w:szCs w:val="22"/>
          <w:lang w:val="zh-CN"/>
        </w:rPr>
      </w:pPr>
      <w:r>
        <w:fldChar w:fldCharType="begin"/>
      </w:r>
      <w:r>
        <w:instrText xml:space="preserve"> HYPERLINK \l "_Toc28522" </w:instrText>
      </w:r>
      <w:r>
        <w:fldChar w:fldCharType="separate"/>
      </w:r>
      <w:r>
        <w:rPr>
          <w:rFonts w:hint="eastAsia" w:eastAsia="宋体"/>
          <w:color w:val="auto"/>
          <w:sz w:val="24"/>
          <w:szCs w:val="22"/>
          <w:lang w:val="zh-CN"/>
        </w:rPr>
        <w:t>6、资格证明材料</w:t>
      </w:r>
      <w:r>
        <w:rPr>
          <w:rFonts w:hint="eastAsia" w:eastAsia="宋体"/>
          <w:color w:val="auto"/>
          <w:sz w:val="24"/>
          <w:szCs w:val="22"/>
          <w:lang w:val="zh-CN"/>
        </w:rPr>
        <w:fldChar w:fldCharType="end"/>
      </w:r>
    </w:p>
    <w:p>
      <w:pPr>
        <w:spacing w:line="360" w:lineRule="auto"/>
        <w:ind w:firstLine="420" w:firstLineChars="200"/>
        <w:jc w:val="left"/>
        <w:rPr>
          <w:rFonts w:eastAsia="宋体"/>
          <w:color w:val="auto"/>
          <w:sz w:val="24"/>
          <w:szCs w:val="22"/>
          <w:lang w:val="zh-CN"/>
        </w:rPr>
      </w:pPr>
      <w:r>
        <w:fldChar w:fldCharType="begin"/>
      </w:r>
      <w:r>
        <w:instrText xml:space="preserve"> HYPERLINK \l "_Toc9458" </w:instrText>
      </w:r>
      <w:r>
        <w:fldChar w:fldCharType="separate"/>
      </w:r>
      <w:r>
        <w:rPr>
          <w:rFonts w:hint="eastAsia" w:eastAsia="宋体"/>
          <w:color w:val="auto"/>
          <w:sz w:val="24"/>
          <w:szCs w:val="22"/>
          <w:lang w:val="zh-CN"/>
        </w:rPr>
        <w:t>7、财务状况、缴纳税收和社会保障资金证明</w:t>
      </w:r>
      <w:r>
        <w:rPr>
          <w:rFonts w:hint="eastAsia" w:eastAsia="宋体"/>
          <w:color w:val="auto"/>
          <w:sz w:val="24"/>
          <w:szCs w:val="22"/>
          <w:lang w:val="zh-CN"/>
        </w:rPr>
        <w:fldChar w:fldCharType="end"/>
      </w:r>
    </w:p>
    <w:p>
      <w:pPr>
        <w:spacing w:line="360" w:lineRule="auto"/>
        <w:ind w:firstLine="480" w:firstLineChars="200"/>
        <w:jc w:val="left"/>
        <w:rPr>
          <w:rFonts w:eastAsia="宋体"/>
          <w:color w:val="auto"/>
          <w:sz w:val="24"/>
          <w:szCs w:val="22"/>
          <w:lang w:val="zh-CN"/>
        </w:rPr>
      </w:pPr>
      <w:r>
        <w:rPr>
          <w:rFonts w:hint="eastAsia" w:eastAsia="宋体"/>
          <w:color w:val="auto"/>
          <w:sz w:val="24"/>
          <w:szCs w:val="22"/>
          <w:lang w:val="zh-CN"/>
        </w:rPr>
        <w:fldChar w:fldCharType="begin"/>
      </w:r>
      <w:r>
        <w:rPr>
          <w:rFonts w:hint="eastAsia" w:eastAsia="宋体"/>
          <w:color w:val="auto"/>
          <w:sz w:val="24"/>
          <w:szCs w:val="22"/>
          <w:lang w:val="zh-CN"/>
        </w:rPr>
        <w:instrText xml:space="preserve"> HYPERLINK \l _Toc15071 </w:instrText>
      </w:r>
      <w:r>
        <w:rPr>
          <w:rFonts w:hint="eastAsia" w:eastAsia="宋体"/>
          <w:color w:val="auto"/>
          <w:sz w:val="24"/>
          <w:szCs w:val="22"/>
          <w:lang w:val="zh-CN"/>
        </w:rPr>
        <w:fldChar w:fldCharType="separate"/>
      </w:r>
      <w:r>
        <w:rPr>
          <w:rFonts w:hint="eastAsia" w:eastAsia="宋体"/>
          <w:color w:val="auto"/>
          <w:sz w:val="24"/>
          <w:szCs w:val="22"/>
          <w:lang w:val="zh-CN"/>
        </w:rPr>
        <w:t>8、具备履行合同所必须的设备和专业技术能力证明</w:t>
      </w:r>
    </w:p>
    <w:p>
      <w:pPr>
        <w:spacing w:line="360" w:lineRule="auto"/>
        <w:jc w:val="left"/>
        <w:rPr>
          <w:rFonts w:eastAsia="宋体"/>
          <w:color w:val="auto"/>
          <w:sz w:val="24"/>
          <w:szCs w:val="22"/>
          <w:lang w:val="zh-CN"/>
        </w:rPr>
      </w:pPr>
      <w:r>
        <w:rPr>
          <w:rFonts w:hint="eastAsia" w:eastAsia="宋体"/>
          <w:color w:val="auto"/>
          <w:sz w:val="24"/>
          <w:szCs w:val="22"/>
          <w:lang w:val="zh-CN"/>
        </w:rPr>
        <w:fldChar w:fldCharType="end"/>
      </w:r>
      <w:r>
        <w:rPr>
          <w:rFonts w:hint="eastAsia" w:eastAsia="宋体"/>
          <w:color w:val="auto"/>
          <w:sz w:val="24"/>
          <w:szCs w:val="22"/>
        </w:rPr>
        <w:t>9、磋商保证金证明</w:t>
      </w:r>
    </w:p>
    <w:p>
      <w:pPr>
        <w:spacing w:line="360" w:lineRule="auto"/>
        <w:ind w:firstLine="420" w:firstLineChars="200"/>
        <w:jc w:val="left"/>
        <w:rPr>
          <w:rFonts w:eastAsia="宋体"/>
          <w:color w:val="auto"/>
          <w:sz w:val="24"/>
          <w:szCs w:val="22"/>
          <w:lang w:val="zh-CN"/>
        </w:rPr>
      </w:pPr>
      <w:r>
        <w:fldChar w:fldCharType="begin"/>
      </w:r>
      <w:r>
        <w:instrText xml:space="preserve"> HYPERLINK \l "_Toc11963" </w:instrText>
      </w:r>
      <w:r>
        <w:fldChar w:fldCharType="separate"/>
      </w:r>
      <w:r>
        <w:rPr>
          <w:rFonts w:hint="eastAsia" w:eastAsia="宋体"/>
          <w:color w:val="auto"/>
          <w:sz w:val="24"/>
          <w:szCs w:val="22"/>
          <w:lang w:val="zh-CN"/>
        </w:rPr>
        <w:t>10、无重大违法记录声明</w:t>
      </w:r>
      <w:r>
        <w:rPr>
          <w:rFonts w:hint="eastAsia" w:eastAsia="宋体"/>
          <w:color w:val="auto"/>
          <w:sz w:val="24"/>
          <w:szCs w:val="22"/>
          <w:lang w:val="zh-CN"/>
        </w:rPr>
        <w:fldChar w:fldCharType="end"/>
      </w:r>
    </w:p>
    <w:p>
      <w:pPr>
        <w:spacing w:line="360" w:lineRule="auto"/>
        <w:ind w:firstLine="420" w:firstLineChars="200"/>
        <w:jc w:val="left"/>
        <w:rPr>
          <w:rFonts w:eastAsia="宋体"/>
          <w:color w:val="auto"/>
          <w:sz w:val="24"/>
          <w:szCs w:val="22"/>
          <w:lang w:val="zh-CN"/>
        </w:rPr>
      </w:pPr>
      <w:r>
        <w:fldChar w:fldCharType="begin"/>
      </w:r>
      <w:r>
        <w:instrText xml:space="preserve"> HYPERLINK \l "_Toc26289" </w:instrText>
      </w:r>
      <w:r>
        <w:fldChar w:fldCharType="separate"/>
      </w:r>
      <w:r>
        <w:rPr>
          <w:rFonts w:hint="eastAsia" w:eastAsia="宋体"/>
          <w:color w:val="auto"/>
          <w:sz w:val="24"/>
          <w:szCs w:val="22"/>
          <w:lang w:val="zh-CN"/>
        </w:rPr>
        <w:t>11、未被列入“失信被执行人”的承诺</w:t>
      </w:r>
      <w:r>
        <w:rPr>
          <w:rFonts w:hint="eastAsia" w:eastAsia="宋体"/>
          <w:color w:val="auto"/>
          <w:sz w:val="24"/>
          <w:szCs w:val="22"/>
          <w:lang w:val="zh-CN"/>
        </w:rPr>
        <w:fldChar w:fldCharType="end"/>
      </w:r>
    </w:p>
    <w:p>
      <w:pPr>
        <w:spacing w:line="360" w:lineRule="auto"/>
        <w:ind w:firstLine="420" w:firstLineChars="200"/>
        <w:jc w:val="left"/>
        <w:rPr>
          <w:rFonts w:eastAsia="宋体"/>
          <w:color w:val="auto"/>
          <w:sz w:val="24"/>
          <w:szCs w:val="22"/>
          <w:lang w:val="zh-CN"/>
        </w:rPr>
      </w:pPr>
      <w:r>
        <w:fldChar w:fldCharType="begin"/>
      </w:r>
      <w:r>
        <w:instrText xml:space="preserve"> HYPERLINK \l "_Toc9955" </w:instrText>
      </w:r>
      <w:r>
        <w:fldChar w:fldCharType="separate"/>
      </w:r>
      <w:r>
        <w:rPr>
          <w:rFonts w:hint="eastAsia" w:eastAsia="宋体"/>
          <w:color w:val="auto"/>
          <w:sz w:val="24"/>
          <w:szCs w:val="22"/>
          <w:lang w:val="zh-CN"/>
        </w:rPr>
        <w:t>12、评分对照表</w:t>
      </w:r>
      <w:r>
        <w:rPr>
          <w:rFonts w:hint="eastAsia" w:eastAsia="宋体"/>
          <w:color w:val="auto"/>
          <w:sz w:val="24"/>
          <w:szCs w:val="22"/>
          <w:lang w:val="zh-CN"/>
        </w:rPr>
        <w:fldChar w:fldCharType="end"/>
      </w:r>
    </w:p>
    <w:p>
      <w:pPr>
        <w:spacing w:line="360" w:lineRule="auto"/>
        <w:ind w:firstLine="420" w:firstLineChars="200"/>
        <w:jc w:val="left"/>
        <w:rPr>
          <w:rFonts w:eastAsia="宋体"/>
          <w:color w:val="auto"/>
          <w:sz w:val="24"/>
          <w:szCs w:val="22"/>
          <w:lang w:val="zh-CN"/>
        </w:rPr>
      </w:pPr>
      <w:r>
        <w:fldChar w:fldCharType="begin"/>
      </w:r>
      <w:r>
        <w:instrText xml:space="preserve"> HYPERLINK \l "_Toc1532" </w:instrText>
      </w:r>
      <w:r>
        <w:fldChar w:fldCharType="separate"/>
      </w:r>
      <w:r>
        <w:rPr>
          <w:rFonts w:hint="eastAsia" w:eastAsia="宋体"/>
          <w:color w:val="auto"/>
          <w:sz w:val="24"/>
          <w:szCs w:val="22"/>
          <w:lang w:val="zh-CN"/>
        </w:rPr>
        <w:t>13、竞争性磋商首次报价表</w:t>
      </w:r>
      <w:r>
        <w:rPr>
          <w:rFonts w:hint="eastAsia" w:eastAsia="宋体"/>
          <w:color w:val="auto"/>
          <w:sz w:val="24"/>
          <w:szCs w:val="22"/>
          <w:lang w:val="zh-CN"/>
        </w:rPr>
        <w:fldChar w:fldCharType="end"/>
      </w:r>
    </w:p>
    <w:p>
      <w:pPr>
        <w:spacing w:line="360" w:lineRule="auto"/>
        <w:ind w:firstLine="420" w:firstLineChars="200"/>
        <w:jc w:val="left"/>
        <w:rPr>
          <w:rFonts w:eastAsia="宋体"/>
          <w:color w:val="auto"/>
          <w:sz w:val="24"/>
          <w:szCs w:val="22"/>
          <w:lang w:val="zh-CN"/>
        </w:rPr>
      </w:pPr>
      <w:r>
        <w:fldChar w:fldCharType="begin"/>
      </w:r>
      <w:r>
        <w:instrText xml:space="preserve"> HYPERLINK \l "_Toc16850" </w:instrText>
      </w:r>
      <w:r>
        <w:fldChar w:fldCharType="separate"/>
      </w:r>
      <w:r>
        <w:rPr>
          <w:rFonts w:hint="eastAsia" w:eastAsia="宋体"/>
          <w:color w:val="auto"/>
          <w:sz w:val="24"/>
          <w:szCs w:val="22"/>
          <w:lang w:val="zh-CN"/>
        </w:rPr>
        <w:t>14、分项报价表</w:t>
      </w:r>
      <w:r>
        <w:rPr>
          <w:rFonts w:hint="eastAsia" w:eastAsia="宋体"/>
          <w:color w:val="auto"/>
          <w:sz w:val="24"/>
          <w:szCs w:val="22"/>
          <w:lang w:val="zh-CN"/>
        </w:rPr>
        <w:fldChar w:fldCharType="end"/>
      </w:r>
    </w:p>
    <w:p>
      <w:pPr>
        <w:spacing w:line="360" w:lineRule="auto"/>
        <w:ind w:firstLine="420" w:firstLineChars="200"/>
        <w:jc w:val="left"/>
        <w:rPr>
          <w:rFonts w:eastAsia="宋体"/>
          <w:color w:val="auto"/>
          <w:sz w:val="24"/>
          <w:szCs w:val="22"/>
          <w:lang w:val="zh-CN"/>
        </w:rPr>
      </w:pPr>
      <w:r>
        <w:fldChar w:fldCharType="begin"/>
      </w:r>
      <w:r>
        <w:instrText xml:space="preserve"> HYPERLINK \l "_Toc6753" </w:instrText>
      </w:r>
      <w:r>
        <w:fldChar w:fldCharType="separate"/>
      </w:r>
      <w:r>
        <w:rPr>
          <w:rFonts w:hint="eastAsia" w:eastAsia="宋体"/>
          <w:color w:val="auto"/>
          <w:sz w:val="24"/>
          <w:szCs w:val="22"/>
          <w:lang w:val="zh-CN"/>
        </w:rPr>
        <w:t>15、实施方案</w:t>
      </w:r>
      <w:r>
        <w:rPr>
          <w:rFonts w:hint="eastAsia" w:eastAsia="宋体"/>
          <w:color w:val="auto"/>
          <w:sz w:val="24"/>
          <w:szCs w:val="22"/>
          <w:lang w:val="zh-CN"/>
        </w:rPr>
        <w:fldChar w:fldCharType="end"/>
      </w:r>
    </w:p>
    <w:p>
      <w:pPr>
        <w:spacing w:line="360" w:lineRule="auto"/>
        <w:ind w:firstLine="420" w:firstLineChars="200"/>
        <w:jc w:val="left"/>
        <w:rPr>
          <w:rFonts w:eastAsia="宋体"/>
          <w:color w:val="auto"/>
          <w:sz w:val="24"/>
          <w:szCs w:val="22"/>
          <w:lang w:val="zh-CN"/>
        </w:rPr>
      </w:pPr>
      <w:r>
        <w:fldChar w:fldCharType="begin"/>
      </w:r>
      <w:r>
        <w:instrText xml:space="preserve"> HYPERLINK \l "_Toc26157" </w:instrText>
      </w:r>
      <w:r>
        <w:fldChar w:fldCharType="separate"/>
      </w:r>
      <w:r>
        <w:rPr>
          <w:rFonts w:hint="eastAsia" w:eastAsia="宋体"/>
          <w:color w:val="auto"/>
          <w:sz w:val="24"/>
          <w:szCs w:val="22"/>
          <w:lang w:val="zh-CN"/>
        </w:rPr>
        <w:t>16、供应商的业绩证明材料</w:t>
      </w:r>
      <w:r>
        <w:rPr>
          <w:rFonts w:hint="eastAsia" w:eastAsia="宋体"/>
          <w:color w:val="auto"/>
          <w:sz w:val="24"/>
          <w:szCs w:val="22"/>
          <w:lang w:val="zh-CN"/>
        </w:rPr>
        <w:fldChar w:fldCharType="end"/>
      </w:r>
    </w:p>
    <w:p>
      <w:pPr>
        <w:spacing w:line="360" w:lineRule="auto"/>
        <w:ind w:firstLine="480" w:firstLineChars="200"/>
        <w:jc w:val="left"/>
        <w:rPr>
          <w:rFonts w:eastAsia="宋体"/>
          <w:color w:val="auto"/>
          <w:sz w:val="24"/>
          <w:szCs w:val="22"/>
          <w:lang w:val="zh-CN"/>
        </w:rPr>
      </w:pPr>
      <w:r>
        <w:rPr>
          <w:rFonts w:hint="eastAsia" w:eastAsia="宋体"/>
          <w:color w:val="auto"/>
          <w:sz w:val="24"/>
          <w:szCs w:val="22"/>
          <w:lang w:val="zh-CN"/>
        </w:rPr>
        <w:fldChar w:fldCharType="begin"/>
      </w:r>
      <w:r>
        <w:rPr>
          <w:rFonts w:hint="eastAsia" w:eastAsia="宋体"/>
          <w:color w:val="auto"/>
          <w:sz w:val="24"/>
          <w:szCs w:val="22"/>
          <w:lang w:val="zh-CN"/>
        </w:rPr>
        <w:instrText xml:space="preserve"> HYPERLINK \l _Toc22397 </w:instrText>
      </w:r>
      <w:r>
        <w:rPr>
          <w:rFonts w:hint="eastAsia" w:eastAsia="宋体"/>
          <w:color w:val="auto"/>
          <w:sz w:val="24"/>
          <w:szCs w:val="22"/>
          <w:lang w:val="zh-CN"/>
        </w:rPr>
        <w:fldChar w:fldCharType="separate"/>
      </w:r>
      <w:r>
        <w:rPr>
          <w:rFonts w:hint="eastAsia" w:eastAsia="宋体"/>
          <w:color w:val="auto"/>
          <w:sz w:val="24"/>
          <w:szCs w:val="22"/>
        </w:rPr>
        <w:t>17</w:t>
      </w:r>
      <w:r>
        <w:rPr>
          <w:rFonts w:hint="eastAsia" w:eastAsia="宋体"/>
          <w:color w:val="auto"/>
          <w:sz w:val="24"/>
          <w:szCs w:val="22"/>
          <w:lang w:val="zh-CN"/>
        </w:rPr>
        <w:t>、项目管理机构人员配备</w:t>
      </w:r>
    </w:p>
    <w:p>
      <w:pPr>
        <w:spacing w:line="360" w:lineRule="auto"/>
        <w:ind w:firstLine="480" w:firstLineChars="200"/>
        <w:jc w:val="left"/>
        <w:rPr>
          <w:rFonts w:eastAsia="宋体"/>
          <w:color w:val="auto"/>
          <w:sz w:val="24"/>
          <w:szCs w:val="22"/>
          <w:lang w:val="zh-CN"/>
        </w:rPr>
      </w:pPr>
      <w:r>
        <w:rPr>
          <w:rFonts w:hint="eastAsia" w:eastAsia="宋体"/>
          <w:color w:val="auto"/>
          <w:sz w:val="24"/>
          <w:szCs w:val="22"/>
        </w:rPr>
        <w:t>18、</w:t>
      </w:r>
      <w:r>
        <w:rPr>
          <w:rFonts w:hint="eastAsia" w:eastAsia="宋体"/>
          <w:color w:val="auto"/>
          <w:sz w:val="24"/>
          <w:szCs w:val="22"/>
          <w:lang w:val="zh-CN"/>
        </w:rPr>
        <w:t>中小微型企业声明函</w:t>
      </w:r>
      <w:r>
        <w:rPr>
          <w:rFonts w:hint="eastAsia" w:eastAsia="宋体"/>
          <w:color w:val="auto"/>
          <w:sz w:val="24"/>
          <w:szCs w:val="22"/>
          <w:lang w:val="zh-CN"/>
        </w:rPr>
        <w:fldChar w:fldCharType="end"/>
      </w:r>
    </w:p>
    <w:p>
      <w:pPr>
        <w:spacing w:line="360" w:lineRule="auto"/>
        <w:ind w:firstLine="480" w:firstLineChars="200"/>
        <w:jc w:val="left"/>
        <w:rPr>
          <w:rFonts w:eastAsia="宋体"/>
          <w:color w:val="auto"/>
          <w:sz w:val="24"/>
          <w:szCs w:val="22"/>
          <w:lang w:val="zh-CN"/>
        </w:rPr>
      </w:pPr>
      <w:r>
        <w:rPr>
          <w:rFonts w:hint="eastAsia" w:eastAsia="宋体"/>
          <w:color w:val="auto"/>
          <w:sz w:val="24"/>
          <w:szCs w:val="22"/>
          <w:lang w:val="zh-CN"/>
        </w:rPr>
        <w:fldChar w:fldCharType="begin"/>
      </w:r>
      <w:r>
        <w:rPr>
          <w:rFonts w:hint="eastAsia" w:eastAsia="宋体"/>
          <w:color w:val="auto"/>
          <w:sz w:val="24"/>
          <w:szCs w:val="22"/>
          <w:lang w:val="zh-CN"/>
        </w:rPr>
        <w:instrText xml:space="preserve"> HYPERLINK \l _Toc19617 </w:instrText>
      </w:r>
      <w:r>
        <w:rPr>
          <w:rFonts w:hint="eastAsia" w:eastAsia="宋体"/>
          <w:color w:val="auto"/>
          <w:sz w:val="24"/>
          <w:szCs w:val="22"/>
          <w:lang w:val="zh-CN"/>
        </w:rPr>
        <w:fldChar w:fldCharType="separate"/>
      </w:r>
      <w:r>
        <w:rPr>
          <w:rFonts w:hint="eastAsia" w:eastAsia="宋体"/>
          <w:color w:val="auto"/>
          <w:sz w:val="24"/>
          <w:szCs w:val="22"/>
        </w:rPr>
        <w:t>19</w:t>
      </w:r>
      <w:r>
        <w:rPr>
          <w:rFonts w:hint="eastAsia" w:eastAsia="宋体"/>
          <w:color w:val="auto"/>
          <w:sz w:val="24"/>
          <w:szCs w:val="22"/>
          <w:lang w:val="zh-CN"/>
        </w:rPr>
        <w:t>、从业人员声明函</w:t>
      </w:r>
    </w:p>
    <w:p>
      <w:pPr>
        <w:spacing w:line="360" w:lineRule="auto"/>
        <w:ind w:firstLine="480" w:firstLineChars="200"/>
        <w:jc w:val="left"/>
        <w:rPr>
          <w:rFonts w:eastAsia="宋体"/>
          <w:color w:val="auto"/>
          <w:sz w:val="24"/>
          <w:szCs w:val="22"/>
          <w:lang w:val="zh-CN"/>
        </w:rPr>
      </w:pPr>
      <w:r>
        <w:rPr>
          <w:rFonts w:hint="eastAsia" w:eastAsia="宋体"/>
          <w:color w:val="auto"/>
          <w:sz w:val="24"/>
          <w:szCs w:val="22"/>
        </w:rPr>
        <w:t>20</w:t>
      </w:r>
      <w:r>
        <w:rPr>
          <w:rFonts w:hint="eastAsia" w:eastAsia="宋体"/>
          <w:color w:val="auto"/>
          <w:sz w:val="24"/>
          <w:szCs w:val="22"/>
          <w:lang w:val="zh-CN"/>
        </w:rPr>
        <w:t>、残疾人福利性单位声明函</w:t>
      </w:r>
      <w:r>
        <w:rPr>
          <w:rFonts w:hint="eastAsia" w:eastAsia="宋体"/>
          <w:color w:val="auto"/>
          <w:sz w:val="24"/>
          <w:szCs w:val="22"/>
          <w:lang w:val="zh-CN"/>
        </w:rPr>
        <w:fldChar w:fldCharType="end"/>
      </w:r>
    </w:p>
    <w:p>
      <w:pPr>
        <w:spacing w:line="360" w:lineRule="auto"/>
        <w:ind w:firstLine="420" w:firstLineChars="200"/>
        <w:jc w:val="left"/>
        <w:rPr>
          <w:rFonts w:eastAsia="宋体"/>
          <w:color w:val="auto"/>
          <w:sz w:val="24"/>
          <w:szCs w:val="22"/>
          <w:lang w:val="zh-CN"/>
        </w:rPr>
      </w:pPr>
      <w:r>
        <w:fldChar w:fldCharType="begin"/>
      </w:r>
      <w:r>
        <w:instrText xml:space="preserve"> HYPERLINK \l "_Toc31467" </w:instrText>
      </w:r>
      <w:r>
        <w:fldChar w:fldCharType="separate"/>
      </w:r>
      <w:r>
        <w:rPr>
          <w:rFonts w:hint="eastAsia" w:eastAsia="宋体"/>
          <w:color w:val="auto"/>
          <w:sz w:val="24"/>
          <w:szCs w:val="22"/>
        </w:rPr>
        <w:t>21</w:t>
      </w:r>
      <w:r>
        <w:rPr>
          <w:rFonts w:hint="eastAsia" w:eastAsia="宋体"/>
          <w:color w:val="auto"/>
          <w:sz w:val="24"/>
          <w:szCs w:val="22"/>
          <w:lang w:val="zh-CN"/>
        </w:rPr>
        <w:t>、磋商供应商认为在其他方面有必要说明的事项</w:t>
      </w:r>
      <w:r>
        <w:rPr>
          <w:rFonts w:hint="eastAsia" w:eastAsia="宋体"/>
          <w:color w:val="auto"/>
          <w:sz w:val="24"/>
          <w:szCs w:val="22"/>
          <w:lang w:val="zh-CN"/>
        </w:rPr>
        <w:fldChar w:fldCharType="end"/>
      </w:r>
    </w:p>
    <w:p>
      <w:pPr>
        <w:spacing w:line="360" w:lineRule="auto"/>
        <w:ind w:firstLine="480" w:firstLineChars="200"/>
        <w:jc w:val="left"/>
        <w:rPr>
          <w:rFonts w:eastAsia="宋体"/>
          <w:color w:val="auto"/>
          <w:sz w:val="24"/>
          <w:szCs w:val="24"/>
        </w:rPr>
      </w:pPr>
      <w:r>
        <w:rPr>
          <w:rFonts w:hint="eastAsia" w:eastAsia="宋体"/>
          <w:color w:val="auto"/>
          <w:sz w:val="24"/>
          <w:szCs w:val="24"/>
        </w:rPr>
        <w:t>22、磋商最终报价表（单独提交）</w:t>
      </w:r>
    </w:p>
    <w:p>
      <w:pPr>
        <w:spacing w:line="360" w:lineRule="auto"/>
        <w:ind w:firstLine="480" w:firstLineChars="200"/>
        <w:jc w:val="left"/>
        <w:rPr>
          <w:rFonts w:eastAsia="宋体"/>
          <w:color w:val="auto"/>
          <w:sz w:val="24"/>
          <w:szCs w:val="24"/>
        </w:rPr>
      </w:pPr>
      <w:r>
        <w:rPr>
          <w:rFonts w:hint="eastAsia" w:eastAsia="宋体"/>
          <w:color w:val="auto"/>
          <w:sz w:val="24"/>
          <w:szCs w:val="24"/>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pPr>
        <w:pStyle w:val="3"/>
        <w:rPr>
          <w:rFonts w:ascii="宋体" w:hAnsi="宋体" w:cs="宋体"/>
          <w:color w:val="auto"/>
        </w:rPr>
      </w:pPr>
      <w:bookmarkStart w:id="164" w:name="_Toc21957"/>
      <w:bookmarkStart w:id="165" w:name="_Toc17237"/>
      <w:bookmarkStart w:id="166" w:name="_Toc495666268"/>
      <w:bookmarkStart w:id="167" w:name="_Toc21997"/>
      <w:bookmarkStart w:id="168" w:name="_Toc28365"/>
      <w:bookmarkStart w:id="169" w:name="_Toc495567951"/>
      <w:bookmarkStart w:id="170" w:name="_Toc11377"/>
      <w:bookmarkStart w:id="171" w:name="_Toc373392580"/>
      <w:bookmarkStart w:id="172" w:name="_Toc412617729"/>
      <w:bookmarkStart w:id="173" w:name="_Toc16453"/>
      <w:bookmarkStart w:id="174" w:name="_Toc25178"/>
      <w:r>
        <w:rPr>
          <w:rFonts w:hint="eastAsia" w:ascii="宋体" w:hAnsi="宋体" w:cs="宋体"/>
          <w:color w:val="auto"/>
        </w:rPr>
        <w:t>11.响应文件编印和签署</w:t>
      </w:r>
      <w:bookmarkEnd w:id="164"/>
      <w:bookmarkEnd w:id="165"/>
      <w:bookmarkEnd w:id="166"/>
      <w:bookmarkEnd w:id="167"/>
      <w:bookmarkEnd w:id="168"/>
      <w:bookmarkEnd w:id="169"/>
      <w:bookmarkEnd w:id="170"/>
      <w:bookmarkEnd w:id="171"/>
      <w:bookmarkEnd w:id="172"/>
      <w:bookmarkEnd w:id="173"/>
      <w:bookmarkEnd w:id="174"/>
    </w:p>
    <w:p>
      <w:pPr>
        <w:spacing w:line="360" w:lineRule="auto"/>
        <w:ind w:firstLine="480"/>
        <w:jc w:val="left"/>
        <w:rPr>
          <w:rFonts w:eastAsia="宋体"/>
          <w:color w:val="auto"/>
          <w:sz w:val="24"/>
          <w:szCs w:val="24"/>
        </w:rPr>
      </w:pPr>
      <w:bookmarkStart w:id="175" w:name="_Toc8763"/>
      <w:bookmarkStart w:id="176" w:name="_Toc412617730"/>
      <w:bookmarkStart w:id="177" w:name="_Toc15102"/>
      <w:bookmarkStart w:id="178" w:name="_Toc376936748"/>
      <w:bookmarkStart w:id="179" w:name="_Toc371090029"/>
      <w:r>
        <w:rPr>
          <w:rFonts w:hint="eastAsia" w:eastAsia="宋体"/>
          <w:color w:val="auto"/>
          <w:sz w:val="24"/>
          <w:szCs w:val="24"/>
        </w:rPr>
        <w:t>11.1 如有修改错漏处，须由供应商法定代表人或其委托代理人签字、加盖公章。</w:t>
      </w:r>
    </w:p>
    <w:p>
      <w:pPr>
        <w:spacing w:line="360" w:lineRule="auto"/>
        <w:ind w:firstLine="480"/>
        <w:jc w:val="left"/>
        <w:rPr>
          <w:rFonts w:eastAsia="宋体"/>
          <w:color w:val="auto"/>
          <w:sz w:val="24"/>
          <w:szCs w:val="24"/>
        </w:rPr>
      </w:pPr>
      <w:r>
        <w:rPr>
          <w:rFonts w:hint="eastAsia" w:eastAsia="宋体"/>
          <w:color w:val="auto"/>
          <w:sz w:val="24"/>
          <w:szCs w:val="24"/>
        </w:rPr>
        <w:t>（1）供应商须依据本文件内容和响应文件格式的要求编制响应文件。</w:t>
      </w:r>
    </w:p>
    <w:p>
      <w:pPr>
        <w:spacing w:line="360" w:lineRule="auto"/>
        <w:ind w:firstLine="480"/>
        <w:jc w:val="left"/>
        <w:rPr>
          <w:rFonts w:eastAsia="宋体"/>
          <w:color w:val="auto"/>
          <w:sz w:val="24"/>
          <w:szCs w:val="24"/>
        </w:rPr>
      </w:pPr>
      <w:r>
        <w:rPr>
          <w:rFonts w:hint="eastAsia" w:eastAsia="宋体"/>
          <w:color w:val="auto"/>
          <w:sz w:val="24"/>
          <w:szCs w:val="24"/>
        </w:rPr>
        <w:t>（2）响应文件中不得行间插字、涂改或增删，如有修改错漏处，须由磋商供应商法人或其委托代理人签字或盖个人印鉴。</w:t>
      </w:r>
    </w:p>
    <w:p>
      <w:pPr>
        <w:pStyle w:val="2"/>
        <w:rPr>
          <w:rFonts w:ascii="宋体" w:hAnsi="宋体" w:cs="宋体"/>
          <w:lang w:val="zh-CN"/>
        </w:rPr>
      </w:pPr>
      <w:bookmarkStart w:id="180" w:name="_Toc4993"/>
      <w:bookmarkStart w:id="181" w:name="_Toc22193"/>
      <w:bookmarkStart w:id="182" w:name="_Toc17564"/>
      <w:bookmarkStart w:id="183" w:name="_Toc16165"/>
      <w:bookmarkStart w:id="184" w:name="_Toc32124"/>
      <w:r>
        <w:rPr>
          <w:rFonts w:hint="eastAsia" w:ascii="宋体" w:hAnsi="宋体" w:cs="宋体"/>
          <w:lang w:val="zh-CN"/>
        </w:rPr>
        <w:t>四、响应文件的递交</w:t>
      </w:r>
      <w:bookmarkEnd w:id="175"/>
      <w:bookmarkEnd w:id="176"/>
      <w:bookmarkEnd w:id="177"/>
      <w:bookmarkEnd w:id="180"/>
      <w:bookmarkEnd w:id="181"/>
      <w:bookmarkEnd w:id="182"/>
      <w:bookmarkEnd w:id="183"/>
      <w:bookmarkEnd w:id="184"/>
    </w:p>
    <w:p>
      <w:pPr>
        <w:pStyle w:val="3"/>
        <w:rPr>
          <w:rFonts w:ascii="宋体" w:hAnsi="宋体" w:cs="宋体"/>
          <w:color w:val="auto"/>
        </w:rPr>
      </w:pPr>
      <w:bookmarkStart w:id="185" w:name="_Toc959"/>
      <w:bookmarkStart w:id="186" w:name="_Toc1176"/>
      <w:bookmarkStart w:id="187" w:name="_Toc412617731"/>
      <w:bookmarkStart w:id="188" w:name="_Toc495567952"/>
      <w:bookmarkStart w:id="189" w:name="_Toc373392582"/>
      <w:bookmarkStart w:id="190" w:name="_Toc23823"/>
      <w:bookmarkStart w:id="191" w:name="_Toc6662"/>
      <w:bookmarkStart w:id="192" w:name="_Toc495666269"/>
      <w:bookmarkStart w:id="193" w:name="_Toc11961"/>
      <w:bookmarkStart w:id="194" w:name="_Toc23939"/>
      <w:bookmarkStart w:id="195" w:name="_Toc26174"/>
      <w:bookmarkStart w:id="196" w:name="_Toc325726016"/>
      <w:r>
        <w:rPr>
          <w:rFonts w:hint="eastAsia" w:ascii="宋体" w:hAnsi="宋体" w:cs="宋体"/>
          <w:color w:val="auto"/>
        </w:rPr>
        <w:t>12.响应文件的密封和标记</w:t>
      </w:r>
      <w:bookmarkEnd w:id="185"/>
      <w:bookmarkEnd w:id="186"/>
      <w:bookmarkEnd w:id="187"/>
      <w:bookmarkEnd w:id="188"/>
      <w:bookmarkEnd w:id="189"/>
      <w:bookmarkEnd w:id="190"/>
      <w:bookmarkEnd w:id="191"/>
      <w:bookmarkEnd w:id="192"/>
      <w:bookmarkEnd w:id="193"/>
      <w:bookmarkEnd w:id="194"/>
      <w:bookmarkEnd w:id="195"/>
      <w:bookmarkEnd w:id="196"/>
    </w:p>
    <w:bookmarkEnd w:id="178"/>
    <w:bookmarkEnd w:id="179"/>
    <w:p>
      <w:pPr>
        <w:autoSpaceDE w:val="0"/>
        <w:autoSpaceDN w:val="0"/>
        <w:adjustRightInd w:val="0"/>
        <w:spacing w:line="460" w:lineRule="exact"/>
        <w:ind w:firstLine="480" w:firstLineChars="200"/>
        <w:jc w:val="left"/>
        <w:rPr>
          <w:rFonts w:hAnsi="Cambria"/>
          <w:sz w:val="24"/>
          <w:lang w:val="zh-CN"/>
        </w:rPr>
      </w:pPr>
      <w:bookmarkStart w:id="197" w:name="_Toc412617732"/>
      <w:bookmarkStart w:id="198" w:name="_Toc4009"/>
      <w:bookmarkStart w:id="199" w:name="_Toc373392583"/>
      <w:bookmarkStart w:id="200" w:name="_Toc325726017"/>
      <w:bookmarkStart w:id="201" w:name="_Toc30756"/>
      <w:bookmarkStart w:id="202" w:name="_Toc495666270"/>
      <w:bookmarkStart w:id="203" w:name="_Toc25052"/>
      <w:bookmarkStart w:id="204" w:name="_Toc11648"/>
      <w:bookmarkStart w:id="205" w:name="_Toc495567953"/>
      <w:bookmarkStart w:id="206" w:name="_Toc5658"/>
      <w:bookmarkStart w:id="207" w:name="_Toc15407"/>
      <w:bookmarkStart w:id="208" w:name="_Toc29673"/>
      <w:bookmarkStart w:id="209" w:name="_Toc376936749"/>
      <w:bookmarkStart w:id="210" w:name="_Toc371090030"/>
      <w:r>
        <w:rPr>
          <w:rFonts w:hint="eastAsia" w:hAnsi="Cambria"/>
          <w:sz w:val="24"/>
          <w:lang w:val="zh-CN"/>
        </w:rPr>
        <w:t>磋商响应文件的密封和标记：本次采用政采云平台线上上传磋商响应文件。</w:t>
      </w:r>
    </w:p>
    <w:p>
      <w:pPr>
        <w:pStyle w:val="3"/>
        <w:rPr>
          <w:rFonts w:ascii="宋体" w:hAnsi="宋体" w:cs="宋体"/>
          <w:color w:val="auto"/>
        </w:rPr>
      </w:pPr>
    </w:p>
    <w:p>
      <w:pPr>
        <w:pStyle w:val="3"/>
        <w:rPr>
          <w:rFonts w:ascii="宋体" w:hAnsi="宋体" w:cs="宋体"/>
          <w:color w:val="auto"/>
        </w:rPr>
      </w:pPr>
      <w:r>
        <w:rPr>
          <w:rFonts w:hint="eastAsia" w:ascii="宋体" w:hAnsi="宋体" w:cs="宋体"/>
          <w:color w:val="auto"/>
        </w:rPr>
        <w:t>13.</w:t>
      </w:r>
      <w:bookmarkEnd w:id="197"/>
      <w:bookmarkEnd w:id="198"/>
      <w:bookmarkEnd w:id="199"/>
      <w:bookmarkEnd w:id="200"/>
      <w:bookmarkEnd w:id="201"/>
      <w:r>
        <w:rPr>
          <w:rFonts w:hint="eastAsia" w:ascii="宋体" w:hAnsi="宋体" w:cs="宋体"/>
          <w:color w:val="auto"/>
        </w:rPr>
        <w:t>提交响应文件截止时间、地点</w:t>
      </w:r>
      <w:bookmarkEnd w:id="202"/>
      <w:bookmarkEnd w:id="203"/>
      <w:bookmarkEnd w:id="204"/>
      <w:bookmarkEnd w:id="205"/>
      <w:bookmarkEnd w:id="206"/>
      <w:bookmarkEnd w:id="207"/>
      <w:bookmarkEnd w:id="208"/>
    </w:p>
    <w:p>
      <w:pPr>
        <w:pStyle w:val="10"/>
        <w:spacing w:line="360" w:lineRule="auto"/>
        <w:ind w:firstLine="480" w:firstLineChars="200"/>
        <w:jc w:val="left"/>
        <w:rPr>
          <w:rFonts w:hAnsi="宋体"/>
          <w:color w:val="auto"/>
          <w:sz w:val="24"/>
          <w:szCs w:val="24"/>
        </w:rPr>
      </w:pPr>
      <w:r>
        <w:rPr>
          <w:rFonts w:hint="eastAsia" w:hAnsi="宋体"/>
          <w:color w:val="auto"/>
          <w:sz w:val="24"/>
          <w:szCs w:val="24"/>
        </w:rPr>
        <w:t>13.1响应文件提交的截止时间及地点详见“供应商须知前附表”。</w:t>
      </w:r>
    </w:p>
    <w:p>
      <w:pPr>
        <w:pStyle w:val="10"/>
        <w:spacing w:line="360" w:lineRule="auto"/>
        <w:ind w:firstLine="480" w:firstLineChars="200"/>
        <w:jc w:val="left"/>
        <w:rPr>
          <w:rFonts w:hAnsi="宋体"/>
          <w:color w:val="auto"/>
          <w:sz w:val="24"/>
          <w:szCs w:val="24"/>
        </w:rPr>
      </w:pPr>
      <w:r>
        <w:rPr>
          <w:rFonts w:hint="eastAsia" w:hAnsi="宋体"/>
          <w:color w:val="auto"/>
          <w:sz w:val="24"/>
          <w:szCs w:val="24"/>
        </w:rPr>
        <w:t>13.2采购代理机构将拒绝接受在提交首次响应文件截止时间之后送达的响应文件。</w:t>
      </w:r>
      <w:bookmarkEnd w:id="209"/>
      <w:bookmarkEnd w:id="210"/>
      <w:bookmarkStart w:id="211" w:name="_Toc325726019"/>
      <w:bookmarkStart w:id="212" w:name="_Toc376936750"/>
      <w:bookmarkStart w:id="213" w:name="_Toc9147"/>
    </w:p>
    <w:p>
      <w:pPr>
        <w:pStyle w:val="2"/>
        <w:rPr>
          <w:rFonts w:ascii="宋体" w:hAnsi="宋体" w:cs="宋体"/>
          <w:lang w:val="zh-CN"/>
        </w:rPr>
      </w:pPr>
      <w:bookmarkStart w:id="214" w:name="_Toc5644"/>
      <w:bookmarkStart w:id="215" w:name="_Toc4288"/>
      <w:bookmarkStart w:id="216" w:name="_Toc30174"/>
      <w:bookmarkStart w:id="217" w:name="_Toc31387"/>
      <w:bookmarkStart w:id="218" w:name="_Toc22539"/>
      <w:bookmarkStart w:id="219" w:name="_Toc6481"/>
      <w:bookmarkStart w:id="220" w:name="_Toc20310"/>
      <w:r>
        <w:rPr>
          <w:rFonts w:hint="eastAsia" w:ascii="宋体" w:hAnsi="宋体" w:cs="宋体"/>
          <w:lang w:val="zh-CN"/>
        </w:rPr>
        <w:t>五、</w:t>
      </w:r>
      <w:bookmarkEnd w:id="211"/>
      <w:bookmarkEnd w:id="212"/>
      <w:r>
        <w:rPr>
          <w:rFonts w:hint="eastAsia" w:ascii="宋体" w:hAnsi="宋体" w:cs="宋体"/>
          <w:lang w:val="zh-CN"/>
        </w:rPr>
        <w:t>磋商过程</w:t>
      </w:r>
      <w:bookmarkEnd w:id="213"/>
      <w:bookmarkEnd w:id="214"/>
      <w:bookmarkEnd w:id="215"/>
      <w:bookmarkEnd w:id="216"/>
      <w:bookmarkEnd w:id="217"/>
      <w:bookmarkEnd w:id="218"/>
      <w:bookmarkEnd w:id="219"/>
      <w:bookmarkEnd w:id="220"/>
    </w:p>
    <w:p>
      <w:pPr>
        <w:pStyle w:val="3"/>
        <w:rPr>
          <w:rFonts w:ascii="宋体" w:hAnsi="宋体" w:cs="宋体"/>
          <w:color w:val="auto"/>
        </w:rPr>
      </w:pPr>
      <w:bookmarkStart w:id="221" w:name="_Toc325726020"/>
      <w:bookmarkStart w:id="222" w:name="_Toc376936751"/>
      <w:bookmarkStart w:id="223" w:name="_Toc13022"/>
      <w:bookmarkStart w:id="224" w:name="_Toc495666271"/>
      <w:bookmarkStart w:id="225" w:name="_Toc26723"/>
      <w:bookmarkStart w:id="226" w:name="_Toc22737"/>
      <w:bookmarkStart w:id="227" w:name="_Toc16202"/>
      <w:bookmarkStart w:id="228" w:name="_Toc5561"/>
      <w:bookmarkStart w:id="229" w:name="_Toc29901"/>
      <w:bookmarkStart w:id="230" w:name="_Toc495567954"/>
      <w:bookmarkStart w:id="231" w:name="_Toc15630"/>
      <w:r>
        <w:rPr>
          <w:rFonts w:hint="eastAsia" w:ascii="宋体" w:hAnsi="宋体" w:cs="宋体"/>
          <w:color w:val="auto"/>
        </w:rPr>
        <w:t>14.</w:t>
      </w:r>
      <w:bookmarkEnd w:id="221"/>
      <w:bookmarkEnd w:id="222"/>
      <w:r>
        <w:rPr>
          <w:rFonts w:hint="eastAsia" w:ascii="宋体" w:hAnsi="宋体" w:cs="宋体"/>
          <w:color w:val="auto"/>
        </w:rPr>
        <w:t>磋商过程</w:t>
      </w:r>
      <w:bookmarkEnd w:id="223"/>
      <w:bookmarkEnd w:id="224"/>
      <w:bookmarkEnd w:id="225"/>
      <w:bookmarkEnd w:id="226"/>
      <w:bookmarkEnd w:id="227"/>
      <w:bookmarkEnd w:id="228"/>
      <w:bookmarkEnd w:id="229"/>
      <w:bookmarkEnd w:id="230"/>
      <w:bookmarkEnd w:id="231"/>
    </w:p>
    <w:p>
      <w:pPr>
        <w:spacing w:line="360" w:lineRule="auto"/>
        <w:ind w:firstLine="480" w:firstLineChars="200"/>
        <w:jc w:val="left"/>
        <w:rPr>
          <w:rFonts w:eastAsia="宋体"/>
          <w:color w:val="auto"/>
          <w:sz w:val="24"/>
          <w:szCs w:val="24"/>
        </w:rPr>
      </w:pPr>
      <w:r>
        <w:rPr>
          <w:rFonts w:hint="eastAsia" w:eastAsia="宋体"/>
          <w:color w:val="auto"/>
          <w:sz w:val="24"/>
          <w:szCs w:val="24"/>
        </w:rPr>
        <w:t>14.1采购代理机构按本磋商文件中确定的时间和地点组织本项目的磋商活动。</w:t>
      </w:r>
    </w:p>
    <w:p>
      <w:pPr>
        <w:spacing w:line="360" w:lineRule="auto"/>
        <w:ind w:firstLine="480" w:firstLineChars="200"/>
        <w:jc w:val="left"/>
        <w:rPr>
          <w:rFonts w:eastAsia="宋体"/>
          <w:color w:val="auto"/>
          <w:sz w:val="24"/>
          <w:szCs w:val="24"/>
        </w:rPr>
      </w:pPr>
      <w:r>
        <w:rPr>
          <w:rFonts w:hint="eastAsia" w:eastAsia="宋体"/>
          <w:color w:val="auto"/>
          <w:sz w:val="24"/>
          <w:szCs w:val="24"/>
        </w:rPr>
        <w:t>14.2 磋商工作由采购代理机构组织，采购人、采购监管、纪检监察等有关方面代表可根据采购项目的具体情况列席。</w:t>
      </w:r>
    </w:p>
    <w:p>
      <w:pPr>
        <w:spacing w:line="360" w:lineRule="auto"/>
        <w:ind w:firstLine="480" w:firstLineChars="200"/>
        <w:jc w:val="left"/>
        <w:rPr>
          <w:rFonts w:eastAsia="宋体"/>
          <w:color w:val="auto"/>
          <w:sz w:val="24"/>
          <w:szCs w:val="24"/>
        </w:rPr>
      </w:pPr>
      <w:r>
        <w:rPr>
          <w:rFonts w:hint="eastAsia" w:eastAsia="宋体"/>
          <w:color w:val="auto"/>
          <w:sz w:val="24"/>
          <w:szCs w:val="24"/>
        </w:rPr>
        <w:t>14.3 磋商过程有专人记录，并存档备查。</w:t>
      </w:r>
    </w:p>
    <w:p>
      <w:pPr>
        <w:pStyle w:val="2"/>
        <w:rPr>
          <w:rFonts w:ascii="宋体" w:hAnsi="宋体" w:cs="宋体"/>
          <w:lang w:val="zh-CN"/>
        </w:rPr>
      </w:pPr>
      <w:bookmarkStart w:id="232" w:name="_Toc16303"/>
      <w:bookmarkStart w:id="233" w:name="_Toc325726021"/>
      <w:bookmarkStart w:id="234" w:name="_Toc19030"/>
      <w:bookmarkStart w:id="235" w:name="_Toc8225"/>
      <w:bookmarkStart w:id="236" w:name="_Toc17414"/>
      <w:bookmarkStart w:id="237" w:name="_Toc27021"/>
      <w:bookmarkStart w:id="238" w:name="_Toc13482"/>
      <w:bookmarkStart w:id="239" w:name="_Toc376936752"/>
      <w:bookmarkStart w:id="240" w:name="_Toc18107"/>
      <w:bookmarkStart w:id="241" w:name="_Toc29147"/>
      <w:r>
        <w:rPr>
          <w:rFonts w:hint="eastAsia" w:ascii="宋体" w:hAnsi="宋体" w:cs="宋体"/>
          <w:lang w:val="zh-CN"/>
        </w:rPr>
        <w:t>六、磋商程序及方法</w:t>
      </w:r>
      <w:bookmarkEnd w:id="232"/>
      <w:bookmarkEnd w:id="233"/>
      <w:bookmarkEnd w:id="234"/>
      <w:bookmarkEnd w:id="235"/>
      <w:bookmarkEnd w:id="236"/>
      <w:bookmarkEnd w:id="237"/>
      <w:bookmarkEnd w:id="238"/>
      <w:bookmarkEnd w:id="239"/>
      <w:bookmarkEnd w:id="240"/>
      <w:bookmarkEnd w:id="241"/>
    </w:p>
    <w:p>
      <w:pPr>
        <w:pStyle w:val="3"/>
        <w:rPr>
          <w:rFonts w:ascii="宋体" w:hAnsi="宋体" w:cs="宋体"/>
          <w:color w:val="auto"/>
        </w:rPr>
      </w:pPr>
      <w:bookmarkStart w:id="242" w:name="_Toc16935"/>
      <w:bookmarkStart w:id="243" w:name="_Toc26121"/>
      <w:bookmarkStart w:id="244" w:name="_Toc23749"/>
      <w:bookmarkStart w:id="245" w:name="_Toc325726022"/>
      <w:bookmarkStart w:id="246" w:name="_Toc21793"/>
      <w:bookmarkStart w:id="247" w:name="_Toc376936753"/>
      <w:bookmarkStart w:id="248" w:name="_Toc495567955"/>
      <w:bookmarkStart w:id="249" w:name="_Toc27160"/>
      <w:bookmarkStart w:id="250" w:name="_Toc495666272"/>
      <w:bookmarkStart w:id="251" w:name="_Toc29058"/>
      <w:bookmarkStart w:id="252" w:name="_Toc13947"/>
      <w:r>
        <w:rPr>
          <w:rFonts w:hint="eastAsia" w:ascii="宋体" w:hAnsi="宋体" w:cs="宋体"/>
          <w:color w:val="auto"/>
        </w:rPr>
        <w:t>15.磋商小组</w:t>
      </w:r>
      <w:bookmarkEnd w:id="242"/>
      <w:bookmarkEnd w:id="243"/>
      <w:bookmarkEnd w:id="244"/>
      <w:bookmarkEnd w:id="245"/>
      <w:bookmarkEnd w:id="246"/>
      <w:bookmarkEnd w:id="247"/>
      <w:bookmarkEnd w:id="248"/>
      <w:bookmarkEnd w:id="249"/>
      <w:bookmarkEnd w:id="250"/>
      <w:bookmarkEnd w:id="251"/>
      <w:bookmarkEnd w:id="252"/>
    </w:p>
    <w:p>
      <w:pPr>
        <w:spacing w:line="360" w:lineRule="auto"/>
        <w:ind w:firstLine="480" w:firstLineChars="200"/>
        <w:jc w:val="left"/>
        <w:rPr>
          <w:rFonts w:eastAsia="宋体"/>
          <w:color w:val="auto"/>
          <w:sz w:val="24"/>
          <w:szCs w:val="24"/>
        </w:rPr>
      </w:pPr>
      <w:r>
        <w:rPr>
          <w:rFonts w:hint="eastAsia" w:eastAsia="宋体"/>
          <w:color w:val="auto"/>
          <w:sz w:val="24"/>
          <w:szCs w:val="24"/>
        </w:rPr>
        <w:t>15.1采购代理机构将根据采购项目的特点依法组建磋商小组，其成员由具有一定专业水平的技术、经济等方面的专家和采购人代表等三人以上单数组成。其中技术、经济等方面的专家不少于成员总数的三分之二。采购代理机构人员不得参加本机构代理的采购项目的评审。</w:t>
      </w:r>
    </w:p>
    <w:p>
      <w:pPr>
        <w:spacing w:line="360" w:lineRule="auto"/>
        <w:ind w:firstLine="480" w:firstLineChars="200"/>
        <w:jc w:val="left"/>
        <w:rPr>
          <w:rFonts w:eastAsia="宋体"/>
          <w:color w:val="auto"/>
          <w:sz w:val="24"/>
          <w:szCs w:val="24"/>
        </w:rPr>
      </w:pPr>
      <w:r>
        <w:rPr>
          <w:rFonts w:hint="eastAsia" w:eastAsia="宋体"/>
          <w:color w:val="auto"/>
          <w:sz w:val="24"/>
          <w:szCs w:val="24"/>
        </w:rPr>
        <w:t>15.2磋商由采购代理机构负责组织，具体磋商事务由依法组建的磋商小组负责，并独立履行下列职责：</w:t>
      </w:r>
    </w:p>
    <w:p>
      <w:pPr>
        <w:spacing w:line="360" w:lineRule="auto"/>
        <w:ind w:firstLine="480" w:firstLineChars="200"/>
        <w:jc w:val="left"/>
        <w:rPr>
          <w:rFonts w:eastAsia="宋体"/>
          <w:color w:val="auto"/>
          <w:sz w:val="24"/>
          <w:szCs w:val="24"/>
        </w:rPr>
      </w:pPr>
      <w:r>
        <w:rPr>
          <w:rFonts w:hint="eastAsia" w:eastAsia="宋体"/>
          <w:color w:val="auto"/>
          <w:sz w:val="24"/>
          <w:szCs w:val="24"/>
        </w:rPr>
        <w:t>（1）审查响应文件是否符合磋商文件要求，并作出评价；</w:t>
      </w:r>
    </w:p>
    <w:p>
      <w:pPr>
        <w:spacing w:line="360" w:lineRule="auto"/>
        <w:ind w:firstLine="480" w:firstLineChars="200"/>
        <w:jc w:val="left"/>
        <w:rPr>
          <w:rFonts w:eastAsia="宋体"/>
          <w:color w:val="auto"/>
          <w:sz w:val="24"/>
          <w:szCs w:val="24"/>
        </w:rPr>
      </w:pPr>
      <w:r>
        <w:rPr>
          <w:rFonts w:hint="eastAsia" w:eastAsia="宋体"/>
          <w:color w:val="auto"/>
          <w:sz w:val="24"/>
          <w:szCs w:val="24"/>
        </w:rPr>
        <w:t>（2）要求供应商对响应文件有关事项作出解释或澄清；</w:t>
      </w:r>
    </w:p>
    <w:p>
      <w:pPr>
        <w:spacing w:line="360" w:lineRule="auto"/>
        <w:ind w:firstLine="480" w:firstLineChars="200"/>
        <w:jc w:val="left"/>
        <w:rPr>
          <w:rFonts w:eastAsia="宋体"/>
          <w:color w:val="auto"/>
          <w:sz w:val="24"/>
          <w:szCs w:val="24"/>
        </w:rPr>
      </w:pPr>
      <w:r>
        <w:rPr>
          <w:rFonts w:hint="eastAsia" w:eastAsia="宋体"/>
          <w:color w:val="auto"/>
          <w:sz w:val="24"/>
          <w:szCs w:val="24"/>
        </w:rPr>
        <w:t>（3）推荐预成交候选供应商；</w:t>
      </w:r>
    </w:p>
    <w:p>
      <w:pPr>
        <w:spacing w:line="360" w:lineRule="auto"/>
        <w:ind w:firstLine="480" w:firstLineChars="200"/>
        <w:jc w:val="left"/>
        <w:rPr>
          <w:rFonts w:eastAsia="宋体"/>
          <w:color w:val="auto"/>
          <w:sz w:val="24"/>
          <w:szCs w:val="24"/>
        </w:rPr>
      </w:pPr>
      <w:r>
        <w:rPr>
          <w:rFonts w:hint="eastAsia" w:eastAsia="宋体"/>
          <w:color w:val="auto"/>
          <w:sz w:val="24"/>
          <w:szCs w:val="24"/>
        </w:rPr>
        <w:t>（4）对非法干预评标工作的人员和机构进行举报或投诉。</w:t>
      </w:r>
    </w:p>
    <w:p>
      <w:pPr>
        <w:spacing w:line="360" w:lineRule="auto"/>
        <w:ind w:firstLine="480" w:firstLineChars="200"/>
        <w:jc w:val="left"/>
        <w:rPr>
          <w:rFonts w:eastAsia="宋体"/>
          <w:color w:val="auto"/>
          <w:sz w:val="24"/>
          <w:szCs w:val="24"/>
        </w:rPr>
      </w:pPr>
      <w:r>
        <w:rPr>
          <w:rFonts w:hint="eastAsia" w:eastAsia="宋体"/>
          <w:color w:val="auto"/>
          <w:sz w:val="24"/>
          <w:szCs w:val="24"/>
        </w:rPr>
        <w:t>15.3磋商小组应遵守并履行下列义务：</w:t>
      </w:r>
    </w:p>
    <w:p>
      <w:pPr>
        <w:spacing w:line="360" w:lineRule="auto"/>
        <w:ind w:firstLine="480" w:firstLineChars="200"/>
        <w:jc w:val="left"/>
        <w:rPr>
          <w:rFonts w:eastAsia="宋体"/>
          <w:color w:val="auto"/>
          <w:sz w:val="24"/>
          <w:szCs w:val="24"/>
        </w:rPr>
      </w:pPr>
      <w:r>
        <w:rPr>
          <w:rFonts w:hint="eastAsia" w:eastAsia="宋体"/>
          <w:color w:val="auto"/>
          <w:sz w:val="24"/>
          <w:szCs w:val="24"/>
        </w:rPr>
        <w:t>（1）遵纪守法，客观、公正、廉洁地履行职责；</w:t>
      </w:r>
    </w:p>
    <w:p>
      <w:pPr>
        <w:spacing w:line="360" w:lineRule="auto"/>
        <w:ind w:firstLine="480" w:firstLineChars="200"/>
        <w:jc w:val="left"/>
        <w:rPr>
          <w:rFonts w:eastAsia="宋体"/>
          <w:color w:val="auto"/>
          <w:sz w:val="24"/>
          <w:szCs w:val="24"/>
        </w:rPr>
      </w:pPr>
      <w:r>
        <w:rPr>
          <w:rFonts w:hint="eastAsia" w:eastAsia="宋体"/>
          <w:color w:val="auto"/>
          <w:sz w:val="24"/>
          <w:szCs w:val="24"/>
        </w:rPr>
        <w:t>（2）按照磋商文件规定的评审方法和评审标准进行评审，对评审意见承担磋商小组成员责任；</w:t>
      </w:r>
    </w:p>
    <w:p>
      <w:pPr>
        <w:spacing w:line="360" w:lineRule="auto"/>
        <w:ind w:firstLine="480" w:firstLineChars="200"/>
        <w:jc w:val="left"/>
        <w:rPr>
          <w:rFonts w:eastAsia="宋体"/>
          <w:color w:val="auto"/>
          <w:sz w:val="24"/>
          <w:szCs w:val="24"/>
        </w:rPr>
      </w:pPr>
      <w:r>
        <w:rPr>
          <w:rFonts w:hint="eastAsia" w:eastAsia="宋体"/>
          <w:color w:val="auto"/>
          <w:sz w:val="24"/>
          <w:szCs w:val="24"/>
        </w:rPr>
        <w:t>（3）对响应文件、磋商情况和磋商中获悉的商业秘密保密；</w:t>
      </w:r>
    </w:p>
    <w:p>
      <w:pPr>
        <w:spacing w:line="360" w:lineRule="auto"/>
        <w:ind w:firstLine="480" w:firstLineChars="200"/>
        <w:jc w:val="left"/>
        <w:rPr>
          <w:rFonts w:eastAsia="宋体"/>
          <w:color w:val="auto"/>
          <w:sz w:val="24"/>
          <w:szCs w:val="24"/>
        </w:rPr>
      </w:pPr>
      <w:r>
        <w:rPr>
          <w:rFonts w:hint="eastAsia" w:eastAsia="宋体"/>
          <w:color w:val="auto"/>
          <w:sz w:val="24"/>
          <w:szCs w:val="24"/>
        </w:rPr>
        <w:t>（4）参与磋商报告的起草；</w:t>
      </w:r>
    </w:p>
    <w:p>
      <w:pPr>
        <w:spacing w:line="360" w:lineRule="auto"/>
        <w:ind w:firstLine="480" w:firstLineChars="200"/>
        <w:jc w:val="left"/>
        <w:rPr>
          <w:rFonts w:eastAsia="宋体"/>
          <w:color w:val="auto"/>
          <w:sz w:val="24"/>
          <w:szCs w:val="24"/>
        </w:rPr>
      </w:pPr>
      <w:r>
        <w:rPr>
          <w:rFonts w:hint="eastAsia" w:eastAsia="宋体"/>
          <w:color w:val="auto"/>
          <w:sz w:val="24"/>
          <w:szCs w:val="24"/>
        </w:rPr>
        <w:t>（5）解答供应商及有关方面的质疑；</w:t>
      </w:r>
    </w:p>
    <w:p>
      <w:pPr>
        <w:spacing w:line="360" w:lineRule="auto"/>
        <w:ind w:firstLine="480" w:firstLineChars="200"/>
        <w:jc w:val="left"/>
        <w:rPr>
          <w:rFonts w:eastAsia="宋体"/>
          <w:color w:val="auto"/>
          <w:sz w:val="24"/>
          <w:szCs w:val="24"/>
        </w:rPr>
      </w:pPr>
      <w:r>
        <w:rPr>
          <w:rFonts w:hint="eastAsia" w:eastAsia="宋体"/>
          <w:color w:val="auto"/>
          <w:sz w:val="24"/>
          <w:szCs w:val="24"/>
        </w:rPr>
        <w:t>（6）配合纪检部门进行投诉处理工作。</w:t>
      </w:r>
    </w:p>
    <w:p>
      <w:pPr>
        <w:spacing w:line="360" w:lineRule="auto"/>
        <w:ind w:firstLine="480" w:firstLineChars="200"/>
        <w:jc w:val="left"/>
        <w:rPr>
          <w:rFonts w:eastAsia="宋体"/>
          <w:color w:val="auto"/>
          <w:sz w:val="24"/>
          <w:szCs w:val="24"/>
        </w:rPr>
      </w:pPr>
      <w:r>
        <w:rPr>
          <w:rFonts w:hint="eastAsia" w:eastAsia="宋体"/>
          <w:color w:val="auto"/>
          <w:sz w:val="24"/>
          <w:szCs w:val="24"/>
        </w:rPr>
        <w:t>15.4 磋商工作在有关部门的监督和严格保密的情况下依法开展，任何单位和个人不得非法干预、影响磋商工作和磋商结果。</w:t>
      </w:r>
    </w:p>
    <w:p>
      <w:pPr>
        <w:pStyle w:val="3"/>
        <w:rPr>
          <w:rFonts w:ascii="宋体" w:hAnsi="宋体" w:cs="宋体"/>
          <w:color w:val="auto"/>
        </w:rPr>
      </w:pPr>
      <w:bookmarkStart w:id="253" w:name="_Toc27086"/>
      <w:bookmarkStart w:id="254" w:name="_Toc325726023"/>
      <w:bookmarkStart w:id="255" w:name="_Toc14694"/>
      <w:bookmarkStart w:id="256" w:name="_Toc495666273"/>
      <w:bookmarkStart w:id="257" w:name="_Toc376936754"/>
      <w:bookmarkStart w:id="258" w:name="_Toc19937"/>
      <w:bookmarkStart w:id="259" w:name="_Toc6528"/>
      <w:bookmarkStart w:id="260" w:name="_Toc15041"/>
      <w:bookmarkStart w:id="261" w:name="_Toc19443"/>
      <w:bookmarkStart w:id="262" w:name="_Toc495567956"/>
      <w:bookmarkStart w:id="263" w:name="_Toc7295"/>
      <w:r>
        <w:rPr>
          <w:rFonts w:hint="eastAsia" w:ascii="宋体" w:hAnsi="宋体" w:cs="宋体"/>
          <w:color w:val="auto"/>
        </w:rPr>
        <w:t>16.磋商程序</w:t>
      </w:r>
      <w:bookmarkEnd w:id="253"/>
      <w:bookmarkEnd w:id="254"/>
      <w:bookmarkEnd w:id="255"/>
      <w:bookmarkEnd w:id="256"/>
      <w:bookmarkEnd w:id="257"/>
      <w:bookmarkEnd w:id="258"/>
      <w:bookmarkEnd w:id="259"/>
      <w:bookmarkEnd w:id="260"/>
      <w:bookmarkEnd w:id="261"/>
      <w:bookmarkEnd w:id="262"/>
      <w:bookmarkEnd w:id="263"/>
    </w:p>
    <w:p>
      <w:pPr>
        <w:spacing w:line="360" w:lineRule="auto"/>
        <w:ind w:firstLine="480" w:firstLineChars="200"/>
        <w:jc w:val="left"/>
        <w:rPr>
          <w:rFonts w:eastAsia="宋体"/>
          <w:color w:val="auto"/>
          <w:sz w:val="24"/>
          <w:szCs w:val="24"/>
        </w:rPr>
      </w:pPr>
      <w:r>
        <w:rPr>
          <w:rFonts w:hint="eastAsia" w:eastAsia="宋体"/>
          <w:color w:val="auto"/>
          <w:sz w:val="24"/>
          <w:szCs w:val="24"/>
        </w:rPr>
        <w:t>16.1进入磋商阶段后，磋商小组成员按照客观、公正、审慎的原则，根据磋商文件规定的评审程序、评审方法和评审标准进行独立开展评审工作，负责审议所有响应文件，并按先初审、后详审的程序对响应文件进行评审、评分。</w:t>
      </w:r>
    </w:p>
    <w:p>
      <w:pPr>
        <w:spacing w:line="360" w:lineRule="auto"/>
        <w:ind w:firstLine="480" w:firstLineChars="200"/>
        <w:jc w:val="left"/>
        <w:rPr>
          <w:rFonts w:eastAsia="宋体"/>
          <w:color w:val="auto"/>
          <w:sz w:val="24"/>
          <w:szCs w:val="24"/>
        </w:rPr>
      </w:pPr>
      <w:r>
        <w:rPr>
          <w:rFonts w:hint="eastAsia" w:eastAsia="宋体"/>
          <w:color w:val="auto"/>
          <w:sz w:val="24"/>
          <w:szCs w:val="24"/>
        </w:rPr>
        <w:t>16.2初审阶段为资格性审查和符合性审查。响应文件在响应磋商文件要求方面出现的偏离，分为实质性偏离和非实质性偏离。</w:t>
      </w:r>
    </w:p>
    <w:p>
      <w:pPr>
        <w:spacing w:line="360" w:lineRule="auto"/>
        <w:ind w:firstLine="480" w:firstLineChars="200"/>
        <w:jc w:val="left"/>
        <w:rPr>
          <w:rFonts w:eastAsia="宋体"/>
          <w:color w:val="auto"/>
          <w:sz w:val="24"/>
          <w:szCs w:val="24"/>
        </w:rPr>
      </w:pPr>
      <w:r>
        <w:rPr>
          <w:rFonts w:hint="eastAsia" w:eastAsia="宋体"/>
          <w:color w:val="auto"/>
          <w:sz w:val="24"/>
          <w:szCs w:val="24"/>
        </w:rPr>
        <w:t>16.2.1实质性偏离是指响应文件未能实质性响应磋商文件的要求。以下情况属于实质性偏离，响应文件有下列情况之一的，按无效文件处理。</w:t>
      </w:r>
    </w:p>
    <w:p>
      <w:pPr>
        <w:spacing w:line="360" w:lineRule="auto"/>
        <w:ind w:firstLine="480" w:firstLineChars="200"/>
        <w:jc w:val="left"/>
        <w:rPr>
          <w:rFonts w:eastAsia="宋体"/>
          <w:color w:val="auto"/>
          <w:sz w:val="24"/>
          <w:szCs w:val="24"/>
        </w:rPr>
      </w:pPr>
      <w:r>
        <w:rPr>
          <w:rFonts w:hint="eastAsia" w:eastAsia="宋体"/>
          <w:color w:val="auto"/>
          <w:sz w:val="24"/>
          <w:szCs w:val="24"/>
        </w:rPr>
        <w:t>（1）不符合第</w:t>
      </w:r>
      <w:r>
        <w:rPr>
          <w:rFonts w:hint="eastAsia" w:eastAsia="宋体"/>
          <w:color w:val="auto"/>
          <w:sz w:val="24"/>
          <w:szCs w:val="24"/>
          <w:lang w:val="zh-CN"/>
        </w:rPr>
        <w:t>2</w:t>
      </w:r>
      <w:r>
        <w:rPr>
          <w:rFonts w:hint="eastAsia" w:eastAsia="宋体"/>
          <w:color w:val="auto"/>
          <w:sz w:val="24"/>
          <w:szCs w:val="24"/>
        </w:rPr>
        <w:t>.</w:t>
      </w:r>
      <w:r>
        <w:rPr>
          <w:rFonts w:hint="eastAsia" w:eastAsia="宋体"/>
          <w:color w:val="auto"/>
          <w:sz w:val="24"/>
          <w:szCs w:val="24"/>
          <w:lang w:val="zh-CN"/>
        </w:rPr>
        <w:t>2款“合格的供应商”之规定的；</w:t>
      </w:r>
    </w:p>
    <w:p>
      <w:pPr>
        <w:spacing w:line="360" w:lineRule="auto"/>
        <w:ind w:firstLine="480" w:firstLineChars="200"/>
        <w:jc w:val="left"/>
        <w:rPr>
          <w:rFonts w:eastAsia="宋体"/>
          <w:color w:val="auto"/>
          <w:sz w:val="24"/>
          <w:szCs w:val="24"/>
          <w:lang w:val="zh-CN"/>
        </w:rPr>
      </w:pPr>
      <w:r>
        <w:rPr>
          <w:rFonts w:hint="eastAsia" w:eastAsia="宋体"/>
          <w:color w:val="auto"/>
          <w:sz w:val="24"/>
          <w:szCs w:val="24"/>
        </w:rPr>
        <w:t>（2）</w:t>
      </w:r>
      <w:r>
        <w:rPr>
          <w:rFonts w:hint="eastAsia" w:eastAsia="宋体"/>
          <w:color w:val="auto"/>
          <w:sz w:val="24"/>
          <w:szCs w:val="24"/>
          <w:lang w:val="zh-CN"/>
        </w:rPr>
        <w:t>未按磋商文件要求缴纳或未足额缴纳磋商保证金的；</w:t>
      </w:r>
    </w:p>
    <w:p>
      <w:pPr>
        <w:spacing w:line="360" w:lineRule="auto"/>
        <w:ind w:firstLine="480" w:firstLineChars="200"/>
        <w:jc w:val="left"/>
        <w:rPr>
          <w:rFonts w:eastAsia="宋体"/>
          <w:color w:val="auto"/>
          <w:sz w:val="24"/>
          <w:szCs w:val="24"/>
        </w:rPr>
      </w:pPr>
      <w:r>
        <w:rPr>
          <w:rFonts w:hint="eastAsia" w:eastAsia="宋体"/>
          <w:color w:val="auto"/>
          <w:sz w:val="24"/>
          <w:szCs w:val="24"/>
          <w:lang w:val="zh-CN"/>
        </w:rPr>
        <w:t>（3）未按</w:t>
      </w:r>
      <w:r>
        <w:rPr>
          <w:rFonts w:hint="eastAsia" w:eastAsia="宋体"/>
          <w:color w:val="auto"/>
          <w:sz w:val="24"/>
          <w:szCs w:val="24"/>
        </w:rPr>
        <w:t>竞争性磋商文件</w:t>
      </w:r>
      <w:r>
        <w:rPr>
          <w:rFonts w:hint="eastAsia" w:eastAsia="宋体"/>
          <w:color w:val="auto"/>
          <w:sz w:val="24"/>
          <w:szCs w:val="24"/>
          <w:lang w:val="zh-CN"/>
        </w:rPr>
        <w:t>要求提供相关资料的；</w:t>
      </w:r>
    </w:p>
    <w:p>
      <w:pPr>
        <w:spacing w:line="360" w:lineRule="auto"/>
        <w:ind w:firstLine="480" w:firstLineChars="200"/>
        <w:jc w:val="left"/>
        <w:rPr>
          <w:rFonts w:eastAsia="宋体"/>
          <w:color w:val="auto"/>
          <w:sz w:val="24"/>
          <w:szCs w:val="24"/>
        </w:rPr>
      </w:pPr>
      <w:r>
        <w:rPr>
          <w:rFonts w:hint="eastAsia" w:eastAsia="宋体"/>
          <w:color w:val="auto"/>
          <w:sz w:val="24"/>
          <w:szCs w:val="24"/>
        </w:rPr>
        <w:t>（4）响应文件内容没有按磋商文件规定和要求签字、盖章的；</w:t>
      </w:r>
    </w:p>
    <w:p>
      <w:pPr>
        <w:spacing w:line="360" w:lineRule="auto"/>
        <w:ind w:firstLine="480" w:firstLineChars="200"/>
        <w:jc w:val="left"/>
        <w:rPr>
          <w:rFonts w:eastAsia="宋体"/>
          <w:color w:val="auto"/>
          <w:sz w:val="24"/>
          <w:szCs w:val="24"/>
        </w:rPr>
      </w:pPr>
      <w:r>
        <w:rPr>
          <w:rFonts w:hint="eastAsia" w:eastAsia="宋体"/>
          <w:color w:val="auto"/>
          <w:sz w:val="24"/>
          <w:szCs w:val="24"/>
        </w:rPr>
        <w:t>（5）响应文件编排混乱，且擅自修改磋商文件规定的格式内容的；</w:t>
      </w:r>
    </w:p>
    <w:p>
      <w:pPr>
        <w:spacing w:line="360" w:lineRule="auto"/>
        <w:ind w:firstLine="480" w:firstLineChars="200"/>
        <w:jc w:val="left"/>
        <w:rPr>
          <w:rFonts w:eastAsia="宋体"/>
          <w:color w:val="auto"/>
          <w:sz w:val="24"/>
          <w:szCs w:val="24"/>
        </w:rPr>
      </w:pPr>
      <w:r>
        <w:rPr>
          <w:rFonts w:hint="eastAsia" w:eastAsia="宋体"/>
          <w:color w:val="auto"/>
          <w:sz w:val="24"/>
          <w:szCs w:val="24"/>
        </w:rPr>
        <w:t>（6）项目服务期、磋商有效期等不能满足磋商文件要求的；</w:t>
      </w:r>
    </w:p>
    <w:p>
      <w:pPr>
        <w:spacing w:line="360" w:lineRule="auto"/>
        <w:ind w:firstLine="480" w:firstLineChars="200"/>
        <w:jc w:val="left"/>
        <w:rPr>
          <w:rFonts w:eastAsia="宋体"/>
          <w:color w:val="auto"/>
          <w:sz w:val="24"/>
          <w:szCs w:val="24"/>
        </w:rPr>
      </w:pPr>
      <w:r>
        <w:rPr>
          <w:rFonts w:hint="eastAsia" w:eastAsia="宋体"/>
          <w:color w:val="auto"/>
          <w:sz w:val="24"/>
          <w:szCs w:val="24"/>
        </w:rPr>
        <w:t>（7）磋商项目的服务内容、服务标准明显不符合采购项目要求的；</w:t>
      </w:r>
    </w:p>
    <w:p>
      <w:pPr>
        <w:spacing w:line="360" w:lineRule="auto"/>
        <w:ind w:firstLine="480" w:firstLineChars="200"/>
        <w:jc w:val="left"/>
        <w:rPr>
          <w:rFonts w:eastAsia="宋体"/>
          <w:color w:val="auto"/>
          <w:sz w:val="24"/>
          <w:szCs w:val="24"/>
        </w:rPr>
      </w:pPr>
      <w:r>
        <w:rPr>
          <w:rFonts w:hint="eastAsia" w:eastAsia="宋体"/>
          <w:color w:val="auto"/>
          <w:sz w:val="24"/>
          <w:szCs w:val="24"/>
        </w:rPr>
        <w:t>（8）未按照磋商文件要求提供电子文档的；</w:t>
      </w:r>
    </w:p>
    <w:p>
      <w:pPr>
        <w:spacing w:line="360" w:lineRule="auto"/>
        <w:ind w:firstLine="480" w:firstLineChars="200"/>
        <w:jc w:val="left"/>
        <w:rPr>
          <w:rFonts w:eastAsia="宋体"/>
          <w:color w:val="auto"/>
          <w:sz w:val="24"/>
          <w:szCs w:val="24"/>
        </w:rPr>
      </w:pPr>
      <w:r>
        <w:rPr>
          <w:rFonts w:hint="eastAsia" w:eastAsia="宋体"/>
          <w:color w:val="auto"/>
          <w:sz w:val="24"/>
          <w:szCs w:val="24"/>
        </w:rPr>
        <w:t>（9）响应文件中附有采购人不能接受的条件的；</w:t>
      </w:r>
    </w:p>
    <w:p>
      <w:pPr>
        <w:spacing w:line="360" w:lineRule="auto"/>
        <w:ind w:firstLine="480" w:firstLineChars="200"/>
        <w:jc w:val="left"/>
        <w:rPr>
          <w:rFonts w:eastAsia="宋体"/>
          <w:color w:val="auto"/>
          <w:sz w:val="24"/>
          <w:szCs w:val="24"/>
        </w:rPr>
      </w:pPr>
      <w:r>
        <w:rPr>
          <w:rFonts w:hint="eastAsia" w:eastAsia="宋体"/>
          <w:color w:val="auto"/>
          <w:sz w:val="24"/>
          <w:szCs w:val="24"/>
        </w:rPr>
        <w:t>（10）磋商小组认为应按无效响应处理的其他情况的；</w:t>
      </w:r>
    </w:p>
    <w:p>
      <w:pPr>
        <w:spacing w:line="360" w:lineRule="auto"/>
        <w:ind w:firstLine="480" w:firstLineChars="200"/>
        <w:jc w:val="left"/>
        <w:rPr>
          <w:rFonts w:eastAsia="宋体"/>
          <w:color w:val="auto"/>
          <w:sz w:val="24"/>
          <w:szCs w:val="24"/>
        </w:rPr>
      </w:pPr>
      <w:r>
        <w:rPr>
          <w:rFonts w:hint="eastAsia" w:eastAsia="宋体"/>
          <w:color w:val="auto"/>
          <w:sz w:val="24"/>
          <w:szCs w:val="24"/>
        </w:rPr>
        <w:t>（11）法律、法规规定的其他情形的。</w:t>
      </w:r>
    </w:p>
    <w:p>
      <w:pPr>
        <w:tabs>
          <w:tab w:val="left" w:pos="8787"/>
        </w:tabs>
        <w:spacing w:line="360" w:lineRule="auto"/>
        <w:ind w:firstLine="480" w:firstLineChars="200"/>
        <w:jc w:val="left"/>
        <w:rPr>
          <w:rFonts w:eastAsia="宋体"/>
          <w:color w:val="auto"/>
          <w:sz w:val="24"/>
          <w:szCs w:val="24"/>
        </w:rPr>
      </w:pPr>
      <w:r>
        <w:rPr>
          <w:rFonts w:hint="eastAsia" w:eastAsia="宋体"/>
          <w:color w:val="auto"/>
          <w:sz w:val="24"/>
          <w:szCs w:val="24"/>
        </w:rPr>
        <w:t>16.2.2非实质性偏离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tabs>
          <w:tab w:val="left" w:pos="8787"/>
        </w:tabs>
        <w:spacing w:line="360" w:lineRule="auto"/>
        <w:ind w:firstLine="480" w:firstLineChars="200"/>
        <w:jc w:val="left"/>
        <w:rPr>
          <w:rFonts w:eastAsia="宋体"/>
          <w:color w:val="auto"/>
          <w:sz w:val="24"/>
          <w:szCs w:val="24"/>
        </w:rPr>
      </w:pPr>
      <w:r>
        <w:rPr>
          <w:rFonts w:hint="eastAsia" w:eastAsia="宋体"/>
          <w:color w:val="auto"/>
          <w:sz w:val="24"/>
          <w:szCs w:val="24"/>
        </w:rPr>
        <w:t>16.2.3 磋商小组要求供应商澄清、说明或者更正响应文件应当以书面形式作出。供应商的澄清、说明或者更正应当由法定代表人或其授权代表签字或者加盖公章。由授权代表签字的，应当附法定代表人授权书。</w:t>
      </w:r>
    </w:p>
    <w:p>
      <w:pPr>
        <w:autoSpaceDE w:val="0"/>
        <w:autoSpaceDN w:val="0"/>
        <w:spacing w:line="360" w:lineRule="auto"/>
        <w:ind w:firstLine="480" w:firstLineChars="200"/>
        <w:jc w:val="left"/>
        <w:rPr>
          <w:rFonts w:eastAsia="宋体"/>
          <w:color w:val="auto"/>
          <w:sz w:val="24"/>
          <w:szCs w:val="24"/>
        </w:rPr>
      </w:pPr>
      <w:r>
        <w:rPr>
          <w:rFonts w:hint="eastAsia" w:eastAsia="宋体"/>
          <w:color w:val="auto"/>
          <w:sz w:val="24"/>
          <w:szCs w:val="24"/>
        </w:rPr>
        <w:t>16.2.4 在响应文件初审、详审过程中，如果磋商小组成员出现对评审结果有不同意见的，应当以书面形式反映，磋商报告中应注明该不同意见。磋商小组成员拒绝在磋商报告中签字又不书面说明其不同意见和理由的，视为同意磋商结果。</w:t>
      </w:r>
    </w:p>
    <w:p>
      <w:pPr>
        <w:autoSpaceDE w:val="0"/>
        <w:autoSpaceDN w:val="0"/>
        <w:spacing w:line="360" w:lineRule="auto"/>
        <w:ind w:firstLine="480" w:firstLineChars="200"/>
        <w:jc w:val="left"/>
        <w:rPr>
          <w:rFonts w:eastAsia="宋体"/>
          <w:color w:val="auto"/>
          <w:sz w:val="24"/>
          <w:szCs w:val="24"/>
        </w:rPr>
      </w:pPr>
      <w:r>
        <w:rPr>
          <w:rFonts w:hint="eastAsia" w:eastAsia="宋体"/>
          <w:color w:val="auto"/>
          <w:sz w:val="24"/>
          <w:szCs w:val="24"/>
        </w:rPr>
        <w:t>16.3 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pPr>
        <w:spacing w:line="360" w:lineRule="auto"/>
        <w:ind w:firstLine="480" w:firstLineChars="200"/>
        <w:jc w:val="left"/>
        <w:rPr>
          <w:rFonts w:eastAsia="宋体"/>
          <w:color w:val="auto"/>
          <w:sz w:val="24"/>
          <w:szCs w:val="24"/>
        </w:rPr>
      </w:pPr>
      <w:r>
        <w:rPr>
          <w:rFonts w:hint="eastAsia" w:eastAsia="宋体"/>
          <w:color w:val="auto"/>
          <w:sz w:val="24"/>
          <w:szCs w:val="24"/>
        </w:rPr>
        <w:t>16.4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pPr>
        <w:pStyle w:val="3"/>
        <w:rPr>
          <w:rFonts w:ascii="宋体" w:hAnsi="宋体" w:cs="宋体"/>
          <w:color w:val="auto"/>
        </w:rPr>
      </w:pPr>
      <w:bookmarkStart w:id="264" w:name="_Toc22780"/>
      <w:bookmarkStart w:id="265" w:name="_Toc20611"/>
      <w:bookmarkStart w:id="266" w:name="_Toc325726024"/>
      <w:bookmarkStart w:id="267" w:name="_Toc9341"/>
      <w:bookmarkStart w:id="268" w:name="_Toc376936755"/>
      <w:bookmarkStart w:id="269" w:name="_Toc10532"/>
      <w:bookmarkStart w:id="270" w:name="_Toc495567957"/>
      <w:bookmarkStart w:id="271" w:name="_Toc14670"/>
      <w:bookmarkStart w:id="272" w:name="_Toc13668"/>
      <w:bookmarkStart w:id="273" w:name="_Toc18461"/>
      <w:bookmarkStart w:id="274" w:name="_Toc495666274"/>
      <w:r>
        <w:rPr>
          <w:rFonts w:hint="eastAsia" w:ascii="宋体" w:hAnsi="宋体" w:cs="宋体"/>
          <w:color w:val="auto"/>
        </w:rPr>
        <w:t>17.评审办法</w:t>
      </w:r>
      <w:bookmarkEnd w:id="264"/>
      <w:bookmarkEnd w:id="265"/>
      <w:bookmarkEnd w:id="266"/>
      <w:bookmarkEnd w:id="267"/>
      <w:bookmarkEnd w:id="268"/>
      <w:bookmarkEnd w:id="269"/>
      <w:bookmarkEnd w:id="270"/>
      <w:bookmarkEnd w:id="271"/>
      <w:bookmarkEnd w:id="272"/>
      <w:bookmarkEnd w:id="273"/>
      <w:bookmarkEnd w:id="274"/>
    </w:p>
    <w:p>
      <w:pPr>
        <w:spacing w:line="360" w:lineRule="auto"/>
        <w:ind w:firstLine="480" w:firstLineChars="200"/>
        <w:jc w:val="left"/>
        <w:rPr>
          <w:rFonts w:eastAsia="宋体"/>
          <w:color w:val="auto"/>
          <w:sz w:val="24"/>
          <w:szCs w:val="24"/>
          <w:lang w:val="zh-CN"/>
        </w:rPr>
      </w:pPr>
      <w:r>
        <w:rPr>
          <w:rFonts w:hint="eastAsia" w:eastAsia="宋体"/>
          <w:color w:val="auto"/>
          <w:sz w:val="24"/>
          <w:szCs w:val="24"/>
        </w:rPr>
        <w:t>17.1依照《中华人民共和国政府采购法》《中华人民共和国政府采购法实施条例》《政府采购竞争性磋商采购方式管理暂行办法》的规定，结合该项目的特点制定本评审办法。本次评审采用综合评分法。</w:t>
      </w:r>
      <w:r>
        <w:rPr>
          <w:rFonts w:hint="eastAsia" w:eastAsia="宋体"/>
          <w:color w:val="auto"/>
          <w:sz w:val="24"/>
          <w:szCs w:val="24"/>
          <w:lang w:val="zh-CN"/>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 中的有效期内的产品。）</w:t>
      </w:r>
    </w:p>
    <w:p>
      <w:pPr>
        <w:spacing w:line="360" w:lineRule="auto"/>
        <w:ind w:firstLine="480" w:firstLineChars="200"/>
        <w:jc w:val="left"/>
        <w:rPr>
          <w:rFonts w:eastAsia="宋体"/>
          <w:color w:val="auto"/>
          <w:sz w:val="24"/>
          <w:szCs w:val="24"/>
          <w:lang w:val="zh-CN"/>
        </w:rPr>
      </w:pPr>
      <w:r>
        <w:rPr>
          <w:rFonts w:hint="eastAsia" w:eastAsia="宋体"/>
          <w:color w:val="auto"/>
          <w:sz w:val="24"/>
          <w:szCs w:val="24"/>
        </w:rPr>
        <w:t xml:space="preserve">17.2 </w:t>
      </w:r>
      <w:r>
        <w:rPr>
          <w:rFonts w:hint="eastAsia" w:eastAsia="宋体"/>
          <w:color w:val="auto"/>
          <w:sz w:val="24"/>
          <w:szCs w:val="24"/>
          <w:lang w:val="zh-CN"/>
        </w:rPr>
        <w:t>根据《政府采购促进中小企业发展</w:t>
      </w:r>
      <w:r>
        <w:rPr>
          <w:rFonts w:hint="eastAsia" w:eastAsia="宋体"/>
          <w:color w:val="auto"/>
          <w:sz w:val="24"/>
          <w:szCs w:val="24"/>
        </w:rPr>
        <w:t>管理</w:t>
      </w:r>
      <w:r>
        <w:rPr>
          <w:rFonts w:hint="eastAsia" w:eastAsia="宋体"/>
          <w:color w:val="auto"/>
          <w:sz w:val="24"/>
          <w:szCs w:val="24"/>
          <w:lang w:val="zh-CN"/>
        </w:rPr>
        <w:t>办法》，属小型、微型企业制造的货物（产品），供应商须提供该制造（生产）企业出具的《小型、微型企业声明函》，并由供应商加盖公章，其划型标准严格按照国家工信部、国家统计局、国家发改委、财政部出台的《中小企业划型标准规定》（工信部联企业[2011]300号）执行。供应商提供的《小型、微型企业声明函》资料必须真实，否则，按照有关规定予以处理。</w:t>
      </w:r>
    </w:p>
    <w:p>
      <w:pPr>
        <w:spacing w:line="360" w:lineRule="auto"/>
        <w:ind w:firstLine="480" w:firstLineChars="200"/>
        <w:jc w:val="left"/>
        <w:rPr>
          <w:rFonts w:eastAsia="宋体"/>
          <w:color w:val="auto"/>
          <w:sz w:val="24"/>
          <w:szCs w:val="24"/>
        </w:rPr>
      </w:pPr>
      <w:r>
        <w:rPr>
          <w:rFonts w:hint="eastAsia" w:eastAsia="宋体"/>
          <w:color w:val="auto"/>
          <w:sz w:val="24"/>
          <w:szCs w:val="24"/>
        </w:rPr>
        <w:t>17.3 评审标准和分值分配：</w:t>
      </w:r>
      <w:bookmarkStart w:id="275" w:name="_Toc325726025"/>
      <w:bookmarkStart w:id="276" w:name="_Toc376936756"/>
      <w:bookmarkStart w:id="277" w:name="_Toc1304"/>
      <w:bookmarkStart w:id="278" w:name="_Toc6689"/>
      <w:bookmarkStart w:id="279" w:name="_Toc2506"/>
      <w:bookmarkStart w:id="280" w:name="_Toc29415"/>
    </w:p>
    <w:p>
      <w:pPr>
        <w:pStyle w:val="28"/>
        <w:ind w:firstLine="480"/>
        <w:rPr>
          <w:color w:val="auto"/>
          <w:sz w:val="24"/>
        </w:rPr>
      </w:pPr>
    </w:p>
    <w:p>
      <w:pPr>
        <w:pStyle w:val="28"/>
        <w:ind w:firstLine="480"/>
        <w:rPr>
          <w:color w:val="auto"/>
          <w:sz w:val="24"/>
        </w:rPr>
      </w:pPr>
    </w:p>
    <w:p>
      <w:pPr>
        <w:pStyle w:val="28"/>
        <w:ind w:firstLine="480"/>
        <w:rPr>
          <w:color w:val="auto"/>
          <w:sz w:val="24"/>
        </w:rPr>
      </w:pPr>
    </w:p>
    <w:p>
      <w:pPr>
        <w:pStyle w:val="28"/>
        <w:ind w:firstLine="480"/>
        <w:rPr>
          <w:color w:val="auto"/>
          <w:sz w:val="24"/>
        </w:rPr>
      </w:pPr>
    </w:p>
    <w:p>
      <w:pPr>
        <w:pStyle w:val="28"/>
        <w:ind w:firstLine="480"/>
        <w:rPr>
          <w:color w:val="auto"/>
          <w:sz w:val="24"/>
        </w:rPr>
      </w:pPr>
    </w:p>
    <w:p>
      <w:pPr>
        <w:pStyle w:val="28"/>
        <w:ind w:firstLine="480"/>
        <w:rPr>
          <w:color w:val="auto"/>
          <w:sz w:val="24"/>
        </w:rPr>
      </w:pPr>
    </w:p>
    <w:p>
      <w:pPr>
        <w:pStyle w:val="28"/>
        <w:ind w:firstLine="480"/>
        <w:rPr>
          <w:color w:val="auto"/>
          <w:sz w:val="24"/>
        </w:rPr>
      </w:pPr>
    </w:p>
    <w:p>
      <w:pPr>
        <w:pStyle w:val="28"/>
        <w:ind w:firstLine="480"/>
        <w:rPr>
          <w:color w:val="auto"/>
          <w:sz w:val="24"/>
        </w:rPr>
      </w:pPr>
    </w:p>
    <w:p>
      <w:pPr>
        <w:pStyle w:val="28"/>
        <w:ind w:firstLine="480"/>
        <w:rPr>
          <w:color w:val="auto"/>
          <w:sz w:val="24"/>
        </w:rPr>
      </w:pPr>
    </w:p>
    <w:p>
      <w:pPr>
        <w:pStyle w:val="28"/>
        <w:ind w:firstLine="480"/>
        <w:rPr>
          <w:color w:val="auto"/>
          <w:sz w:val="24"/>
        </w:rPr>
      </w:pPr>
    </w:p>
    <w:p>
      <w:pPr>
        <w:pStyle w:val="28"/>
        <w:ind w:firstLine="480"/>
        <w:rPr>
          <w:color w:val="auto"/>
          <w:sz w:val="24"/>
        </w:rPr>
      </w:pPr>
    </w:p>
    <w:p>
      <w:pPr>
        <w:pStyle w:val="28"/>
        <w:ind w:firstLine="480"/>
        <w:rPr>
          <w:color w:val="auto"/>
          <w:sz w:val="24"/>
        </w:rPr>
      </w:pPr>
    </w:p>
    <w:p>
      <w:pPr>
        <w:pStyle w:val="28"/>
        <w:ind w:firstLine="480"/>
        <w:rPr>
          <w:color w:val="auto"/>
          <w:sz w:val="24"/>
        </w:rPr>
      </w:pPr>
    </w:p>
    <w:p>
      <w:pPr>
        <w:pStyle w:val="28"/>
        <w:ind w:firstLine="480"/>
        <w:rPr>
          <w:color w:val="auto"/>
          <w:sz w:val="24"/>
        </w:rPr>
      </w:pPr>
    </w:p>
    <w:p>
      <w:pPr>
        <w:pStyle w:val="28"/>
        <w:ind w:firstLine="480"/>
        <w:rPr>
          <w:color w:val="auto"/>
          <w:sz w:val="24"/>
        </w:rPr>
      </w:pPr>
    </w:p>
    <w:p>
      <w:pPr>
        <w:pStyle w:val="28"/>
        <w:ind w:firstLine="480"/>
        <w:rPr>
          <w:color w:val="auto"/>
          <w:sz w:val="24"/>
        </w:rPr>
      </w:pPr>
    </w:p>
    <w:p>
      <w:pPr>
        <w:pStyle w:val="28"/>
        <w:ind w:firstLine="480"/>
        <w:rPr>
          <w:color w:val="auto"/>
          <w:sz w:val="24"/>
        </w:rPr>
      </w:pPr>
    </w:p>
    <w:p>
      <w:pPr>
        <w:pStyle w:val="28"/>
        <w:ind w:firstLine="480"/>
        <w:rPr>
          <w:color w:val="auto"/>
          <w:sz w:val="24"/>
        </w:rPr>
      </w:pPr>
    </w:p>
    <w:p>
      <w:pPr>
        <w:pStyle w:val="28"/>
        <w:ind w:firstLine="480"/>
        <w:rPr>
          <w:color w:val="auto"/>
          <w:sz w:val="24"/>
        </w:rPr>
      </w:pPr>
    </w:p>
    <w:p>
      <w:pPr>
        <w:pStyle w:val="28"/>
        <w:ind w:firstLine="480"/>
        <w:rPr>
          <w:color w:val="auto"/>
          <w:sz w:val="24"/>
        </w:rPr>
      </w:pPr>
    </w:p>
    <w:p>
      <w:pPr>
        <w:pStyle w:val="28"/>
        <w:ind w:firstLine="480"/>
        <w:rPr>
          <w:color w:val="auto"/>
          <w:sz w:val="24"/>
        </w:rPr>
      </w:pPr>
    </w:p>
    <w:p>
      <w:pPr>
        <w:pStyle w:val="28"/>
        <w:ind w:firstLine="480"/>
        <w:rPr>
          <w:color w:val="auto"/>
          <w:sz w:val="24"/>
        </w:rPr>
      </w:pPr>
    </w:p>
    <w:p>
      <w:pPr>
        <w:pStyle w:val="28"/>
        <w:ind w:firstLine="480"/>
        <w:rPr>
          <w:color w:val="auto"/>
          <w:sz w:val="24"/>
        </w:rPr>
      </w:pPr>
    </w:p>
    <w:p>
      <w:pPr>
        <w:pStyle w:val="28"/>
        <w:ind w:firstLine="480"/>
        <w:rPr>
          <w:color w:val="auto"/>
          <w:sz w:val="24"/>
        </w:rPr>
      </w:pPr>
    </w:p>
    <w:p>
      <w:pPr>
        <w:pStyle w:val="28"/>
        <w:ind w:firstLine="480"/>
        <w:rPr>
          <w:color w:val="auto"/>
          <w:sz w:val="24"/>
        </w:rPr>
      </w:pPr>
    </w:p>
    <w:p>
      <w:pPr>
        <w:pStyle w:val="28"/>
        <w:ind w:firstLine="480"/>
        <w:rPr>
          <w:color w:val="auto"/>
          <w:sz w:val="24"/>
        </w:rPr>
      </w:pPr>
    </w:p>
    <w:tbl>
      <w:tblPr>
        <w:tblStyle w:val="23"/>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999"/>
        <w:gridCol w:w="576"/>
        <w:gridCol w:w="74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768" w:type="dxa"/>
            <w:gridSpan w:val="2"/>
            <w:vAlign w:val="center"/>
          </w:tcPr>
          <w:p>
            <w:pPr>
              <w:widowControl/>
              <w:snapToGrid w:val="0"/>
              <w:spacing w:line="360" w:lineRule="auto"/>
              <w:jc w:val="center"/>
              <w:rPr>
                <w:rFonts w:asciiTheme="minorEastAsia" w:hAnsiTheme="minorEastAsia" w:eastAsiaTheme="minorEastAsia" w:cstheme="minorEastAsia"/>
                <w:b/>
                <w:bCs/>
                <w:color w:val="auto"/>
                <w:sz w:val="24"/>
                <w:szCs w:val="24"/>
              </w:rPr>
            </w:pPr>
            <w:bookmarkStart w:id="281" w:name="_Toc12760"/>
            <w:bookmarkStart w:id="282" w:name="_Toc14201"/>
            <w:bookmarkStart w:id="283" w:name="_Toc13449"/>
            <w:bookmarkStart w:id="284" w:name="_Toc10781"/>
            <w:r>
              <w:rPr>
                <w:rFonts w:hint="eastAsia" w:asciiTheme="minorEastAsia" w:hAnsiTheme="minorEastAsia" w:eastAsiaTheme="minorEastAsia" w:cstheme="minorEastAsia"/>
                <w:b/>
                <w:bCs/>
                <w:color w:val="auto"/>
                <w:sz w:val="24"/>
                <w:szCs w:val="24"/>
              </w:rPr>
              <w:t>评审内容</w:t>
            </w:r>
          </w:p>
        </w:tc>
        <w:tc>
          <w:tcPr>
            <w:tcW w:w="576" w:type="dxa"/>
            <w:noWrap/>
            <w:vAlign w:val="center"/>
          </w:tcPr>
          <w:p>
            <w:pPr>
              <w:widowControl/>
              <w:snapToGrid w:val="0"/>
              <w:spacing w:line="360" w:lineRule="auto"/>
              <w:jc w:val="center"/>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分值</w:t>
            </w:r>
          </w:p>
        </w:tc>
        <w:tc>
          <w:tcPr>
            <w:tcW w:w="7465" w:type="dxa"/>
            <w:noWrap/>
            <w:vAlign w:val="center"/>
          </w:tcPr>
          <w:p>
            <w:pPr>
              <w:widowControl/>
              <w:snapToGrid w:val="0"/>
              <w:spacing w:line="360" w:lineRule="auto"/>
              <w:jc w:val="center"/>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评审细则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2" w:hRule="atLeast"/>
          <w:jc w:val="center"/>
        </w:trPr>
        <w:tc>
          <w:tcPr>
            <w:tcW w:w="769" w:type="dxa"/>
            <w:vAlign w:val="center"/>
          </w:tcPr>
          <w:p>
            <w:pPr>
              <w:widowControl/>
              <w:snapToGri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磋商报价15分</w:t>
            </w:r>
          </w:p>
        </w:tc>
        <w:tc>
          <w:tcPr>
            <w:tcW w:w="999" w:type="dxa"/>
            <w:vAlign w:val="center"/>
          </w:tcPr>
          <w:p>
            <w:pPr>
              <w:widowControl/>
              <w:snapToGri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w:t>
            </w:r>
          </w:p>
          <w:p>
            <w:pPr>
              <w:widowControl/>
              <w:snapToGri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报价</w:t>
            </w:r>
          </w:p>
          <w:p>
            <w:pPr>
              <w:widowControl/>
              <w:snapToGrid w:val="0"/>
              <w:spacing w:line="360" w:lineRule="auto"/>
              <w:rPr>
                <w:rFonts w:hint="eastAsia" w:asciiTheme="minorEastAsia" w:hAnsiTheme="minorEastAsia" w:eastAsiaTheme="minorEastAsia" w:cstheme="minorEastAsia"/>
                <w:color w:val="auto"/>
                <w:sz w:val="24"/>
                <w:szCs w:val="24"/>
              </w:rPr>
            </w:pPr>
          </w:p>
        </w:tc>
        <w:tc>
          <w:tcPr>
            <w:tcW w:w="576" w:type="dxa"/>
            <w:vAlign w:val="center"/>
          </w:tcPr>
          <w:p>
            <w:pPr>
              <w:widowControl/>
              <w:snapToGri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15</w:t>
            </w:r>
          </w:p>
        </w:tc>
        <w:tc>
          <w:tcPr>
            <w:tcW w:w="7465" w:type="dxa"/>
            <w:vAlign w:val="center"/>
          </w:tcPr>
          <w:p>
            <w:pPr>
              <w:widowControl/>
              <w:snapToGrid w:val="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价格分统一采用低价优先法计算，即满足招标文件要求且磋商价格</w:t>
            </w:r>
          </w:p>
          <w:p>
            <w:pPr>
              <w:widowControl/>
              <w:snapToGrid w:val="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最低的磋商报价为评标基准价，其价格分为满分。其他供应商的价</w:t>
            </w:r>
          </w:p>
          <w:p>
            <w:pPr>
              <w:widowControl/>
              <w:snapToGrid w:val="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格分统一按照下列公式计算：磋商报价得分=(评标基准价／磋商报</w:t>
            </w:r>
          </w:p>
          <w:p>
            <w:pPr>
              <w:widowControl/>
              <w:snapToGrid w:val="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价)×价格权值×100计算分数时四舍五入取小数点后两位。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769" w:type="dxa"/>
            <w:vMerge w:val="restart"/>
            <w:vAlign w:val="center"/>
          </w:tcPr>
          <w:p>
            <w:pPr>
              <w:widowControl/>
              <w:snapToGrid w:val="0"/>
              <w:spacing w:line="360" w:lineRule="auto"/>
              <w:jc w:val="center"/>
              <w:rPr>
                <w:rFonts w:asciiTheme="minorEastAsia" w:hAnsiTheme="minorEastAsia" w:eastAsiaTheme="minorEastAsia" w:cstheme="minorEastAsia"/>
                <w:color w:val="auto"/>
                <w:sz w:val="24"/>
                <w:szCs w:val="24"/>
              </w:rPr>
            </w:pPr>
          </w:p>
          <w:p>
            <w:pPr>
              <w:widowControl/>
              <w:snapToGrid w:val="0"/>
              <w:spacing w:line="360" w:lineRule="auto"/>
              <w:jc w:val="center"/>
              <w:rPr>
                <w:rFonts w:asciiTheme="minorEastAsia" w:hAnsiTheme="minorEastAsia" w:eastAsiaTheme="minorEastAsia" w:cstheme="minorEastAsia"/>
                <w:color w:val="auto"/>
                <w:sz w:val="24"/>
                <w:szCs w:val="24"/>
              </w:rPr>
            </w:pPr>
          </w:p>
          <w:p>
            <w:pPr>
              <w:widowControl/>
              <w:snapToGrid w:val="0"/>
              <w:spacing w:line="360" w:lineRule="auto"/>
              <w:jc w:val="center"/>
              <w:rPr>
                <w:rFonts w:asciiTheme="minorEastAsia" w:hAnsiTheme="minorEastAsia" w:eastAsiaTheme="minorEastAsia" w:cstheme="minorEastAsia"/>
                <w:color w:val="auto"/>
                <w:sz w:val="24"/>
                <w:szCs w:val="24"/>
              </w:rPr>
            </w:pPr>
          </w:p>
          <w:p>
            <w:pPr>
              <w:widowControl/>
              <w:snapToGrid w:val="0"/>
              <w:spacing w:line="360" w:lineRule="auto"/>
              <w:jc w:val="center"/>
              <w:rPr>
                <w:rFonts w:asciiTheme="minorEastAsia" w:hAnsiTheme="minorEastAsia" w:eastAsiaTheme="minorEastAsia" w:cstheme="minorEastAsia"/>
                <w:color w:val="auto"/>
                <w:sz w:val="24"/>
                <w:szCs w:val="24"/>
              </w:rPr>
            </w:pPr>
          </w:p>
          <w:p>
            <w:pPr>
              <w:widowControl/>
              <w:snapToGrid w:val="0"/>
              <w:spacing w:line="360" w:lineRule="auto"/>
              <w:jc w:val="center"/>
              <w:rPr>
                <w:rFonts w:asciiTheme="minorEastAsia" w:hAnsiTheme="minorEastAsia" w:eastAsiaTheme="minorEastAsia" w:cstheme="minorEastAsia"/>
                <w:color w:val="auto"/>
                <w:sz w:val="24"/>
                <w:szCs w:val="24"/>
              </w:rPr>
            </w:pPr>
          </w:p>
          <w:p>
            <w:pPr>
              <w:widowControl/>
              <w:snapToGrid w:val="0"/>
              <w:spacing w:line="360" w:lineRule="auto"/>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技术部分55</w:t>
            </w:r>
          </w:p>
        </w:tc>
        <w:tc>
          <w:tcPr>
            <w:tcW w:w="999" w:type="dxa"/>
            <w:vAlign w:val="center"/>
          </w:tcPr>
          <w:p>
            <w:pPr>
              <w:spacing w:line="480" w:lineRule="exact"/>
              <w:jc w:val="center"/>
              <w:rPr>
                <w:rFonts w:asciiTheme="minorEastAsia" w:hAnsiTheme="minorEastAsia" w:eastAsiaTheme="minorEastAsia" w:cstheme="minorEastAsia"/>
                <w:color w:val="auto"/>
                <w:sz w:val="24"/>
                <w:szCs w:val="24"/>
              </w:rPr>
            </w:pPr>
            <w:r>
              <w:rPr>
                <w:rFonts w:hint="eastAsia"/>
                <w:sz w:val="24"/>
                <w:szCs w:val="24"/>
              </w:rPr>
              <w:t>技术服务响应</w:t>
            </w:r>
          </w:p>
        </w:tc>
        <w:tc>
          <w:tcPr>
            <w:tcW w:w="576" w:type="dxa"/>
            <w:vAlign w:val="center"/>
          </w:tcPr>
          <w:p>
            <w:pPr>
              <w:autoSpaceDE w:val="0"/>
              <w:autoSpaceDN w:val="0"/>
              <w:adjustRightInd w:val="0"/>
              <w:spacing w:line="480" w:lineRule="exact"/>
              <w:jc w:val="center"/>
              <w:rPr>
                <w:rFonts w:eastAsia="宋体" w:asciiTheme="minorEastAsia" w:hAnsiTheme="minorEastAsia" w:cstheme="minorEastAsia"/>
                <w:color w:val="auto"/>
                <w:sz w:val="24"/>
                <w:szCs w:val="24"/>
              </w:rPr>
            </w:pPr>
            <w:r>
              <w:rPr>
                <w:rFonts w:hint="eastAsia" w:eastAsia="宋体"/>
                <w:sz w:val="24"/>
                <w:szCs w:val="24"/>
              </w:rPr>
              <w:t>45</w:t>
            </w:r>
          </w:p>
        </w:tc>
        <w:tc>
          <w:tcPr>
            <w:tcW w:w="7465" w:type="dxa"/>
            <w:vAlign w:val="center"/>
          </w:tcPr>
          <w:p>
            <w:pPr>
              <w:widowControl/>
              <w:snapToGrid w:val="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根据所提供服务的技术性能、标准与磋商文件要求的相符性进行评审打分，根据磋商文件规定的课程建设内容完全满足或高于要求的没有负偏离的得45分；</w:t>
            </w:r>
            <w:r>
              <w:rPr>
                <w:rFonts w:hint="eastAsia" w:asciiTheme="minorEastAsia" w:hAnsiTheme="minorEastAsia" w:eastAsiaTheme="minorEastAsia" w:cstheme="minorEastAsia"/>
                <w:color w:val="auto"/>
                <w:sz w:val="24"/>
                <w:szCs w:val="24"/>
                <w:lang w:val="zh-CN"/>
              </w:rPr>
              <w:t>每有一项负偏离扣</w:t>
            </w:r>
            <w:r>
              <w:rPr>
                <w:rFonts w:hint="eastAsia" w:asciiTheme="minorEastAsia" w:hAnsiTheme="minorEastAsia" w:eastAsiaTheme="minorEastAsia" w:cstheme="minorEastAsia"/>
                <w:color w:val="auto"/>
                <w:sz w:val="24"/>
                <w:szCs w:val="24"/>
              </w:rPr>
              <w:t>3</w:t>
            </w:r>
            <w:r>
              <w:rPr>
                <w:rFonts w:hint="eastAsia" w:asciiTheme="minorEastAsia" w:hAnsiTheme="minorEastAsia" w:eastAsiaTheme="minorEastAsia" w:cstheme="minorEastAsia"/>
                <w:color w:val="auto"/>
                <w:sz w:val="24"/>
                <w:szCs w:val="24"/>
                <w:lang w:val="zh-CN"/>
              </w:rPr>
              <w:t>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769" w:type="dxa"/>
            <w:vMerge w:val="continue"/>
            <w:vAlign w:val="center"/>
          </w:tcPr>
          <w:p>
            <w:pPr>
              <w:widowControl/>
              <w:snapToGrid w:val="0"/>
              <w:spacing w:line="360" w:lineRule="auto"/>
              <w:jc w:val="center"/>
              <w:rPr>
                <w:rFonts w:asciiTheme="minorEastAsia" w:hAnsiTheme="minorEastAsia" w:eastAsiaTheme="minorEastAsia" w:cstheme="minorEastAsia"/>
                <w:color w:val="auto"/>
                <w:sz w:val="24"/>
                <w:szCs w:val="24"/>
              </w:rPr>
            </w:pPr>
          </w:p>
        </w:tc>
        <w:tc>
          <w:tcPr>
            <w:tcW w:w="999" w:type="dxa"/>
            <w:vAlign w:val="center"/>
          </w:tcPr>
          <w:p>
            <w:pPr>
              <w:spacing w:line="480" w:lineRule="exact"/>
              <w:jc w:val="center"/>
              <w:rPr>
                <w:sz w:val="24"/>
                <w:szCs w:val="24"/>
                <w:lang w:val="zh-CN"/>
              </w:rPr>
            </w:pPr>
            <w:r>
              <w:rPr>
                <w:rFonts w:hint="eastAsia"/>
                <w:sz w:val="24"/>
                <w:szCs w:val="24"/>
              </w:rPr>
              <w:t>整体实施方案</w:t>
            </w:r>
          </w:p>
        </w:tc>
        <w:tc>
          <w:tcPr>
            <w:tcW w:w="576" w:type="dxa"/>
            <w:vAlign w:val="center"/>
          </w:tcPr>
          <w:p>
            <w:pPr>
              <w:autoSpaceDE w:val="0"/>
              <w:autoSpaceDN w:val="0"/>
              <w:adjustRightInd w:val="0"/>
              <w:spacing w:line="480" w:lineRule="exact"/>
              <w:jc w:val="center"/>
              <w:rPr>
                <w:rFonts w:asciiTheme="minorEastAsia" w:hAnsiTheme="minorEastAsia" w:eastAsiaTheme="minorEastAsia" w:cstheme="minorEastAsia"/>
                <w:color w:val="auto"/>
                <w:sz w:val="24"/>
                <w:szCs w:val="24"/>
              </w:rPr>
            </w:pPr>
            <w:r>
              <w:rPr>
                <w:sz w:val="24"/>
                <w:szCs w:val="24"/>
                <w:lang w:val="zh-CN"/>
              </w:rPr>
              <w:t>10</w:t>
            </w:r>
          </w:p>
        </w:tc>
        <w:tc>
          <w:tcPr>
            <w:tcW w:w="7465" w:type="dxa"/>
            <w:vAlign w:val="center"/>
          </w:tcPr>
          <w:p>
            <w:pPr>
              <w:spacing w:line="480" w:lineRule="exact"/>
              <w:rPr>
                <w:sz w:val="24"/>
                <w:szCs w:val="24"/>
              </w:rPr>
            </w:pPr>
            <w:r>
              <w:rPr>
                <w:rFonts w:hint="eastAsia"/>
                <w:sz w:val="24"/>
                <w:szCs w:val="24"/>
              </w:rPr>
              <w:t>供应商需提供针对本项目的实施方案，提供详细、清晰、科学、合理的整体服务方案。包含：（1）技术服务方案；（2）项目实施方案（精品在线课程建设、虚拟仿真实验课程建设方案）；（3）质量保障体系；（4）运行服务。</w:t>
            </w:r>
          </w:p>
          <w:p>
            <w:pPr>
              <w:spacing w:line="480" w:lineRule="exact"/>
              <w:rPr>
                <w:sz w:val="24"/>
                <w:szCs w:val="24"/>
              </w:rPr>
            </w:pPr>
            <w:r>
              <w:rPr>
                <w:rFonts w:hint="eastAsia"/>
                <w:sz w:val="24"/>
                <w:szCs w:val="24"/>
              </w:rPr>
              <w:t>整体实施方案科学、完整、详细，阶段目标清晰，实现路径明确，管理机制健全，具有较强的可操作性，得</w:t>
            </w:r>
            <w:r>
              <w:rPr>
                <w:sz w:val="24"/>
                <w:szCs w:val="24"/>
              </w:rPr>
              <w:t>10</w:t>
            </w:r>
            <w:r>
              <w:rPr>
                <w:rFonts w:hint="eastAsia"/>
                <w:sz w:val="24"/>
                <w:szCs w:val="24"/>
              </w:rPr>
              <w:t>分；</w:t>
            </w:r>
          </w:p>
          <w:p>
            <w:pPr>
              <w:spacing w:line="480" w:lineRule="exact"/>
              <w:rPr>
                <w:sz w:val="24"/>
                <w:szCs w:val="24"/>
              </w:rPr>
            </w:pPr>
            <w:r>
              <w:rPr>
                <w:rFonts w:hint="eastAsia"/>
                <w:sz w:val="24"/>
                <w:szCs w:val="24"/>
              </w:rPr>
              <w:t>方案基本完整，具有基本的可操作性，得</w:t>
            </w:r>
            <w:r>
              <w:rPr>
                <w:rFonts w:hint="eastAsia" w:eastAsia="宋体"/>
                <w:sz w:val="24"/>
                <w:szCs w:val="24"/>
              </w:rPr>
              <w:t>6</w:t>
            </w:r>
            <w:r>
              <w:rPr>
                <w:rFonts w:hint="eastAsia"/>
                <w:sz w:val="24"/>
                <w:szCs w:val="24"/>
              </w:rPr>
              <w:t>分；</w:t>
            </w:r>
          </w:p>
          <w:p>
            <w:pPr>
              <w:spacing w:line="480" w:lineRule="exact"/>
              <w:rPr>
                <w:sz w:val="24"/>
                <w:szCs w:val="24"/>
              </w:rPr>
            </w:pPr>
            <w:r>
              <w:rPr>
                <w:rFonts w:hint="eastAsia"/>
                <w:sz w:val="24"/>
                <w:szCs w:val="24"/>
              </w:rPr>
              <w:t>方案不够完整，思路不清晰，不具操作性，得</w:t>
            </w:r>
            <w:r>
              <w:rPr>
                <w:rFonts w:hint="eastAsia" w:eastAsia="宋体"/>
                <w:sz w:val="24"/>
                <w:szCs w:val="24"/>
              </w:rPr>
              <w:t>1</w:t>
            </w:r>
            <w:r>
              <w:rPr>
                <w:rFonts w:hint="eastAsia"/>
                <w:sz w:val="24"/>
                <w:szCs w:val="24"/>
              </w:rPr>
              <w:t>分；</w:t>
            </w:r>
          </w:p>
          <w:p>
            <w:pPr>
              <w:spacing w:line="480" w:lineRule="exact"/>
              <w:rPr>
                <w:sz w:val="24"/>
                <w:szCs w:val="24"/>
              </w:rPr>
            </w:pPr>
            <w:r>
              <w:rPr>
                <w:rFonts w:hint="eastAsia"/>
                <w:sz w:val="24"/>
                <w:szCs w:val="24"/>
              </w:rPr>
              <w:t>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769" w:type="dxa"/>
            <w:vMerge w:val="restart"/>
            <w:vAlign w:val="center"/>
          </w:tcPr>
          <w:p>
            <w:pPr>
              <w:widowControl/>
              <w:snapToGrid w:val="0"/>
              <w:spacing w:line="360" w:lineRule="auto"/>
              <w:rPr>
                <w:rFonts w:asciiTheme="minorEastAsia" w:hAnsiTheme="minorEastAsia" w:eastAsiaTheme="minorEastAsia" w:cstheme="minorEastAsia"/>
                <w:color w:val="auto"/>
                <w:sz w:val="24"/>
                <w:szCs w:val="24"/>
                <w:highlight w:val="none"/>
              </w:rPr>
            </w:pPr>
          </w:p>
          <w:p>
            <w:pPr>
              <w:widowControl/>
              <w:snapToGrid w:val="0"/>
              <w:spacing w:line="360" w:lineRule="auto"/>
              <w:rPr>
                <w:rFonts w:asciiTheme="minorEastAsia" w:hAnsiTheme="minorEastAsia" w:eastAsiaTheme="minorEastAsia" w:cstheme="minorEastAsia"/>
                <w:color w:val="auto"/>
                <w:sz w:val="24"/>
                <w:szCs w:val="24"/>
                <w:highlight w:val="none"/>
              </w:rPr>
            </w:pPr>
          </w:p>
          <w:p>
            <w:pPr>
              <w:widowControl/>
              <w:snapToGrid w:val="0"/>
              <w:spacing w:line="360" w:lineRule="auto"/>
              <w:rPr>
                <w:rFonts w:asciiTheme="minorEastAsia" w:hAnsiTheme="minorEastAsia" w:eastAsiaTheme="minorEastAsia" w:cstheme="minorEastAsia"/>
                <w:color w:val="auto"/>
                <w:sz w:val="24"/>
                <w:szCs w:val="24"/>
                <w:highlight w:val="none"/>
              </w:rPr>
            </w:pPr>
          </w:p>
          <w:p>
            <w:pPr>
              <w:widowControl/>
              <w:snapToGrid w:val="0"/>
              <w:spacing w:line="360" w:lineRule="auto"/>
              <w:rPr>
                <w:rFonts w:asciiTheme="minorEastAsia" w:hAnsiTheme="minorEastAsia" w:eastAsiaTheme="minorEastAsia" w:cstheme="minorEastAsia"/>
                <w:color w:val="auto"/>
                <w:sz w:val="24"/>
                <w:szCs w:val="24"/>
                <w:highlight w:val="none"/>
              </w:rPr>
            </w:pPr>
          </w:p>
          <w:p>
            <w:pPr>
              <w:widowControl/>
              <w:snapToGrid w:val="0"/>
              <w:spacing w:line="360" w:lineRule="auto"/>
              <w:rPr>
                <w:rFonts w:asciiTheme="minorEastAsia" w:hAnsiTheme="minorEastAsia" w:eastAsiaTheme="minorEastAsia" w:cstheme="minorEastAsia"/>
                <w:color w:val="auto"/>
                <w:sz w:val="24"/>
                <w:szCs w:val="24"/>
                <w:highlight w:val="none"/>
              </w:rPr>
            </w:pPr>
          </w:p>
          <w:p>
            <w:pPr>
              <w:widowControl/>
              <w:snapToGrid w:val="0"/>
              <w:spacing w:line="360" w:lineRule="auto"/>
              <w:rPr>
                <w:rFonts w:asciiTheme="minorEastAsia" w:hAnsiTheme="minorEastAsia" w:eastAsiaTheme="minorEastAsia" w:cstheme="minorEastAsia"/>
                <w:color w:val="auto"/>
                <w:sz w:val="24"/>
                <w:szCs w:val="24"/>
                <w:highlight w:val="none"/>
              </w:rPr>
            </w:pPr>
          </w:p>
          <w:p>
            <w:pPr>
              <w:widowControl/>
              <w:snapToGrid w:val="0"/>
              <w:spacing w:line="360" w:lineRule="auto"/>
              <w:rPr>
                <w:rFonts w:asciiTheme="minorEastAsia" w:hAnsiTheme="minorEastAsia" w:eastAsiaTheme="minorEastAsia" w:cstheme="minorEastAsia"/>
                <w:color w:val="auto"/>
                <w:sz w:val="24"/>
                <w:szCs w:val="24"/>
                <w:highlight w:val="none"/>
              </w:rPr>
            </w:pPr>
          </w:p>
          <w:p>
            <w:pPr>
              <w:widowControl/>
              <w:snapToGrid w:val="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商务部分3</w:t>
            </w:r>
            <w:r>
              <w:rPr>
                <w:rFonts w:asciiTheme="minorEastAsia" w:hAnsiTheme="minorEastAsia" w:eastAsiaTheme="minorEastAsia" w:cstheme="minorEastAsia"/>
                <w:color w:val="auto"/>
                <w:sz w:val="24"/>
                <w:szCs w:val="24"/>
                <w:highlight w:val="none"/>
              </w:rPr>
              <w:t>0</w:t>
            </w:r>
            <w:r>
              <w:rPr>
                <w:rFonts w:hint="eastAsia" w:asciiTheme="minorEastAsia" w:hAnsiTheme="minorEastAsia" w:eastAsiaTheme="minorEastAsia" w:cstheme="minorEastAsia"/>
                <w:color w:val="auto"/>
                <w:sz w:val="24"/>
                <w:szCs w:val="24"/>
                <w:highlight w:val="none"/>
              </w:rPr>
              <w:t>分</w:t>
            </w:r>
          </w:p>
        </w:tc>
        <w:tc>
          <w:tcPr>
            <w:tcW w:w="999" w:type="dxa"/>
            <w:vAlign w:val="center"/>
          </w:tcPr>
          <w:p>
            <w:pPr>
              <w:spacing w:line="480" w:lineRule="exact"/>
              <w:rPr>
                <w:rFonts w:hint="eastAsia"/>
                <w:sz w:val="24"/>
                <w:szCs w:val="24"/>
                <w:highlight w:val="none"/>
                <w:lang w:val="zh-CN"/>
              </w:rPr>
            </w:pPr>
            <w:r>
              <w:rPr>
                <w:rFonts w:hint="eastAsia"/>
                <w:sz w:val="24"/>
                <w:szCs w:val="24"/>
                <w:highlight w:val="none"/>
              </w:rPr>
              <w:t>项目制作与服务团队实力</w:t>
            </w:r>
          </w:p>
        </w:tc>
        <w:tc>
          <w:tcPr>
            <w:tcW w:w="576" w:type="dxa"/>
            <w:vAlign w:val="center"/>
          </w:tcPr>
          <w:p>
            <w:pPr>
              <w:spacing w:line="480" w:lineRule="exact"/>
              <w:rPr>
                <w:rFonts w:hint="eastAsia"/>
                <w:sz w:val="24"/>
                <w:szCs w:val="24"/>
                <w:highlight w:val="none"/>
              </w:rPr>
            </w:pPr>
            <w:r>
              <w:rPr>
                <w:rFonts w:hint="eastAsia"/>
                <w:sz w:val="24"/>
                <w:szCs w:val="24"/>
                <w:highlight w:val="none"/>
              </w:rPr>
              <w:t>5</w:t>
            </w:r>
          </w:p>
        </w:tc>
        <w:tc>
          <w:tcPr>
            <w:tcW w:w="7465" w:type="dxa"/>
            <w:vAlign w:val="center"/>
          </w:tcPr>
          <w:p>
            <w:pPr>
              <w:spacing w:line="480" w:lineRule="exact"/>
              <w:rPr>
                <w:rFonts w:hint="eastAsia"/>
                <w:sz w:val="24"/>
                <w:szCs w:val="24"/>
                <w:highlight w:val="none"/>
              </w:rPr>
            </w:pPr>
            <w:r>
              <w:rPr>
                <w:rFonts w:hint="eastAsia"/>
                <w:sz w:val="24"/>
                <w:szCs w:val="24"/>
                <w:highlight w:val="none"/>
              </w:rPr>
              <w:t>项目人员有动画绘制员、三维动画设计师、计算机信息系统项目经理、摄影师等级证书、视频编辑师、视频特效处理师、影视后期工程师、PMP系列资质认证证书的：提供人员证书种类6-8种得5分，提供人员证书种类3-5种的得3分，提供人员证书种类1-2种的得1分，不提供不得分。（提供团队人员证书复印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69" w:type="dxa"/>
            <w:vMerge w:val="continue"/>
            <w:vAlign w:val="center"/>
          </w:tcPr>
          <w:p>
            <w:pPr>
              <w:widowControl/>
              <w:snapToGrid w:val="0"/>
              <w:spacing w:line="360" w:lineRule="auto"/>
              <w:jc w:val="center"/>
              <w:rPr>
                <w:rFonts w:asciiTheme="minorEastAsia" w:hAnsiTheme="minorEastAsia" w:eastAsiaTheme="minorEastAsia" w:cstheme="minorEastAsia"/>
                <w:color w:val="auto"/>
                <w:sz w:val="24"/>
                <w:szCs w:val="24"/>
                <w:highlight w:val="none"/>
              </w:rPr>
            </w:pPr>
          </w:p>
        </w:tc>
        <w:tc>
          <w:tcPr>
            <w:tcW w:w="999" w:type="dxa"/>
            <w:vAlign w:val="center"/>
          </w:tcPr>
          <w:p>
            <w:pPr>
              <w:spacing w:line="480" w:lineRule="exact"/>
              <w:rPr>
                <w:sz w:val="24"/>
                <w:szCs w:val="24"/>
                <w:highlight w:val="none"/>
              </w:rPr>
            </w:pPr>
            <w:r>
              <w:rPr>
                <w:rFonts w:hint="eastAsia"/>
                <w:sz w:val="24"/>
                <w:szCs w:val="24"/>
                <w:highlight w:val="none"/>
              </w:rPr>
              <w:t>设备</w:t>
            </w:r>
          </w:p>
          <w:p>
            <w:pPr>
              <w:spacing w:line="480" w:lineRule="exact"/>
              <w:rPr>
                <w:sz w:val="24"/>
                <w:szCs w:val="24"/>
                <w:highlight w:val="none"/>
              </w:rPr>
            </w:pPr>
            <w:r>
              <w:rPr>
                <w:rFonts w:hint="eastAsia"/>
                <w:sz w:val="24"/>
                <w:szCs w:val="24"/>
                <w:highlight w:val="none"/>
              </w:rPr>
              <w:t>配置</w:t>
            </w:r>
          </w:p>
        </w:tc>
        <w:tc>
          <w:tcPr>
            <w:tcW w:w="576" w:type="dxa"/>
            <w:vAlign w:val="center"/>
          </w:tcPr>
          <w:p>
            <w:pPr>
              <w:spacing w:line="480" w:lineRule="exact"/>
              <w:jc w:val="center"/>
              <w:rPr>
                <w:rFonts w:eastAsia="宋体"/>
                <w:sz w:val="24"/>
                <w:szCs w:val="24"/>
                <w:highlight w:val="none"/>
              </w:rPr>
            </w:pPr>
            <w:r>
              <w:rPr>
                <w:rFonts w:eastAsia="宋体"/>
                <w:sz w:val="24"/>
                <w:szCs w:val="24"/>
                <w:highlight w:val="none"/>
              </w:rPr>
              <w:t>5</w:t>
            </w:r>
          </w:p>
        </w:tc>
        <w:tc>
          <w:tcPr>
            <w:tcW w:w="7465" w:type="dxa"/>
            <w:vAlign w:val="center"/>
          </w:tcPr>
          <w:p>
            <w:pPr>
              <w:spacing w:line="480" w:lineRule="exact"/>
              <w:rPr>
                <w:sz w:val="24"/>
                <w:szCs w:val="24"/>
                <w:highlight w:val="none"/>
              </w:rPr>
            </w:pPr>
            <w:r>
              <w:rPr>
                <w:rFonts w:hint="eastAsia"/>
                <w:sz w:val="24"/>
                <w:szCs w:val="24"/>
                <w:highlight w:val="none"/>
              </w:rPr>
              <w:t>拍摄设备配备介绍清晰完整、功能完善、种类齐全、符合用户的需要且可以完全满足用户要求的，得</w:t>
            </w:r>
            <w:r>
              <w:rPr>
                <w:sz w:val="24"/>
                <w:szCs w:val="24"/>
                <w:highlight w:val="none"/>
              </w:rPr>
              <w:t>5</w:t>
            </w:r>
            <w:r>
              <w:rPr>
                <w:rFonts w:hint="eastAsia"/>
                <w:sz w:val="24"/>
                <w:szCs w:val="24"/>
                <w:highlight w:val="none"/>
              </w:rPr>
              <w:t>分；</w:t>
            </w:r>
          </w:p>
          <w:p>
            <w:pPr>
              <w:spacing w:line="480" w:lineRule="exact"/>
              <w:rPr>
                <w:sz w:val="24"/>
                <w:szCs w:val="24"/>
                <w:highlight w:val="none"/>
              </w:rPr>
            </w:pPr>
            <w:r>
              <w:rPr>
                <w:rFonts w:hint="eastAsia"/>
                <w:sz w:val="24"/>
                <w:szCs w:val="24"/>
                <w:highlight w:val="none"/>
              </w:rPr>
              <w:t>拍摄设备配备介绍比较清晰完整、功能比较完善、种类齐全、基本符合用户的需要且可以部分满足用户要求的，得</w:t>
            </w:r>
            <w:r>
              <w:rPr>
                <w:sz w:val="24"/>
                <w:szCs w:val="24"/>
                <w:highlight w:val="none"/>
              </w:rPr>
              <w:t>3</w:t>
            </w:r>
            <w:r>
              <w:rPr>
                <w:rFonts w:hint="eastAsia"/>
                <w:sz w:val="24"/>
                <w:szCs w:val="24"/>
                <w:highlight w:val="none"/>
              </w:rPr>
              <w:t>分；</w:t>
            </w:r>
          </w:p>
          <w:p>
            <w:pPr>
              <w:spacing w:line="480" w:lineRule="exact"/>
              <w:rPr>
                <w:sz w:val="24"/>
                <w:szCs w:val="24"/>
                <w:highlight w:val="none"/>
              </w:rPr>
            </w:pPr>
            <w:r>
              <w:rPr>
                <w:rFonts w:hint="eastAsia"/>
                <w:sz w:val="24"/>
                <w:szCs w:val="24"/>
                <w:highlight w:val="none"/>
              </w:rPr>
              <w:t>拍摄设备配备介绍不清晰或不完整或功能不完善或种类不齐全或不符合用户的需要，得1分；未提供不得分。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769" w:type="dxa"/>
            <w:vMerge w:val="continue"/>
            <w:vAlign w:val="center"/>
          </w:tcPr>
          <w:p>
            <w:pPr>
              <w:widowControl/>
              <w:snapToGrid w:val="0"/>
              <w:spacing w:line="360" w:lineRule="auto"/>
              <w:jc w:val="center"/>
              <w:rPr>
                <w:rFonts w:asciiTheme="minorEastAsia" w:hAnsiTheme="minorEastAsia" w:eastAsiaTheme="minorEastAsia" w:cstheme="minorEastAsia"/>
                <w:color w:val="auto"/>
                <w:sz w:val="24"/>
                <w:szCs w:val="24"/>
              </w:rPr>
            </w:pPr>
          </w:p>
        </w:tc>
        <w:tc>
          <w:tcPr>
            <w:tcW w:w="999" w:type="dxa"/>
            <w:vAlign w:val="center"/>
          </w:tcPr>
          <w:p>
            <w:pPr>
              <w:spacing w:line="480" w:lineRule="exact"/>
              <w:jc w:val="center"/>
              <w:rPr>
                <w:sz w:val="24"/>
                <w:szCs w:val="24"/>
              </w:rPr>
            </w:pPr>
            <w:r>
              <w:rPr>
                <w:rFonts w:hint="eastAsia"/>
                <w:sz w:val="24"/>
                <w:szCs w:val="24"/>
              </w:rPr>
              <w:t>类似</w:t>
            </w:r>
          </w:p>
          <w:p>
            <w:pPr>
              <w:spacing w:line="480" w:lineRule="exact"/>
              <w:jc w:val="center"/>
              <w:rPr>
                <w:sz w:val="24"/>
                <w:szCs w:val="24"/>
              </w:rPr>
            </w:pPr>
            <w:r>
              <w:rPr>
                <w:rFonts w:hint="eastAsia"/>
                <w:sz w:val="24"/>
                <w:szCs w:val="24"/>
              </w:rPr>
              <w:t>业绩</w:t>
            </w:r>
          </w:p>
        </w:tc>
        <w:tc>
          <w:tcPr>
            <w:tcW w:w="576" w:type="dxa"/>
            <w:vAlign w:val="center"/>
          </w:tcPr>
          <w:p>
            <w:pPr>
              <w:spacing w:line="480" w:lineRule="exact"/>
              <w:jc w:val="center"/>
              <w:rPr>
                <w:rFonts w:eastAsia="宋体"/>
                <w:sz w:val="24"/>
                <w:szCs w:val="24"/>
              </w:rPr>
            </w:pPr>
            <w:r>
              <w:rPr>
                <w:rFonts w:hint="eastAsia" w:eastAsia="宋体"/>
                <w:sz w:val="24"/>
                <w:szCs w:val="24"/>
              </w:rPr>
              <w:t>10</w:t>
            </w:r>
          </w:p>
        </w:tc>
        <w:tc>
          <w:tcPr>
            <w:tcW w:w="7465" w:type="dxa"/>
            <w:vAlign w:val="center"/>
          </w:tcPr>
          <w:p>
            <w:pPr>
              <w:spacing w:line="480" w:lineRule="exact"/>
              <w:rPr>
                <w:sz w:val="24"/>
                <w:szCs w:val="24"/>
              </w:rPr>
            </w:pPr>
            <w:r>
              <w:rPr>
                <w:rFonts w:hint="eastAsia"/>
                <w:sz w:val="24"/>
                <w:szCs w:val="24"/>
              </w:rPr>
              <w:t>供应商须提供自2019年07月01日至2022年07月01日</w:t>
            </w:r>
            <w:r>
              <w:rPr>
                <w:rFonts w:hint="eastAsia" w:eastAsia="宋体"/>
                <w:sz w:val="24"/>
                <w:szCs w:val="24"/>
                <w:lang w:val="en-US" w:eastAsia="zh-CN"/>
              </w:rPr>
              <w:t>同类业绩</w:t>
            </w:r>
            <w:r>
              <w:rPr>
                <w:rFonts w:hint="eastAsia"/>
                <w:sz w:val="24"/>
                <w:szCs w:val="24"/>
              </w:rPr>
              <w:t>证明材料，每提供一个有效业绩得2分，满分10分。注：须提供中标通知书合同关键页（包括但不限于合首页、结算金额页、签章页）作为证明材料。以签订时间为准，需提供相关证明材料复印件并加盖公章，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769" w:type="dxa"/>
            <w:vMerge w:val="continue"/>
            <w:vAlign w:val="center"/>
          </w:tcPr>
          <w:p>
            <w:pPr>
              <w:widowControl/>
              <w:snapToGrid w:val="0"/>
              <w:spacing w:line="360" w:lineRule="auto"/>
              <w:jc w:val="center"/>
              <w:rPr>
                <w:rFonts w:asciiTheme="minorEastAsia" w:hAnsiTheme="minorEastAsia" w:eastAsiaTheme="minorEastAsia" w:cstheme="minorEastAsia"/>
                <w:color w:val="auto"/>
                <w:sz w:val="24"/>
                <w:szCs w:val="24"/>
              </w:rPr>
            </w:pPr>
          </w:p>
        </w:tc>
        <w:tc>
          <w:tcPr>
            <w:tcW w:w="999" w:type="dxa"/>
            <w:vAlign w:val="center"/>
          </w:tcPr>
          <w:p>
            <w:pPr>
              <w:spacing w:line="480" w:lineRule="exact"/>
              <w:jc w:val="center"/>
              <w:rPr>
                <w:sz w:val="24"/>
                <w:szCs w:val="24"/>
              </w:rPr>
            </w:pPr>
            <w:r>
              <w:rPr>
                <w:rFonts w:hint="eastAsia"/>
                <w:sz w:val="24"/>
                <w:szCs w:val="24"/>
              </w:rPr>
              <w:t>售后服务及培训</w:t>
            </w:r>
          </w:p>
          <w:p>
            <w:pPr>
              <w:spacing w:line="480" w:lineRule="exact"/>
              <w:jc w:val="center"/>
              <w:rPr>
                <w:sz w:val="24"/>
                <w:szCs w:val="24"/>
              </w:rPr>
            </w:pPr>
            <w:r>
              <w:rPr>
                <w:rFonts w:hint="eastAsia"/>
                <w:sz w:val="24"/>
                <w:szCs w:val="24"/>
              </w:rPr>
              <w:t>方案</w:t>
            </w:r>
          </w:p>
        </w:tc>
        <w:tc>
          <w:tcPr>
            <w:tcW w:w="576" w:type="dxa"/>
            <w:vAlign w:val="center"/>
          </w:tcPr>
          <w:p>
            <w:pPr>
              <w:spacing w:line="480" w:lineRule="exact"/>
              <w:jc w:val="center"/>
              <w:rPr>
                <w:sz w:val="24"/>
                <w:szCs w:val="24"/>
              </w:rPr>
            </w:pPr>
            <w:r>
              <w:rPr>
                <w:sz w:val="24"/>
                <w:szCs w:val="24"/>
              </w:rPr>
              <w:t>10</w:t>
            </w:r>
          </w:p>
        </w:tc>
        <w:tc>
          <w:tcPr>
            <w:tcW w:w="7465" w:type="dxa"/>
            <w:vAlign w:val="center"/>
          </w:tcPr>
          <w:p>
            <w:pPr>
              <w:spacing w:line="480" w:lineRule="exact"/>
              <w:rPr>
                <w:sz w:val="24"/>
                <w:szCs w:val="24"/>
              </w:rPr>
            </w:pPr>
            <w:r>
              <w:rPr>
                <w:rFonts w:hint="eastAsia"/>
                <w:sz w:val="24"/>
                <w:szCs w:val="24"/>
              </w:rPr>
              <w:t>售后服务、培训方案完善、合理、切实可行，有完善的运行良好的售后服务网络、培训体系，最大程度满足本项目需要，保证措施切实可行，有明确的售后服务承诺的得10分；售后服务、培训方案合理、切实可行，有运行良好的售后服务网络、培训体系，满足本项目需要，有售后服务承诺的得6分；有售后服务、培训方案，有运行良好的售后服务网络、培训体系，基本满足本项目需要，有售后服务承诺的得2分。未提供不得分。</w:t>
            </w:r>
          </w:p>
        </w:tc>
      </w:tr>
    </w:tbl>
    <w:p>
      <w:r>
        <w:rPr>
          <w:rFonts w:hint="eastAsia"/>
        </w:rPr>
        <w:br w:type="page"/>
      </w:r>
    </w:p>
    <w:p>
      <w:pPr>
        <w:pStyle w:val="2"/>
        <w:ind w:firstLine="2891" w:firstLineChars="900"/>
        <w:jc w:val="left"/>
        <w:rPr>
          <w:rFonts w:ascii="宋体" w:hAnsi="宋体" w:cs="宋体"/>
        </w:rPr>
      </w:pPr>
      <w:r>
        <w:rPr>
          <w:rFonts w:hint="eastAsia" w:ascii="宋体" w:hAnsi="宋体" w:cs="宋体"/>
        </w:rPr>
        <w:t>七、</w:t>
      </w:r>
      <w:bookmarkEnd w:id="275"/>
      <w:bookmarkEnd w:id="276"/>
      <w:r>
        <w:rPr>
          <w:rFonts w:hint="eastAsia" w:ascii="宋体" w:hAnsi="宋体" w:cs="宋体"/>
        </w:rPr>
        <w:t>确定成交供应商</w:t>
      </w:r>
      <w:bookmarkEnd w:id="277"/>
      <w:bookmarkEnd w:id="278"/>
      <w:bookmarkEnd w:id="279"/>
      <w:bookmarkEnd w:id="280"/>
      <w:bookmarkEnd w:id="281"/>
      <w:bookmarkEnd w:id="282"/>
      <w:bookmarkEnd w:id="283"/>
      <w:bookmarkEnd w:id="284"/>
    </w:p>
    <w:p>
      <w:pPr>
        <w:pStyle w:val="3"/>
        <w:rPr>
          <w:rFonts w:ascii="宋体" w:hAnsi="宋体" w:cs="宋体"/>
          <w:color w:val="auto"/>
        </w:rPr>
      </w:pPr>
      <w:bookmarkStart w:id="285" w:name="_Toc376936757"/>
      <w:bookmarkStart w:id="286" w:name="_Toc325726026"/>
      <w:bookmarkStart w:id="287" w:name="_Toc32764"/>
      <w:bookmarkStart w:id="288" w:name="_Toc3474"/>
      <w:bookmarkStart w:id="289" w:name="_Toc4724"/>
      <w:bookmarkStart w:id="290" w:name="_Toc30068"/>
      <w:bookmarkStart w:id="291" w:name="_Toc17038"/>
      <w:bookmarkStart w:id="292" w:name="_Toc28889"/>
      <w:bookmarkStart w:id="293" w:name="_Toc495567958"/>
      <w:bookmarkStart w:id="294" w:name="_Toc5243"/>
      <w:bookmarkStart w:id="295" w:name="_Toc495666275"/>
      <w:r>
        <w:rPr>
          <w:rFonts w:hint="eastAsia" w:ascii="宋体" w:hAnsi="宋体" w:cs="宋体"/>
          <w:color w:val="auto"/>
        </w:rPr>
        <w:t>18.推荐并确定成交</w:t>
      </w:r>
      <w:bookmarkEnd w:id="285"/>
      <w:bookmarkEnd w:id="286"/>
      <w:r>
        <w:rPr>
          <w:rFonts w:hint="eastAsia" w:ascii="宋体" w:hAnsi="宋体" w:cs="宋体"/>
          <w:color w:val="auto"/>
        </w:rPr>
        <w:t>供应商</w:t>
      </w:r>
      <w:bookmarkEnd w:id="287"/>
      <w:bookmarkEnd w:id="288"/>
      <w:bookmarkEnd w:id="289"/>
      <w:bookmarkEnd w:id="290"/>
      <w:bookmarkEnd w:id="291"/>
      <w:bookmarkEnd w:id="292"/>
      <w:bookmarkEnd w:id="293"/>
      <w:bookmarkEnd w:id="294"/>
      <w:bookmarkEnd w:id="295"/>
    </w:p>
    <w:p>
      <w:pPr>
        <w:spacing w:line="360" w:lineRule="auto"/>
        <w:ind w:firstLine="480" w:firstLineChars="200"/>
        <w:jc w:val="left"/>
        <w:rPr>
          <w:rFonts w:eastAsia="宋体"/>
          <w:color w:val="auto"/>
          <w:sz w:val="24"/>
          <w:szCs w:val="24"/>
        </w:rPr>
      </w:pPr>
      <w:r>
        <w:rPr>
          <w:rFonts w:hint="eastAsia" w:eastAsia="宋体"/>
          <w:color w:val="auto"/>
          <w:sz w:val="24"/>
          <w:szCs w:val="24"/>
        </w:rPr>
        <w:t>18.1采购代理机构应当在评审结束后2个工作日内将评审报告送采购人确认。</w:t>
      </w:r>
    </w:p>
    <w:p>
      <w:pPr>
        <w:spacing w:line="360" w:lineRule="auto"/>
        <w:jc w:val="left"/>
        <w:rPr>
          <w:rFonts w:eastAsia="宋体"/>
          <w:color w:val="auto"/>
          <w:sz w:val="24"/>
          <w:szCs w:val="24"/>
        </w:rPr>
      </w:pPr>
      <w:r>
        <w:rPr>
          <w:rFonts w:hint="eastAsia" w:eastAsia="宋体"/>
          <w:color w:val="auto"/>
          <w:sz w:val="24"/>
          <w:szCs w:val="24"/>
        </w:rPr>
        <w:t>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pStyle w:val="3"/>
        <w:rPr>
          <w:rFonts w:ascii="宋体" w:hAnsi="宋体" w:cs="宋体"/>
          <w:color w:val="auto"/>
        </w:rPr>
      </w:pPr>
      <w:bookmarkStart w:id="296" w:name="_Toc24581"/>
      <w:bookmarkStart w:id="297" w:name="_Toc2963"/>
      <w:bookmarkStart w:id="298" w:name="_Toc17711"/>
      <w:bookmarkStart w:id="299" w:name="_Toc16865"/>
      <w:bookmarkStart w:id="300" w:name="_Toc495567959"/>
      <w:bookmarkStart w:id="301" w:name="_Toc325726028"/>
      <w:bookmarkStart w:id="302" w:name="_Toc376936759"/>
      <w:bookmarkStart w:id="303" w:name="_Toc495666276"/>
      <w:bookmarkStart w:id="304" w:name="_Toc2346"/>
      <w:bookmarkStart w:id="305" w:name="_Toc18587"/>
      <w:bookmarkStart w:id="306" w:name="_Toc24634"/>
      <w:bookmarkStart w:id="307" w:name="_Toc325726027"/>
      <w:r>
        <w:rPr>
          <w:rFonts w:hint="eastAsia" w:ascii="宋体" w:hAnsi="宋体" w:cs="宋体"/>
          <w:color w:val="auto"/>
        </w:rPr>
        <w:t>19.成交通知</w:t>
      </w:r>
      <w:bookmarkEnd w:id="296"/>
      <w:bookmarkEnd w:id="297"/>
      <w:bookmarkEnd w:id="298"/>
      <w:bookmarkEnd w:id="299"/>
      <w:bookmarkEnd w:id="300"/>
      <w:bookmarkEnd w:id="301"/>
      <w:bookmarkEnd w:id="302"/>
      <w:bookmarkEnd w:id="303"/>
      <w:bookmarkEnd w:id="304"/>
      <w:bookmarkEnd w:id="305"/>
      <w:bookmarkEnd w:id="306"/>
    </w:p>
    <w:p>
      <w:pPr>
        <w:spacing w:line="360" w:lineRule="auto"/>
        <w:ind w:firstLine="480" w:firstLineChars="200"/>
        <w:jc w:val="left"/>
        <w:rPr>
          <w:rFonts w:eastAsia="宋体"/>
          <w:color w:val="auto"/>
          <w:sz w:val="24"/>
          <w:szCs w:val="24"/>
        </w:rPr>
      </w:pPr>
      <w:r>
        <w:rPr>
          <w:rFonts w:hint="eastAsia" w:eastAsia="宋体"/>
          <w:color w:val="auto"/>
          <w:sz w:val="24"/>
          <w:szCs w:val="24"/>
        </w:rPr>
        <w:t>19.1采购人或者采购代理机构应当在成交供应商确定后2个工作日内，在《青海省政府采购网》上公告成交结果，同时向成交供应商发出成交通知书。</w:t>
      </w:r>
    </w:p>
    <w:p>
      <w:pPr>
        <w:spacing w:line="360" w:lineRule="auto"/>
        <w:ind w:firstLine="480" w:firstLineChars="200"/>
        <w:jc w:val="left"/>
        <w:rPr>
          <w:rFonts w:eastAsia="宋体"/>
          <w:color w:val="auto"/>
          <w:sz w:val="24"/>
          <w:szCs w:val="24"/>
        </w:rPr>
      </w:pPr>
      <w:r>
        <w:rPr>
          <w:rFonts w:hint="eastAsia" w:eastAsia="宋体"/>
          <w:color w:val="auto"/>
          <w:sz w:val="24"/>
          <w:szCs w:val="24"/>
        </w:rPr>
        <w:t>19.2《成交通知书》发出后，采购人改变成交结果的，或者成交供应商无正当理由放弃成交项目的，依法承担法律责任。</w:t>
      </w:r>
    </w:p>
    <w:p>
      <w:pPr>
        <w:pStyle w:val="2"/>
        <w:rPr>
          <w:rFonts w:ascii="宋体" w:hAnsi="宋体" w:cs="宋体"/>
          <w:lang w:val="zh-CN"/>
        </w:rPr>
      </w:pPr>
      <w:bookmarkStart w:id="308" w:name="_Toc3461"/>
      <w:bookmarkStart w:id="309" w:name="_Toc5556"/>
      <w:bookmarkStart w:id="310" w:name="_Toc8948"/>
      <w:bookmarkStart w:id="311" w:name="_Toc28065"/>
      <w:bookmarkStart w:id="312" w:name="_Toc2094"/>
      <w:bookmarkStart w:id="313" w:name="_Toc1846"/>
      <w:bookmarkStart w:id="314" w:name="_Toc376936758"/>
      <w:bookmarkStart w:id="315" w:name="_Toc26276"/>
      <w:bookmarkStart w:id="316" w:name="_Toc18063"/>
      <w:r>
        <w:rPr>
          <w:rFonts w:hint="eastAsia" w:ascii="宋体" w:hAnsi="宋体" w:cs="宋体"/>
          <w:lang w:val="zh-CN"/>
        </w:rPr>
        <w:t>八、授予合同</w:t>
      </w:r>
      <w:bookmarkEnd w:id="307"/>
      <w:bookmarkEnd w:id="308"/>
      <w:bookmarkEnd w:id="309"/>
      <w:bookmarkEnd w:id="310"/>
      <w:bookmarkEnd w:id="311"/>
      <w:bookmarkEnd w:id="312"/>
      <w:bookmarkEnd w:id="313"/>
      <w:bookmarkEnd w:id="314"/>
      <w:bookmarkEnd w:id="315"/>
      <w:bookmarkEnd w:id="316"/>
    </w:p>
    <w:p>
      <w:pPr>
        <w:pStyle w:val="3"/>
        <w:rPr>
          <w:rFonts w:ascii="宋体" w:hAnsi="宋体" w:cs="宋体"/>
          <w:color w:val="auto"/>
        </w:rPr>
      </w:pPr>
      <w:bookmarkStart w:id="317" w:name="_Toc4123"/>
      <w:bookmarkStart w:id="318" w:name="_Toc325726029"/>
      <w:bookmarkStart w:id="319" w:name="_Toc25"/>
      <w:bookmarkStart w:id="320" w:name="_Toc527"/>
      <w:bookmarkStart w:id="321" w:name="_Toc376936760"/>
      <w:bookmarkStart w:id="322" w:name="_Toc921"/>
      <w:bookmarkStart w:id="323" w:name="_Toc495567960"/>
      <w:bookmarkStart w:id="324" w:name="_Toc15246"/>
      <w:bookmarkStart w:id="325" w:name="_Toc495666277"/>
      <w:bookmarkStart w:id="326" w:name="_Toc7180"/>
      <w:bookmarkStart w:id="327" w:name="_Toc28394"/>
      <w:r>
        <w:rPr>
          <w:rFonts w:hint="eastAsia" w:ascii="宋体" w:hAnsi="宋体" w:cs="宋体"/>
          <w:color w:val="auto"/>
        </w:rPr>
        <w:t>20.签订合同</w:t>
      </w:r>
      <w:bookmarkEnd w:id="317"/>
      <w:bookmarkEnd w:id="318"/>
      <w:bookmarkEnd w:id="319"/>
      <w:bookmarkEnd w:id="320"/>
      <w:bookmarkEnd w:id="321"/>
      <w:bookmarkEnd w:id="322"/>
      <w:bookmarkEnd w:id="323"/>
      <w:bookmarkEnd w:id="324"/>
      <w:bookmarkEnd w:id="325"/>
      <w:bookmarkEnd w:id="326"/>
      <w:bookmarkEnd w:id="327"/>
    </w:p>
    <w:p>
      <w:pPr>
        <w:spacing w:line="360" w:lineRule="auto"/>
        <w:ind w:firstLine="480" w:firstLineChars="200"/>
        <w:jc w:val="left"/>
        <w:rPr>
          <w:rFonts w:eastAsia="宋体"/>
          <w:color w:val="auto"/>
          <w:sz w:val="24"/>
          <w:szCs w:val="24"/>
        </w:rPr>
      </w:pPr>
      <w:bookmarkStart w:id="328" w:name="_Toc325726030"/>
      <w:bookmarkStart w:id="329" w:name="_Toc376936761"/>
      <w:r>
        <w:rPr>
          <w:rFonts w:hint="eastAsia" w:eastAsia="宋体"/>
          <w:color w:val="auto"/>
          <w:sz w:val="24"/>
          <w:szCs w:val="24"/>
        </w:rPr>
        <w:t>20.1采购人与成交供应商应当在成交通知书发出之日起30日内，按照磋商文件确定的合同文本以及采购标的、服务要求等事项签订政府采购合同。</w:t>
      </w:r>
    </w:p>
    <w:p>
      <w:pPr>
        <w:spacing w:line="360" w:lineRule="auto"/>
        <w:ind w:firstLine="480" w:firstLineChars="200"/>
        <w:jc w:val="left"/>
        <w:rPr>
          <w:rFonts w:eastAsia="宋体"/>
          <w:color w:val="auto"/>
          <w:sz w:val="24"/>
          <w:szCs w:val="24"/>
        </w:rPr>
      </w:pPr>
      <w:r>
        <w:rPr>
          <w:rFonts w:hint="eastAsia" w:eastAsia="宋体"/>
          <w:color w:val="auto"/>
          <w:sz w:val="24"/>
          <w:szCs w:val="24"/>
        </w:rPr>
        <w:t>20.2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pPr>
        <w:spacing w:line="360" w:lineRule="auto"/>
        <w:ind w:firstLine="480" w:firstLineChars="200"/>
        <w:jc w:val="left"/>
        <w:rPr>
          <w:rFonts w:eastAsia="宋体"/>
          <w:color w:val="auto"/>
          <w:sz w:val="24"/>
          <w:szCs w:val="24"/>
        </w:rPr>
      </w:pPr>
      <w:r>
        <w:rPr>
          <w:rFonts w:hint="eastAsia" w:eastAsia="宋体"/>
          <w:color w:val="auto"/>
          <w:sz w:val="24"/>
          <w:szCs w:val="24"/>
        </w:rPr>
        <w:t>20.3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pPr>
        <w:pStyle w:val="2"/>
        <w:rPr>
          <w:rFonts w:ascii="宋体" w:hAnsi="宋体" w:cs="宋体"/>
          <w:lang w:val="zh-CN"/>
        </w:rPr>
      </w:pPr>
      <w:bookmarkStart w:id="330" w:name="_Toc29429"/>
      <w:bookmarkStart w:id="331" w:name="_Toc6769"/>
      <w:bookmarkStart w:id="332" w:name="_Toc2430"/>
      <w:bookmarkStart w:id="333" w:name="_Toc32324"/>
      <w:bookmarkStart w:id="334" w:name="_Toc896"/>
      <w:bookmarkStart w:id="335" w:name="_Toc22442"/>
      <w:bookmarkStart w:id="336" w:name="_Toc16665"/>
      <w:bookmarkStart w:id="337" w:name="_Toc3731"/>
      <w:r>
        <w:rPr>
          <w:rFonts w:hint="eastAsia" w:ascii="宋体" w:hAnsi="宋体" w:cs="宋体"/>
          <w:lang w:val="zh-CN"/>
        </w:rPr>
        <w:t>九、</w:t>
      </w:r>
      <w:bookmarkEnd w:id="328"/>
      <w:bookmarkEnd w:id="329"/>
      <w:r>
        <w:rPr>
          <w:rFonts w:hint="eastAsia" w:ascii="宋体" w:hAnsi="宋体" w:cs="宋体"/>
          <w:lang w:val="zh-CN"/>
        </w:rPr>
        <w:t>磋商活动终止</w:t>
      </w:r>
      <w:bookmarkEnd w:id="330"/>
      <w:bookmarkEnd w:id="331"/>
      <w:bookmarkEnd w:id="332"/>
      <w:bookmarkEnd w:id="333"/>
      <w:bookmarkEnd w:id="334"/>
      <w:bookmarkEnd w:id="335"/>
      <w:bookmarkEnd w:id="336"/>
      <w:bookmarkEnd w:id="337"/>
    </w:p>
    <w:p>
      <w:pPr>
        <w:pStyle w:val="3"/>
        <w:rPr>
          <w:rFonts w:ascii="宋体" w:hAnsi="宋体" w:cs="宋体"/>
          <w:color w:val="auto"/>
        </w:rPr>
      </w:pPr>
      <w:bookmarkStart w:id="338" w:name="_Toc495567961"/>
      <w:bookmarkStart w:id="339" w:name="_Toc11684"/>
      <w:bookmarkStart w:id="340" w:name="_Toc31015"/>
      <w:bookmarkStart w:id="341" w:name="_Toc495666278"/>
      <w:bookmarkStart w:id="342" w:name="_Toc23829"/>
      <w:bookmarkStart w:id="343" w:name="_Toc15956"/>
      <w:bookmarkStart w:id="344" w:name="_Toc7098"/>
      <w:bookmarkStart w:id="345" w:name="_Toc20160"/>
      <w:bookmarkStart w:id="346" w:name="_Toc25721"/>
      <w:bookmarkStart w:id="347" w:name="_Toc325726031"/>
      <w:bookmarkStart w:id="348" w:name="_Toc376936762"/>
      <w:r>
        <w:rPr>
          <w:rFonts w:hint="eastAsia" w:ascii="宋体" w:hAnsi="宋体" w:cs="宋体"/>
          <w:color w:val="auto"/>
        </w:rPr>
        <w:t>21.终止情形</w:t>
      </w:r>
      <w:bookmarkEnd w:id="338"/>
      <w:bookmarkEnd w:id="339"/>
      <w:bookmarkEnd w:id="340"/>
      <w:bookmarkEnd w:id="341"/>
      <w:bookmarkEnd w:id="342"/>
      <w:bookmarkEnd w:id="343"/>
      <w:bookmarkEnd w:id="344"/>
      <w:bookmarkEnd w:id="345"/>
      <w:bookmarkEnd w:id="346"/>
    </w:p>
    <w:p>
      <w:pPr>
        <w:spacing w:line="360" w:lineRule="auto"/>
        <w:ind w:firstLine="480" w:firstLineChars="200"/>
        <w:jc w:val="left"/>
        <w:rPr>
          <w:rFonts w:eastAsia="宋体"/>
          <w:color w:val="auto"/>
          <w:sz w:val="24"/>
          <w:szCs w:val="24"/>
        </w:rPr>
      </w:pPr>
      <w:r>
        <w:rPr>
          <w:rFonts w:hint="eastAsia" w:eastAsia="宋体"/>
          <w:color w:val="auto"/>
          <w:sz w:val="24"/>
          <w:szCs w:val="24"/>
        </w:rPr>
        <w:t>21.1</w:t>
      </w:r>
      <w:bookmarkEnd w:id="347"/>
      <w:bookmarkEnd w:id="348"/>
      <w:r>
        <w:rPr>
          <w:rFonts w:hint="eastAsia" w:eastAsia="宋体"/>
          <w:color w:val="auto"/>
          <w:sz w:val="24"/>
          <w:szCs w:val="24"/>
        </w:rPr>
        <w:t>出现下列情形之一的，采购代理机构应当终止竞争性磋商采购活动，发布项目终止公告并说明原因，重新开展采购活动：</w:t>
      </w:r>
    </w:p>
    <w:p>
      <w:pPr>
        <w:spacing w:line="360" w:lineRule="auto"/>
        <w:ind w:firstLine="480" w:firstLineChars="200"/>
        <w:jc w:val="left"/>
        <w:rPr>
          <w:rFonts w:eastAsia="宋体"/>
          <w:color w:val="auto"/>
          <w:sz w:val="24"/>
          <w:szCs w:val="24"/>
        </w:rPr>
      </w:pPr>
      <w:r>
        <w:rPr>
          <w:rFonts w:hint="eastAsia" w:eastAsia="宋体"/>
          <w:color w:val="auto"/>
          <w:sz w:val="24"/>
          <w:szCs w:val="24"/>
        </w:rPr>
        <w:t>（1）因情况变化，不再符合规定的竞争性磋商采购方式适用情形的；</w:t>
      </w:r>
    </w:p>
    <w:p>
      <w:pPr>
        <w:spacing w:line="360" w:lineRule="auto"/>
        <w:ind w:firstLine="480" w:firstLineChars="200"/>
        <w:jc w:val="left"/>
        <w:rPr>
          <w:rFonts w:eastAsia="宋体"/>
          <w:color w:val="auto"/>
          <w:sz w:val="24"/>
          <w:szCs w:val="24"/>
        </w:rPr>
      </w:pPr>
      <w:r>
        <w:rPr>
          <w:rFonts w:hint="eastAsia" w:eastAsia="宋体"/>
          <w:color w:val="auto"/>
          <w:sz w:val="24"/>
          <w:szCs w:val="24"/>
        </w:rPr>
        <w:t>（2）出现影响采购公正的违法、违规行为的；</w:t>
      </w:r>
    </w:p>
    <w:p>
      <w:pPr>
        <w:spacing w:line="360" w:lineRule="auto"/>
        <w:ind w:firstLine="480" w:firstLineChars="200"/>
        <w:jc w:val="left"/>
        <w:rPr>
          <w:rFonts w:eastAsia="宋体"/>
          <w:color w:val="auto"/>
          <w:sz w:val="24"/>
          <w:szCs w:val="24"/>
        </w:rPr>
      </w:pPr>
      <w:r>
        <w:rPr>
          <w:rFonts w:hint="eastAsia" w:eastAsia="宋体"/>
          <w:color w:val="auto"/>
          <w:sz w:val="24"/>
          <w:szCs w:val="24"/>
        </w:rPr>
        <w:t>（3）除《政府采购竞争性磋商采购方式管理暂行办法》第二十一条第三款规定的情形外，在采购过程中符合要求的供应商或者报价未超过采购预算的供应商不足3家的。</w:t>
      </w:r>
    </w:p>
    <w:p>
      <w:pPr>
        <w:spacing w:line="360" w:lineRule="auto"/>
        <w:ind w:firstLine="480" w:firstLineChars="200"/>
        <w:jc w:val="left"/>
        <w:rPr>
          <w:rFonts w:eastAsia="宋体"/>
          <w:color w:val="auto"/>
          <w:sz w:val="24"/>
          <w:szCs w:val="24"/>
        </w:rPr>
      </w:pPr>
      <w:r>
        <w:rPr>
          <w:rFonts w:hint="eastAsia" w:eastAsia="宋体"/>
          <w:color w:val="auto"/>
          <w:sz w:val="24"/>
          <w:szCs w:val="24"/>
        </w:rPr>
        <w:t>21.2终止磋商活动后，由采购代理机构发布终止公告并说明原因。</w:t>
      </w:r>
      <w:bookmarkStart w:id="349" w:name="_Toc325726032"/>
    </w:p>
    <w:p>
      <w:pPr>
        <w:pStyle w:val="2"/>
        <w:rPr>
          <w:rFonts w:ascii="宋体" w:hAnsi="宋体" w:cs="宋体"/>
          <w:lang w:val="zh-CN"/>
        </w:rPr>
      </w:pPr>
      <w:bookmarkStart w:id="350" w:name="_Toc8316"/>
      <w:bookmarkStart w:id="351" w:name="_Toc1826"/>
      <w:bookmarkStart w:id="352" w:name="_Toc27950"/>
      <w:bookmarkStart w:id="353" w:name="_Toc6646"/>
      <w:bookmarkStart w:id="354" w:name="_Toc376936763"/>
      <w:bookmarkStart w:id="355" w:name="_Toc12914"/>
      <w:bookmarkStart w:id="356" w:name="_Toc19249"/>
      <w:bookmarkStart w:id="357" w:name="_Toc20142"/>
      <w:bookmarkStart w:id="358" w:name="_Toc4415"/>
      <w:r>
        <w:rPr>
          <w:rFonts w:hint="eastAsia" w:ascii="宋体" w:hAnsi="宋体" w:cs="宋体"/>
          <w:lang w:val="zh-CN"/>
        </w:rPr>
        <w:t>十、处罚</w:t>
      </w:r>
      <w:bookmarkEnd w:id="349"/>
      <w:bookmarkEnd w:id="350"/>
      <w:bookmarkEnd w:id="351"/>
      <w:bookmarkEnd w:id="352"/>
      <w:bookmarkEnd w:id="353"/>
      <w:bookmarkEnd w:id="354"/>
      <w:bookmarkEnd w:id="355"/>
      <w:bookmarkEnd w:id="356"/>
      <w:bookmarkEnd w:id="357"/>
      <w:bookmarkEnd w:id="358"/>
    </w:p>
    <w:p>
      <w:pPr>
        <w:pStyle w:val="3"/>
        <w:rPr>
          <w:rFonts w:ascii="宋体" w:hAnsi="宋体" w:cs="宋体"/>
          <w:color w:val="auto"/>
        </w:rPr>
      </w:pPr>
      <w:bookmarkStart w:id="359" w:name="_Toc27186"/>
      <w:bookmarkStart w:id="360" w:name="_Toc17567"/>
      <w:bookmarkStart w:id="361" w:name="_Toc325726033"/>
      <w:bookmarkStart w:id="362" w:name="_Toc28018"/>
      <w:bookmarkStart w:id="363" w:name="_Toc19244"/>
      <w:bookmarkStart w:id="364" w:name="_Toc495666279"/>
      <w:bookmarkStart w:id="365" w:name="_Toc376936764"/>
      <w:bookmarkStart w:id="366" w:name="_Toc1803"/>
      <w:bookmarkStart w:id="367" w:name="_Toc495567962"/>
      <w:bookmarkStart w:id="368" w:name="_Toc25633"/>
      <w:bookmarkStart w:id="369" w:name="_Toc19756"/>
      <w:r>
        <w:rPr>
          <w:rFonts w:hint="eastAsia" w:ascii="宋体" w:hAnsi="宋体" w:cs="宋体"/>
          <w:color w:val="auto"/>
        </w:rPr>
        <w:t>22.处罚情形</w:t>
      </w:r>
      <w:bookmarkEnd w:id="359"/>
      <w:bookmarkEnd w:id="360"/>
      <w:bookmarkEnd w:id="361"/>
      <w:bookmarkEnd w:id="362"/>
      <w:bookmarkEnd w:id="363"/>
      <w:bookmarkEnd w:id="364"/>
      <w:bookmarkEnd w:id="365"/>
      <w:bookmarkEnd w:id="366"/>
      <w:bookmarkEnd w:id="367"/>
      <w:bookmarkEnd w:id="368"/>
      <w:bookmarkEnd w:id="369"/>
    </w:p>
    <w:p>
      <w:pPr>
        <w:autoSpaceDE w:val="0"/>
        <w:autoSpaceDN w:val="0"/>
        <w:spacing w:line="360" w:lineRule="auto"/>
        <w:ind w:firstLine="480" w:firstLineChars="200"/>
        <w:jc w:val="left"/>
        <w:rPr>
          <w:rFonts w:eastAsia="宋体"/>
          <w:color w:val="auto"/>
          <w:sz w:val="24"/>
          <w:lang w:val="zh-CN"/>
        </w:rPr>
      </w:pPr>
      <w:r>
        <w:rPr>
          <w:rFonts w:hint="eastAsia" w:eastAsia="宋体"/>
          <w:color w:val="auto"/>
          <w:sz w:val="24"/>
        </w:rPr>
        <w:t xml:space="preserve">22.1 </w:t>
      </w:r>
      <w:r>
        <w:rPr>
          <w:rFonts w:hint="eastAsia" w:eastAsia="宋体"/>
          <w:color w:val="auto"/>
          <w:sz w:val="24"/>
          <w:lang w:val="zh-CN"/>
        </w:rPr>
        <w:t>成交人有下列情形之一的，成交无效，磋商保证金不予退还。情节严重的，报同级财政部门依法进行处理：</w:t>
      </w:r>
    </w:p>
    <w:p>
      <w:pPr>
        <w:autoSpaceDE w:val="0"/>
        <w:autoSpaceDN w:val="0"/>
        <w:spacing w:line="360" w:lineRule="auto"/>
        <w:ind w:firstLine="480" w:firstLineChars="200"/>
        <w:jc w:val="left"/>
        <w:rPr>
          <w:rFonts w:eastAsia="宋体"/>
          <w:color w:val="auto"/>
          <w:sz w:val="24"/>
          <w:lang w:val="zh-CN"/>
        </w:rPr>
      </w:pPr>
      <w:r>
        <w:rPr>
          <w:rFonts w:hint="eastAsia" w:eastAsia="宋体"/>
          <w:color w:val="auto"/>
          <w:sz w:val="24"/>
          <w:lang w:val="zh-CN"/>
        </w:rPr>
        <w:t>（</w:t>
      </w:r>
      <w:r>
        <w:rPr>
          <w:rFonts w:hint="eastAsia" w:eastAsia="宋体"/>
          <w:color w:val="auto"/>
          <w:sz w:val="24"/>
        </w:rPr>
        <w:t>1</w:t>
      </w:r>
      <w:r>
        <w:rPr>
          <w:rFonts w:hint="eastAsia" w:eastAsia="宋体"/>
          <w:color w:val="auto"/>
          <w:sz w:val="24"/>
          <w:lang w:val="zh-CN"/>
        </w:rPr>
        <w:t>）提供虚假材料谋取成交的；</w:t>
      </w:r>
    </w:p>
    <w:p>
      <w:pPr>
        <w:autoSpaceDE w:val="0"/>
        <w:autoSpaceDN w:val="0"/>
        <w:spacing w:line="360" w:lineRule="auto"/>
        <w:ind w:firstLine="480" w:firstLineChars="200"/>
        <w:jc w:val="left"/>
        <w:rPr>
          <w:rFonts w:eastAsia="宋体"/>
          <w:color w:val="auto"/>
          <w:sz w:val="24"/>
          <w:lang w:val="zh-CN"/>
        </w:rPr>
      </w:pPr>
      <w:r>
        <w:rPr>
          <w:rFonts w:hint="eastAsia" w:eastAsia="宋体"/>
          <w:color w:val="auto"/>
          <w:sz w:val="24"/>
          <w:lang w:val="zh-CN"/>
        </w:rPr>
        <w:t>（</w:t>
      </w:r>
      <w:r>
        <w:rPr>
          <w:rFonts w:hint="eastAsia" w:eastAsia="宋体"/>
          <w:color w:val="auto"/>
          <w:sz w:val="24"/>
        </w:rPr>
        <w:t>2</w:t>
      </w:r>
      <w:r>
        <w:rPr>
          <w:rFonts w:hint="eastAsia" w:eastAsia="宋体"/>
          <w:color w:val="auto"/>
          <w:sz w:val="24"/>
          <w:lang w:val="zh-CN"/>
        </w:rPr>
        <w:t>）采取不正当手段诋毁、排挤其他供应商的；</w:t>
      </w:r>
    </w:p>
    <w:p>
      <w:pPr>
        <w:autoSpaceDE w:val="0"/>
        <w:autoSpaceDN w:val="0"/>
        <w:spacing w:line="360" w:lineRule="auto"/>
        <w:ind w:firstLine="480" w:firstLineChars="200"/>
        <w:jc w:val="left"/>
        <w:rPr>
          <w:rFonts w:eastAsia="宋体"/>
          <w:color w:val="auto"/>
          <w:sz w:val="24"/>
          <w:lang w:val="zh-CN"/>
        </w:rPr>
      </w:pPr>
      <w:r>
        <w:rPr>
          <w:rFonts w:hint="eastAsia" w:eastAsia="宋体"/>
          <w:color w:val="auto"/>
          <w:sz w:val="24"/>
          <w:lang w:val="zh-CN"/>
        </w:rPr>
        <w:t>（</w:t>
      </w:r>
      <w:r>
        <w:rPr>
          <w:rFonts w:hint="eastAsia" w:eastAsia="宋体"/>
          <w:color w:val="auto"/>
          <w:sz w:val="24"/>
        </w:rPr>
        <w:t>3</w:t>
      </w:r>
      <w:r>
        <w:rPr>
          <w:rFonts w:hint="eastAsia" w:eastAsia="宋体"/>
          <w:color w:val="auto"/>
          <w:sz w:val="24"/>
          <w:lang w:val="zh-CN"/>
        </w:rPr>
        <w:t>）与采购人、其他供应商或者采购代理机构恶意串通的；</w:t>
      </w:r>
    </w:p>
    <w:p>
      <w:pPr>
        <w:autoSpaceDE w:val="0"/>
        <w:autoSpaceDN w:val="0"/>
        <w:spacing w:line="360" w:lineRule="auto"/>
        <w:ind w:firstLine="480" w:firstLineChars="200"/>
        <w:jc w:val="left"/>
        <w:rPr>
          <w:rFonts w:eastAsia="宋体"/>
          <w:color w:val="auto"/>
          <w:sz w:val="24"/>
          <w:lang w:val="zh-CN"/>
        </w:rPr>
      </w:pPr>
      <w:r>
        <w:rPr>
          <w:rFonts w:hint="eastAsia" w:eastAsia="宋体"/>
          <w:color w:val="auto"/>
          <w:sz w:val="24"/>
          <w:lang w:val="zh-CN"/>
        </w:rPr>
        <w:t>（</w:t>
      </w:r>
      <w:r>
        <w:rPr>
          <w:rFonts w:hint="eastAsia" w:eastAsia="宋体"/>
          <w:color w:val="auto"/>
          <w:sz w:val="24"/>
        </w:rPr>
        <w:t>4</w:t>
      </w:r>
      <w:r>
        <w:rPr>
          <w:rFonts w:hint="eastAsia" w:eastAsia="宋体"/>
          <w:color w:val="auto"/>
          <w:sz w:val="24"/>
          <w:lang w:val="zh-CN"/>
        </w:rPr>
        <w:t>）向采购人、采购代理机构行贿或者提供其他不正当利益的；</w:t>
      </w:r>
    </w:p>
    <w:p>
      <w:pPr>
        <w:autoSpaceDE w:val="0"/>
        <w:autoSpaceDN w:val="0"/>
        <w:spacing w:line="360" w:lineRule="auto"/>
        <w:ind w:firstLine="480" w:firstLineChars="200"/>
        <w:jc w:val="left"/>
        <w:rPr>
          <w:rFonts w:eastAsia="宋体"/>
          <w:color w:val="auto"/>
          <w:sz w:val="24"/>
          <w:lang w:val="zh-CN"/>
        </w:rPr>
      </w:pPr>
      <w:r>
        <w:rPr>
          <w:rFonts w:hint="eastAsia" w:eastAsia="宋体"/>
          <w:color w:val="auto"/>
          <w:sz w:val="24"/>
          <w:lang w:val="zh-CN"/>
        </w:rPr>
        <w:t>（</w:t>
      </w:r>
      <w:r>
        <w:rPr>
          <w:rFonts w:hint="eastAsia" w:eastAsia="宋体"/>
          <w:color w:val="auto"/>
          <w:sz w:val="24"/>
        </w:rPr>
        <w:t>5</w:t>
      </w:r>
      <w:r>
        <w:rPr>
          <w:rFonts w:hint="eastAsia" w:eastAsia="宋体"/>
          <w:color w:val="auto"/>
          <w:sz w:val="24"/>
          <w:lang w:val="zh-CN"/>
        </w:rPr>
        <w:t>）在磋商采购过程中与采购人进行协商谈判的；</w:t>
      </w:r>
    </w:p>
    <w:p>
      <w:pPr>
        <w:autoSpaceDE w:val="0"/>
        <w:autoSpaceDN w:val="0"/>
        <w:spacing w:line="360" w:lineRule="auto"/>
        <w:ind w:firstLine="480" w:firstLineChars="200"/>
        <w:jc w:val="left"/>
        <w:rPr>
          <w:rFonts w:eastAsia="宋体"/>
          <w:color w:val="auto"/>
          <w:sz w:val="24"/>
          <w:szCs w:val="24"/>
        </w:rPr>
      </w:pPr>
      <w:r>
        <w:rPr>
          <w:rFonts w:hint="eastAsia" w:eastAsia="宋体"/>
          <w:color w:val="auto"/>
          <w:sz w:val="24"/>
          <w:lang w:val="zh-CN"/>
        </w:rPr>
        <w:t>（</w:t>
      </w:r>
      <w:r>
        <w:rPr>
          <w:rFonts w:hint="eastAsia" w:eastAsia="宋体"/>
          <w:color w:val="auto"/>
          <w:sz w:val="24"/>
        </w:rPr>
        <w:t>6</w:t>
      </w:r>
      <w:r>
        <w:rPr>
          <w:rFonts w:hint="eastAsia" w:eastAsia="宋体"/>
          <w:color w:val="auto"/>
          <w:sz w:val="24"/>
          <w:lang w:val="zh-CN"/>
        </w:rPr>
        <w:t>）向磋商小组行贿或者提供其他不正当利益</w:t>
      </w:r>
      <w:r>
        <w:rPr>
          <w:rFonts w:hint="eastAsia" w:eastAsia="宋体"/>
          <w:color w:val="auto"/>
          <w:sz w:val="24"/>
        </w:rPr>
        <w:t>的</w:t>
      </w:r>
      <w:r>
        <w:rPr>
          <w:rFonts w:hint="eastAsia" w:eastAsia="宋体"/>
          <w:color w:val="auto"/>
          <w:sz w:val="24"/>
          <w:lang w:val="zh-CN"/>
        </w:rPr>
        <w:t>。</w:t>
      </w:r>
    </w:p>
    <w:p>
      <w:pPr>
        <w:pStyle w:val="2"/>
        <w:rPr>
          <w:rFonts w:ascii="宋体" w:hAnsi="宋体" w:cs="宋体"/>
          <w:lang w:val="zh-CN"/>
        </w:rPr>
      </w:pPr>
      <w:bookmarkStart w:id="370" w:name="_Toc19538"/>
      <w:bookmarkStart w:id="371" w:name="_Toc19188"/>
      <w:bookmarkStart w:id="372" w:name="_Toc325726034"/>
      <w:bookmarkStart w:id="373" w:name="_Toc12096"/>
      <w:bookmarkStart w:id="374" w:name="_Toc376936765"/>
      <w:bookmarkStart w:id="375" w:name="_Toc2160"/>
      <w:bookmarkStart w:id="376" w:name="_Toc31429"/>
      <w:bookmarkStart w:id="377" w:name="_Toc16406"/>
      <w:bookmarkStart w:id="378" w:name="_Toc18795"/>
      <w:bookmarkStart w:id="379" w:name="_Toc26599"/>
      <w:r>
        <w:rPr>
          <w:rFonts w:hint="eastAsia" w:ascii="宋体" w:hAnsi="宋体" w:cs="宋体"/>
          <w:lang w:val="zh-CN"/>
        </w:rPr>
        <w:t>十一、其他</w:t>
      </w:r>
      <w:bookmarkEnd w:id="370"/>
      <w:bookmarkEnd w:id="371"/>
      <w:bookmarkEnd w:id="372"/>
      <w:bookmarkEnd w:id="373"/>
      <w:bookmarkEnd w:id="374"/>
      <w:bookmarkEnd w:id="375"/>
      <w:bookmarkEnd w:id="376"/>
      <w:bookmarkEnd w:id="377"/>
      <w:bookmarkEnd w:id="378"/>
      <w:bookmarkEnd w:id="379"/>
    </w:p>
    <w:p>
      <w:pPr>
        <w:spacing w:line="360" w:lineRule="auto"/>
        <w:ind w:firstLine="480" w:firstLineChars="200"/>
        <w:jc w:val="left"/>
        <w:rPr>
          <w:rFonts w:eastAsia="宋体"/>
          <w:color w:val="auto"/>
          <w:sz w:val="24"/>
          <w:szCs w:val="24"/>
        </w:rPr>
      </w:pPr>
      <w:r>
        <w:rPr>
          <w:rFonts w:hint="eastAsia" w:eastAsia="宋体"/>
          <w:color w:val="auto"/>
          <w:sz w:val="24"/>
          <w:szCs w:val="24"/>
        </w:rPr>
        <w:t>其他未尽事宜，按照《中华人民共和国政府采购法》《中华人民共和国民法典》《中华人民共和国政府采购法实施条例》《政府采购竞争性磋商采购方式管理暂行办法》等法律法规的有关条款执行。</w:t>
      </w:r>
    </w:p>
    <w:p>
      <w:pPr>
        <w:pStyle w:val="21"/>
        <w:rPr>
          <w:rFonts w:ascii="宋体" w:hAnsi="宋体"/>
          <w:color w:val="auto"/>
          <w:kern w:val="28"/>
        </w:rPr>
      </w:pPr>
      <w:bookmarkStart w:id="380" w:name="_Toc376936766"/>
      <w:r>
        <w:rPr>
          <w:rFonts w:hint="eastAsia" w:ascii="宋体" w:hAnsi="宋体"/>
          <w:color w:val="auto"/>
          <w:kern w:val="28"/>
        </w:rPr>
        <w:br w:type="page"/>
      </w:r>
      <w:bookmarkEnd w:id="380"/>
      <w:bookmarkStart w:id="381" w:name="_Toc14674"/>
      <w:bookmarkStart w:id="382" w:name="_Toc495666280"/>
      <w:bookmarkStart w:id="383" w:name="_Toc14735"/>
      <w:bookmarkStart w:id="384" w:name="_Toc18196"/>
      <w:bookmarkStart w:id="385" w:name="_Toc495567963"/>
      <w:bookmarkStart w:id="386" w:name="_Toc28013"/>
      <w:bookmarkStart w:id="387" w:name="_Toc7353"/>
      <w:bookmarkStart w:id="388" w:name="_Toc3621"/>
      <w:r>
        <w:rPr>
          <w:rFonts w:hint="eastAsia" w:ascii="宋体" w:hAnsi="宋体"/>
          <w:color w:val="auto"/>
          <w:kern w:val="28"/>
        </w:rPr>
        <w:t>第四部分 采购项目合同书</w:t>
      </w:r>
      <w:bookmarkEnd w:id="381"/>
      <w:bookmarkEnd w:id="382"/>
      <w:bookmarkEnd w:id="383"/>
      <w:bookmarkEnd w:id="384"/>
      <w:bookmarkEnd w:id="385"/>
      <w:bookmarkEnd w:id="386"/>
      <w:bookmarkEnd w:id="387"/>
      <w:bookmarkEnd w:id="388"/>
    </w:p>
    <w:p>
      <w:pPr>
        <w:spacing w:line="360" w:lineRule="auto"/>
        <w:ind w:firstLine="400"/>
        <w:jc w:val="left"/>
        <w:rPr>
          <w:rFonts w:eastAsia="宋体"/>
          <w:color w:val="auto"/>
        </w:rPr>
      </w:pPr>
      <w:bookmarkStart w:id="389" w:name="_Toc373954603"/>
      <w:bookmarkStart w:id="390" w:name="_Toc373936315"/>
      <w:bookmarkStart w:id="391" w:name="_Toc375576842"/>
    </w:p>
    <w:p>
      <w:pPr>
        <w:spacing w:line="360" w:lineRule="auto"/>
        <w:ind w:firstLine="400"/>
        <w:jc w:val="left"/>
        <w:rPr>
          <w:rFonts w:eastAsia="宋体"/>
          <w:color w:val="auto"/>
        </w:rPr>
      </w:pPr>
    </w:p>
    <w:p>
      <w:pPr>
        <w:spacing w:line="360" w:lineRule="auto"/>
        <w:ind w:firstLine="400"/>
        <w:jc w:val="left"/>
        <w:rPr>
          <w:rFonts w:eastAsia="宋体"/>
          <w:color w:val="auto"/>
        </w:rPr>
      </w:pPr>
    </w:p>
    <w:p>
      <w:pPr>
        <w:spacing w:line="360" w:lineRule="auto"/>
        <w:ind w:firstLine="400"/>
        <w:jc w:val="left"/>
        <w:rPr>
          <w:rFonts w:eastAsia="宋体"/>
          <w:color w:val="auto"/>
        </w:rPr>
      </w:pPr>
    </w:p>
    <w:p>
      <w:pPr>
        <w:spacing w:line="360" w:lineRule="auto"/>
        <w:ind w:firstLine="400"/>
        <w:jc w:val="left"/>
        <w:rPr>
          <w:rFonts w:eastAsia="宋体"/>
          <w:color w:val="auto"/>
        </w:rPr>
      </w:pPr>
    </w:p>
    <w:p>
      <w:pPr>
        <w:spacing w:line="360" w:lineRule="auto"/>
        <w:ind w:firstLine="400"/>
        <w:jc w:val="left"/>
        <w:rPr>
          <w:rFonts w:eastAsia="宋体"/>
          <w:color w:val="auto"/>
        </w:rPr>
      </w:pPr>
    </w:p>
    <w:p>
      <w:pPr>
        <w:spacing w:line="360" w:lineRule="auto"/>
        <w:ind w:firstLine="400"/>
        <w:jc w:val="center"/>
        <w:rPr>
          <w:rFonts w:eastAsia="宋体"/>
          <w:color w:val="auto"/>
        </w:rPr>
      </w:pPr>
    </w:p>
    <w:p>
      <w:pPr>
        <w:pStyle w:val="10"/>
        <w:spacing w:line="360" w:lineRule="auto"/>
        <w:jc w:val="center"/>
        <w:rPr>
          <w:rFonts w:hAnsi="宋体"/>
          <w:b/>
          <w:color w:val="auto"/>
          <w:sz w:val="44"/>
          <w:szCs w:val="44"/>
        </w:rPr>
      </w:pPr>
      <w:bookmarkStart w:id="392" w:name="_Toc458762168"/>
      <w:bookmarkStart w:id="393" w:name="_Toc495567964"/>
      <w:bookmarkStart w:id="394" w:name="_Toc455835990"/>
      <w:bookmarkStart w:id="395" w:name="_Toc22407"/>
      <w:bookmarkStart w:id="396" w:name="_Toc495666281"/>
      <w:r>
        <w:rPr>
          <w:rFonts w:hint="eastAsia" w:hAnsi="宋体"/>
          <w:b/>
          <w:color w:val="auto"/>
          <w:sz w:val="44"/>
          <w:szCs w:val="44"/>
        </w:rPr>
        <w:t>青海省政府采购项目合同书</w:t>
      </w:r>
      <w:bookmarkEnd w:id="392"/>
      <w:bookmarkEnd w:id="393"/>
      <w:bookmarkEnd w:id="394"/>
      <w:bookmarkEnd w:id="395"/>
      <w:bookmarkEnd w:id="396"/>
    </w:p>
    <w:p>
      <w:pPr>
        <w:spacing w:line="360" w:lineRule="auto"/>
        <w:ind w:firstLine="400"/>
        <w:jc w:val="left"/>
        <w:rPr>
          <w:rFonts w:eastAsia="宋体"/>
          <w:color w:val="auto"/>
        </w:rPr>
      </w:pPr>
    </w:p>
    <w:p>
      <w:pPr>
        <w:spacing w:line="360" w:lineRule="auto"/>
        <w:ind w:firstLine="400"/>
        <w:jc w:val="left"/>
        <w:rPr>
          <w:rFonts w:eastAsia="宋体"/>
          <w:color w:val="auto"/>
        </w:rPr>
      </w:pPr>
    </w:p>
    <w:p>
      <w:pPr>
        <w:spacing w:line="360" w:lineRule="auto"/>
        <w:ind w:firstLine="400"/>
        <w:jc w:val="left"/>
        <w:rPr>
          <w:rFonts w:eastAsia="宋体"/>
          <w:color w:val="auto"/>
        </w:rPr>
      </w:pPr>
    </w:p>
    <w:p>
      <w:pPr>
        <w:spacing w:line="360" w:lineRule="auto"/>
        <w:ind w:firstLine="400"/>
        <w:jc w:val="left"/>
        <w:rPr>
          <w:rFonts w:eastAsia="宋体"/>
          <w:color w:val="auto"/>
        </w:rPr>
      </w:pPr>
    </w:p>
    <w:p>
      <w:pPr>
        <w:spacing w:line="360" w:lineRule="auto"/>
        <w:ind w:firstLine="400"/>
        <w:jc w:val="left"/>
        <w:rPr>
          <w:rFonts w:eastAsia="宋体"/>
          <w:color w:val="auto"/>
        </w:rPr>
      </w:pPr>
    </w:p>
    <w:p>
      <w:pPr>
        <w:spacing w:line="360" w:lineRule="auto"/>
        <w:jc w:val="left"/>
        <w:rPr>
          <w:rFonts w:eastAsia="宋体"/>
          <w:b/>
          <w:color w:val="auto"/>
          <w:sz w:val="28"/>
          <w:szCs w:val="28"/>
        </w:rPr>
      </w:pPr>
    </w:p>
    <w:p>
      <w:pPr>
        <w:spacing w:line="360" w:lineRule="auto"/>
        <w:jc w:val="left"/>
        <w:rPr>
          <w:rFonts w:eastAsia="宋体"/>
          <w:b/>
          <w:color w:val="auto"/>
          <w:sz w:val="28"/>
          <w:szCs w:val="28"/>
        </w:rPr>
      </w:pPr>
    </w:p>
    <w:p>
      <w:pPr>
        <w:autoSpaceDE w:val="0"/>
        <w:autoSpaceDN w:val="0"/>
        <w:adjustRightInd w:val="0"/>
        <w:spacing w:line="360" w:lineRule="auto"/>
        <w:ind w:firstLine="1245" w:firstLineChars="443"/>
        <w:jc w:val="left"/>
        <w:rPr>
          <w:rFonts w:eastAsia="宋体"/>
          <w:b/>
          <w:bCs/>
          <w:color w:val="auto"/>
          <w:sz w:val="28"/>
          <w:szCs w:val="28"/>
          <w:u w:val="single"/>
        </w:rPr>
      </w:pPr>
      <w:r>
        <w:rPr>
          <w:rFonts w:hint="eastAsia" w:eastAsia="宋体"/>
          <w:b/>
          <w:color w:val="auto"/>
          <w:sz w:val="28"/>
          <w:szCs w:val="28"/>
        </w:rPr>
        <w:t>采购项目名称：</w:t>
      </w:r>
    </w:p>
    <w:p>
      <w:pPr>
        <w:autoSpaceDE w:val="0"/>
        <w:autoSpaceDN w:val="0"/>
        <w:adjustRightInd w:val="0"/>
        <w:spacing w:line="360" w:lineRule="auto"/>
        <w:ind w:firstLine="1245" w:firstLineChars="443"/>
        <w:jc w:val="left"/>
        <w:rPr>
          <w:rFonts w:eastAsia="宋体"/>
          <w:b/>
          <w:color w:val="auto"/>
          <w:sz w:val="28"/>
          <w:szCs w:val="28"/>
          <w:u w:val="single"/>
        </w:rPr>
      </w:pPr>
      <w:r>
        <w:rPr>
          <w:rFonts w:hint="eastAsia" w:eastAsia="宋体"/>
          <w:b/>
          <w:color w:val="auto"/>
          <w:sz w:val="28"/>
          <w:szCs w:val="28"/>
        </w:rPr>
        <w:t>采购项目编号：</w:t>
      </w:r>
      <w:r>
        <w:rPr>
          <w:rFonts w:hint="eastAsia" w:eastAsia="宋体"/>
          <w:b/>
          <w:bCs/>
          <w:color w:val="auto"/>
          <w:sz w:val="28"/>
          <w:szCs w:val="28"/>
          <w:u w:val="single"/>
          <w:lang w:val="zh-CN"/>
        </w:rPr>
        <w:t>青海中旭竞磋（服务）2022-029</w:t>
      </w:r>
    </w:p>
    <w:p>
      <w:pPr>
        <w:spacing w:line="360" w:lineRule="auto"/>
        <w:ind w:firstLine="1245" w:firstLineChars="443"/>
        <w:jc w:val="left"/>
        <w:rPr>
          <w:rFonts w:eastAsia="宋体"/>
          <w:b/>
          <w:color w:val="auto"/>
          <w:sz w:val="28"/>
          <w:szCs w:val="28"/>
        </w:rPr>
      </w:pPr>
      <w:r>
        <w:rPr>
          <w:rFonts w:hint="eastAsia" w:eastAsia="宋体"/>
          <w:b/>
          <w:color w:val="auto"/>
          <w:sz w:val="28"/>
          <w:szCs w:val="28"/>
        </w:rPr>
        <w:t>采购合同编号：</w:t>
      </w:r>
      <w:r>
        <w:rPr>
          <w:rFonts w:hint="eastAsia" w:eastAsia="宋体"/>
          <w:b/>
          <w:bCs/>
          <w:color w:val="auto"/>
          <w:sz w:val="28"/>
          <w:szCs w:val="28"/>
          <w:u w:val="single"/>
        </w:rPr>
        <w:t>QHZX-2022-029</w:t>
      </w:r>
    </w:p>
    <w:p>
      <w:pPr>
        <w:spacing w:line="360" w:lineRule="auto"/>
        <w:ind w:firstLine="1245" w:firstLineChars="443"/>
        <w:jc w:val="left"/>
        <w:rPr>
          <w:rFonts w:eastAsia="宋体"/>
          <w:b/>
          <w:color w:val="auto"/>
          <w:sz w:val="28"/>
          <w:szCs w:val="28"/>
        </w:rPr>
      </w:pPr>
      <w:r>
        <w:rPr>
          <w:rFonts w:hint="eastAsia" w:eastAsia="宋体"/>
          <w:b/>
          <w:color w:val="auto"/>
          <w:sz w:val="28"/>
          <w:szCs w:val="28"/>
        </w:rPr>
        <w:t>采购单位（甲方）：（盖章）</w:t>
      </w:r>
    </w:p>
    <w:p>
      <w:pPr>
        <w:spacing w:line="360" w:lineRule="auto"/>
        <w:ind w:firstLine="1245" w:firstLineChars="443"/>
        <w:jc w:val="left"/>
        <w:rPr>
          <w:rFonts w:eastAsia="宋体"/>
          <w:b/>
          <w:color w:val="auto"/>
          <w:sz w:val="28"/>
          <w:szCs w:val="28"/>
          <w:u w:val="single"/>
        </w:rPr>
      </w:pPr>
      <w:r>
        <w:rPr>
          <w:rFonts w:hint="eastAsia" w:eastAsia="宋体"/>
          <w:b/>
          <w:color w:val="auto"/>
          <w:sz w:val="28"/>
          <w:szCs w:val="28"/>
        </w:rPr>
        <w:t>成交供应商（乙方）：（盖章）</w:t>
      </w:r>
    </w:p>
    <w:p>
      <w:pPr>
        <w:spacing w:line="360" w:lineRule="auto"/>
        <w:ind w:firstLine="1245" w:firstLineChars="443"/>
        <w:jc w:val="left"/>
        <w:rPr>
          <w:rFonts w:eastAsia="宋体"/>
          <w:b/>
          <w:color w:val="auto"/>
          <w:sz w:val="28"/>
          <w:szCs w:val="28"/>
        </w:rPr>
      </w:pPr>
      <w:r>
        <w:rPr>
          <w:rFonts w:hint="eastAsia" w:eastAsia="宋体"/>
          <w:b/>
          <w:color w:val="auto"/>
          <w:sz w:val="28"/>
          <w:szCs w:val="28"/>
        </w:rPr>
        <w:t>采购日期：</w:t>
      </w:r>
    </w:p>
    <w:p>
      <w:pPr>
        <w:pStyle w:val="9"/>
        <w:tabs>
          <w:tab w:val="left" w:pos="3577"/>
          <w:tab w:val="left" w:pos="4057"/>
          <w:tab w:val="left" w:pos="4657"/>
        </w:tabs>
        <w:ind w:left="1297"/>
        <w:jc w:val="left"/>
        <w:rPr>
          <w:color w:val="auto"/>
        </w:rPr>
        <w:sectPr>
          <w:footerReference r:id="rId11" w:type="default"/>
          <w:pgSz w:w="11910" w:h="16840"/>
          <w:pgMar w:top="1440" w:right="1080" w:bottom="1440" w:left="1080" w:header="1000" w:footer="1034" w:gutter="0"/>
          <w:pgBorders w:offsetFrom="page">
            <w:top w:val="single" w:color="auto" w:sz="12" w:space="24"/>
            <w:left w:val="single" w:color="auto" w:sz="12" w:space="24"/>
            <w:bottom w:val="single" w:color="auto" w:sz="12" w:space="24"/>
            <w:right w:val="single" w:color="auto" w:sz="12" w:space="24"/>
          </w:pgBorders>
          <w:pgNumType w:start="1"/>
          <w:cols w:space="720" w:num="1"/>
        </w:sectPr>
      </w:pPr>
      <w:r>
        <w:rPr>
          <w:rFonts w:hint="eastAsia"/>
          <w:color w:val="auto"/>
        </w:rPr>
        <w:br w:type="page"/>
      </w:r>
      <w:bookmarkEnd w:id="389"/>
      <w:bookmarkEnd w:id="390"/>
      <w:bookmarkEnd w:id="391"/>
      <w:bookmarkStart w:id="397" w:name="_Toc12077"/>
      <w:bookmarkStart w:id="398" w:name="_Toc4575797"/>
      <w:bookmarkStart w:id="399" w:name="_Toc8888"/>
      <w:bookmarkStart w:id="400" w:name="_Toc23457"/>
      <w:bookmarkStart w:id="401" w:name="_Toc29907"/>
      <w:bookmarkStart w:id="402" w:name="_Toc10800"/>
      <w:bookmarkStart w:id="403" w:name="_Toc16357"/>
      <w:bookmarkStart w:id="404" w:name="_Toc325726051"/>
      <w:bookmarkStart w:id="405" w:name="_Toc376936782"/>
    </w:p>
    <w:p>
      <w:pPr>
        <w:pStyle w:val="6"/>
        <w:spacing w:before="80" w:line="360" w:lineRule="auto"/>
        <w:ind w:left="1057" w:right="5694"/>
        <w:jc w:val="left"/>
      </w:pPr>
      <w:bookmarkStart w:id="406" w:name="_Toc4776"/>
      <w:bookmarkStart w:id="407" w:name="_Toc9509"/>
      <w:r>
        <w:t>采购人（以下简称甲方）：</w:t>
      </w:r>
      <w:bookmarkEnd w:id="406"/>
    </w:p>
    <w:p>
      <w:pPr>
        <w:pStyle w:val="6"/>
        <w:spacing w:before="80" w:line="360" w:lineRule="auto"/>
        <w:ind w:left="1057" w:right="5694"/>
        <w:jc w:val="left"/>
      </w:pPr>
      <w:bookmarkStart w:id="408" w:name="_Toc30892"/>
      <w:r>
        <w:t>供应商（以下简称乙方）：</w:t>
      </w:r>
      <w:bookmarkEnd w:id="408"/>
    </w:p>
    <w:p>
      <w:pPr>
        <w:pStyle w:val="9"/>
        <w:numPr>
          <w:ilvl w:val="0"/>
          <w:numId w:val="4"/>
        </w:numPr>
        <w:tabs>
          <w:tab w:val="left" w:pos="3147"/>
          <w:tab w:val="left" w:pos="4343"/>
          <w:tab w:val="left" w:pos="5123"/>
          <w:tab w:val="left" w:pos="6457"/>
          <w:tab w:val="left" w:pos="8012"/>
          <w:tab w:val="left" w:pos="8617"/>
        </w:tabs>
        <w:spacing w:before="191" w:line="360" w:lineRule="auto"/>
        <w:ind w:right="752" w:firstLine="528" w:firstLineChars="200"/>
        <w:jc w:val="left"/>
        <w:rPr>
          <w:spacing w:val="26"/>
        </w:rPr>
      </w:pPr>
      <w:r>
        <w:rPr>
          <w:spacing w:val="12"/>
        </w:rPr>
        <w:t>乙双方根</w:t>
      </w:r>
      <w:r>
        <w:t>据</w:t>
      </w:r>
      <w:r>
        <w:rPr>
          <w:spacing w:val="7"/>
        </w:rPr>
        <w:t>202</w:t>
      </w:r>
      <w:r>
        <w:rPr>
          <w:rFonts w:hint="eastAsia"/>
          <w:spacing w:val="7"/>
        </w:rPr>
        <w:t>2</w:t>
      </w:r>
      <w:r>
        <w:rPr>
          <w:spacing w:val="11"/>
        </w:rPr>
        <w:t>年</w:t>
      </w:r>
      <w:r>
        <w:rPr>
          <w:spacing w:val="11"/>
          <w:u w:val="single"/>
        </w:rPr>
        <w:tab/>
      </w:r>
      <w:r>
        <w:rPr>
          <w:spacing w:val="11"/>
        </w:rPr>
        <w:t>月</w:t>
      </w:r>
      <w:r>
        <w:rPr>
          <w:spacing w:val="11"/>
          <w:u w:val="single"/>
        </w:rPr>
        <w:tab/>
      </w:r>
      <w:r>
        <w:rPr>
          <w:spacing w:val="11"/>
        </w:rPr>
        <w:t>日</w:t>
      </w:r>
      <w:r>
        <w:rPr>
          <w:spacing w:val="11"/>
          <w:u w:val="single"/>
        </w:rPr>
        <w:tab/>
      </w:r>
      <w:r>
        <w:rPr>
          <w:spacing w:val="11"/>
          <w:u w:val="single"/>
        </w:rPr>
        <w:tab/>
      </w:r>
      <w:r>
        <w:rPr>
          <w:spacing w:val="12"/>
        </w:rPr>
        <w:t>（项目</w:t>
      </w:r>
      <w:r>
        <w:t>编号：</w:t>
      </w:r>
      <w:r>
        <w:rPr>
          <w:spacing w:val="-70"/>
        </w:rPr>
        <w:t>）</w:t>
      </w:r>
      <w:r>
        <w:t>的磋商文件要求和采购代理机构出具</w:t>
      </w:r>
      <w:r>
        <w:rPr>
          <w:spacing w:val="-68"/>
        </w:rPr>
        <w:t>的</w:t>
      </w:r>
      <w:r>
        <w:rPr>
          <w:rFonts w:hint="eastAsia"/>
          <w:spacing w:val="-3"/>
        </w:rPr>
        <w:t>《成交通知书》</w:t>
      </w:r>
      <w:r>
        <w:t>并经双方协商一致，达成合同总价款为</w:t>
      </w:r>
      <w:r>
        <w:rPr>
          <w:u w:val="single"/>
        </w:rPr>
        <w:t>元整（小写：</w:t>
      </w:r>
      <w:r>
        <w:rPr>
          <w:u w:val="single"/>
        </w:rPr>
        <w:tab/>
      </w:r>
      <w:r>
        <w:rPr>
          <w:u w:val="single"/>
        </w:rPr>
        <w:t>元）</w:t>
      </w:r>
      <w:r>
        <w:rPr>
          <w:spacing w:val="23"/>
        </w:rPr>
        <w:t>的</w:t>
      </w:r>
      <w:r>
        <w:rPr>
          <w:spacing w:val="23"/>
          <w:u w:val="single"/>
        </w:rPr>
        <w:tab/>
      </w:r>
      <w:r>
        <w:rPr>
          <w:spacing w:val="26"/>
        </w:rPr>
        <w:t>项</w:t>
      </w:r>
      <w:r>
        <w:rPr>
          <w:spacing w:val="24"/>
        </w:rPr>
        <w:t>目</w:t>
      </w:r>
      <w:r>
        <w:rPr>
          <w:spacing w:val="26"/>
        </w:rPr>
        <w:t>政府</w:t>
      </w:r>
      <w:r>
        <w:rPr>
          <w:spacing w:val="24"/>
        </w:rPr>
        <w:t>采</w:t>
      </w:r>
      <w:r>
        <w:rPr>
          <w:spacing w:val="26"/>
        </w:rPr>
        <w:t>购合同</w:t>
      </w:r>
      <w:r>
        <w:rPr>
          <w:rFonts w:hint="eastAsia"/>
          <w:spacing w:val="26"/>
        </w:rPr>
        <w:t>；</w:t>
      </w:r>
    </w:p>
    <w:p>
      <w:pPr>
        <w:pStyle w:val="9"/>
        <w:tabs>
          <w:tab w:val="left" w:pos="3147"/>
          <w:tab w:val="left" w:pos="4343"/>
          <w:tab w:val="left" w:pos="5123"/>
          <w:tab w:val="left" w:pos="6457"/>
          <w:tab w:val="left" w:pos="8012"/>
          <w:tab w:val="left" w:pos="8617"/>
        </w:tabs>
        <w:spacing w:before="191" w:line="360" w:lineRule="auto"/>
        <w:ind w:right="752"/>
        <w:jc w:val="left"/>
      </w:pPr>
      <w:r>
        <w:t>一、签订本政府采购合同的依据</w:t>
      </w:r>
    </w:p>
    <w:p>
      <w:pPr>
        <w:autoSpaceDE w:val="0"/>
        <w:autoSpaceDN w:val="0"/>
        <w:adjustRightInd w:val="0"/>
        <w:spacing w:line="360" w:lineRule="auto"/>
        <w:ind w:firstLine="480"/>
        <w:jc w:val="left"/>
        <w:rPr>
          <w:rFonts w:eastAsia="宋体"/>
          <w:spacing w:val="12"/>
          <w:sz w:val="24"/>
        </w:rPr>
      </w:pPr>
      <w:r>
        <w:rPr>
          <w:rFonts w:eastAsia="宋体"/>
          <w:spacing w:val="12"/>
          <w:sz w:val="24"/>
        </w:rPr>
        <w:t>本政府采购合同所附下列文件是构成本政府采购合同不可分割的部分：</w:t>
      </w:r>
    </w:p>
    <w:p>
      <w:pPr>
        <w:autoSpaceDE w:val="0"/>
        <w:autoSpaceDN w:val="0"/>
        <w:adjustRightInd w:val="0"/>
        <w:spacing w:line="360" w:lineRule="auto"/>
        <w:ind w:firstLine="480"/>
        <w:jc w:val="left"/>
        <w:rPr>
          <w:sz w:val="24"/>
          <w:szCs w:val="24"/>
        </w:rPr>
      </w:pPr>
      <w:bookmarkStart w:id="409" w:name="_Toc13654"/>
      <w:r>
        <w:rPr>
          <w:rFonts w:hint="eastAsia"/>
          <w:sz w:val="24"/>
          <w:szCs w:val="24"/>
        </w:rPr>
        <w:t>1.磋商文件；</w:t>
      </w:r>
      <w:bookmarkEnd w:id="409"/>
    </w:p>
    <w:p>
      <w:pPr>
        <w:autoSpaceDE w:val="0"/>
        <w:autoSpaceDN w:val="0"/>
        <w:adjustRightInd w:val="0"/>
        <w:spacing w:line="360" w:lineRule="auto"/>
        <w:ind w:firstLine="480"/>
        <w:jc w:val="left"/>
        <w:rPr>
          <w:sz w:val="24"/>
          <w:szCs w:val="24"/>
        </w:rPr>
      </w:pPr>
      <w:bookmarkStart w:id="410" w:name="_Toc21605"/>
      <w:r>
        <w:rPr>
          <w:rFonts w:hint="eastAsia"/>
          <w:sz w:val="24"/>
          <w:szCs w:val="24"/>
        </w:rPr>
        <w:t>2.磋商文件的更正、变更公告</w:t>
      </w:r>
      <w:r>
        <w:rPr>
          <w:rFonts w:hint="eastAsia" w:eastAsia="宋体"/>
          <w:sz w:val="24"/>
          <w:szCs w:val="24"/>
        </w:rPr>
        <w:t>（如有）</w:t>
      </w:r>
      <w:r>
        <w:rPr>
          <w:rFonts w:hint="eastAsia"/>
          <w:sz w:val="24"/>
          <w:szCs w:val="24"/>
        </w:rPr>
        <w:t>；</w:t>
      </w:r>
      <w:bookmarkEnd w:id="410"/>
    </w:p>
    <w:p>
      <w:pPr>
        <w:autoSpaceDE w:val="0"/>
        <w:autoSpaceDN w:val="0"/>
        <w:adjustRightInd w:val="0"/>
        <w:spacing w:line="360" w:lineRule="auto"/>
        <w:ind w:firstLine="480"/>
        <w:jc w:val="left"/>
        <w:rPr>
          <w:sz w:val="24"/>
          <w:szCs w:val="24"/>
        </w:rPr>
      </w:pPr>
      <w:bookmarkStart w:id="411" w:name="_Toc21635"/>
      <w:r>
        <w:rPr>
          <w:rFonts w:hint="eastAsia"/>
          <w:sz w:val="24"/>
          <w:szCs w:val="24"/>
        </w:rPr>
        <w:t>3.成交人提交的响应文件；</w:t>
      </w:r>
      <w:bookmarkEnd w:id="411"/>
    </w:p>
    <w:p>
      <w:pPr>
        <w:autoSpaceDE w:val="0"/>
        <w:autoSpaceDN w:val="0"/>
        <w:adjustRightInd w:val="0"/>
        <w:spacing w:line="360" w:lineRule="auto"/>
        <w:ind w:firstLine="480"/>
        <w:jc w:val="left"/>
        <w:rPr>
          <w:sz w:val="24"/>
          <w:szCs w:val="24"/>
        </w:rPr>
      </w:pPr>
      <w:bookmarkStart w:id="412" w:name="_Toc26361"/>
      <w:r>
        <w:rPr>
          <w:rFonts w:hint="eastAsia"/>
          <w:sz w:val="24"/>
          <w:szCs w:val="24"/>
        </w:rPr>
        <w:t>4.磋商文件中规定的政府采购合同通用条款；</w:t>
      </w:r>
      <w:bookmarkEnd w:id="412"/>
    </w:p>
    <w:p>
      <w:pPr>
        <w:autoSpaceDE w:val="0"/>
        <w:autoSpaceDN w:val="0"/>
        <w:adjustRightInd w:val="0"/>
        <w:spacing w:line="360" w:lineRule="auto"/>
        <w:ind w:firstLine="480"/>
        <w:jc w:val="left"/>
        <w:rPr>
          <w:sz w:val="24"/>
          <w:szCs w:val="24"/>
        </w:rPr>
      </w:pPr>
      <w:bookmarkStart w:id="413" w:name="_Toc14104"/>
      <w:r>
        <w:rPr>
          <w:rFonts w:hint="eastAsia"/>
          <w:sz w:val="24"/>
          <w:szCs w:val="24"/>
        </w:rPr>
        <w:t>5.成交通知书；</w:t>
      </w:r>
      <w:bookmarkEnd w:id="413"/>
    </w:p>
    <w:p>
      <w:pPr>
        <w:autoSpaceDE w:val="0"/>
        <w:autoSpaceDN w:val="0"/>
        <w:adjustRightInd w:val="0"/>
        <w:spacing w:line="360" w:lineRule="auto"/>
        <w:ind w:firstLine="480"/>
        <w:jc w:val="left"/>
        <w:rPr>
          <w:sz w:val="24"/>
          <w:szCs w:val="24"/>
        </w:rPr>
      </w:pPr>
      <w:bookmarkStart w:id="414" w:name="_Toc12389"/>
      <w:r>
        <w:rPr>
          <w:rFonts w:hint="eastAsia"/>
          <w:sz w:val="24"/>
          <w:szCs w:val="24"/>
        </w:rPr>
        <w:t>6.履约保证金缴费证明。</w:t>
      </w:r>
      <w:bookmarkEnd w:id="414"/>
    </w:p>
    <w:p>
      <w:pPr>
        <w:autoSpaceDE w:val="0"/>
        <w:autoSpaceDN w:val="0"/>
        <w:adjustRightInd w:val="0"/>
        <w:spacing w:line="360" w:lineRule="auto"/>
        <w:jc w:val="left"/>
        <w:rPr>
          <w:sz w:val="24"/>
          <w:szCs w:val="24"/>
        </w:rPr>
      </w:pPr>
      <w:bookmarkStart w:id="415" w:name="_Toc18163"/>
      <w:r>
        <w:rPr>
          <w:rFonts w:hint="eastAsia"/>
          <w:sz w:val="24"/>
          <w:szCs w:val="24"/>
        </w:rPr>
        <w:t>二、合同标的及金额                                       单位：元</w:t>
      </w:r>
      <w:bookmarkEnd w:id="415"/>
    </w:p>
    <w:tbl>
      <w:tblPr>
        <w:tblStyle w:val="23"/>
        <w:tblW w:w="0" w:type="auto"/>
        <w:jc w:val="center"/>
        <w:tblLayout w:type="fixed"/>
        <w:tblCellMar>
          <w:top w:w="0" w:type="dxa"/>
          <w:left w:w="108" w:type="dxa"/>
          <w:bottom w:w="0" w:type="dxa"/>
          <w:right w:w="108" w:type="dxa"/>
        </w:tblCellMar>
      </w:tblPr>
      <w:tblGrid>
        <w:gridCol w:w="2502"/>
        <w:gridCol w:w="2331"/>
        <w:gridCol w:w="776"/>
        <w:gridCol w:w="1166"/>
        <w:gridCol w:w="1164"/>
        <w:gridCol w:w="1359"/>
      </w:tblGrid>
      <w:tr>
        <w:tblPrEx>
          <w:tblCellMar>
            <w:top w:w="0" w:type="dxa"/>
            <w:left w:w="108" w:type="dxa"/>
            <w:bottom w:w="0" w:type="dxa"/>
            <w:right w:w="108" w:type="dxa"/>
          </w:tblCellMar>
        </w:tblPrEx>
        <w:trPr>
          <w:cantSplit/>
          <w:trHeight w:val="395" w:hRule="atLeast"/>
          <w:jc w:val="center"/>
        </w:trPr>
        <w:tc>
          <w:tcPr>
            <w:tcW w:w="2502"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r>
              <w:rPr>
                <w:rFonts w:hint="eastAsia"/>
                <w:sz w:val="24"/>
                <w:szCs w:val="24"/>
              </w:rPr>
              <w:t>标的名称</w:t>
            </w:r>
          </w:p>
        </w:tc>
        <w:tc>
          <w:tcPr>
            <w:tcW w:w="2331"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r>
              <w:rPr>
                <w:rFonts w:hint="eastAsia"/>
                <w:sz w:val="24"/>
                <w:szCs w:val="24"/>
              </w:rPr>
              <w:t xml:space="preserve">   服务内容</w:t>
            </w:r>
          </w:p>
        </w:tc>
        <w:tc>
          <w:tcPr>
            <w:tcW w:w="776"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r>
              <w:rPr>
                <w:rFonts w:hint="eastAsia"/>
                <w:sz w:val="24"/>
                <w:szCs w:val="24"/>
              </w:rPr>
              <w:t>数量</w:t>
            </w:r>
          </w:p>
        </w:tc>
        <w:tc>
          <w:tcPr>
            <w:tcW w:w="1166"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r>
              <w:rPr>
                <w:rFonts w:hint="eastAsia"/>
                <w:sz w:val="24"/>
                <w:szCs w:val="24"/>
              </w:rPr>
              <w:t>单价</w:t>
            </w:r>
          </w:p>
        </w:tc>
        <w:tc>
          <w:tcPr>
            <w:tcW w:w="1164"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r>
              <w:rPr>
                <w:rFonts w:hint="eastAsia"/>
                <w:sz w:val="24"/>
                <w:szCs w:val="24"/>
              </w:rPr>
              <w:t>总价</w:t>
            </w:r>
          </w:p>
        </w:tc>
        <w:tc>
          <w:tcPr>
            <w:tcW w:w="1359"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r>
              <w:rPr>
                <w:rFonts w:hint="eastAsia"/>
                <w:sz w:val="24"/>
                <w:szCs w:val="24"/>
              </w:rPr>
              <w:t>备注</w:t>
            </w:r>
          </w:p>
        </w:tc>
      </w:tr>
      <w:tr>
        <w:tblPrEx>
          <w:tblCellMar>
            <w:top w:w="0" w:type="dxa"/>
            <w:left w:w="108" w:type="dxa"/>
            <w:bottom w:w="0" w:type="dxa"/>
            <w:right w:w="108" w:type="dxa"/>
          </w:tblCellMar>
        </w:tblPrEx>
        <w:trPr>
          <w:cantSplit/>
          <w:trHeight w:val="590" w:hRule="atLeast"/>
          <w:jc w:val="center"/>
        </w:trPr>
        <w:tc>
          <w:tcPr>
            <w:tcW w:w="2502"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p>
        </w:tc>
        <w:tc>
          <w:tcPr>
            <w:tcW w:w="2331"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p>
        </w:tc>
        <w:tc>
          <w:tcPr>
            <w:tcW w:w="776"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p>
        </w:tc>
        <w:tc>
          <w:tcPr>
            <w:tcW w:w="1166"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p>
        </w:tc>
        <w:tc>
          <w:tcPr>
            <w:tcW w:w="1164"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p>
        </w:tc>
        <w:tc>
          <w:tcPr>
            <w:tcW w:w="1359"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p>
        </w:tc>
        <w:tc>
          <w:tcPr>
            <w:tcW w:w="2331"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p>
        </w:tc>
        <w:tc>
          <w:tcPr>
            <w:tcW w:w="776"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p>
        </w:tc>
        <w:tc>
          <w:tcPr>
            <w:tcW w:w="1166"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p>
        </w:tc>
        <w:tc>
          <w:tcPr>
            <w:tcW w:w="1164"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p>
        </w:tc>
        <w:tc>
          <w:tcPr>
            <w:tcW w:w="1359"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p>
        </w:tc>
        <w:tc>
          <w:tcPr>
            <w:tcW w:w="2331"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p>
        </w:tc>
        <w:tc>
          <w:tcPr>
            <w:tcW w:w="776"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p>
        </w:tc>
        <w:tc>
          <w:tcPr>
            <w:tcW w:w="1166"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p>
        </w:tc>
        <w:tc>
          <w:tcPr>
            <w:tcW w:w="1164"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p>
        </w:tc>
        <w:tc>
          <w:tcPr>
            <w:tcW w:w="1359" w:type="dxa"/>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r>
              <w:rPr>
                <w:rFonts w:hint="eastAsia"/>
                <w:sz w:val="24"/>
                <w:szCs w:val="24"/>
              </w:rPr>
              <w:t>磋商总报价</w:t>
            </w:r>
          </w:p>
        </w:tc>
        <w:tc>
          <w:tcPr>
            <w:tcW w:w="6796" w:type="dxa"/>
            <w:gridSpan w:val="5"/>
            <w:tcBorders>
              <w:top w:val="single" w:color="auto" w:sz="4" w:space="0"/>
              <w:left w:val="nil"/>
              <w:bottom w:val="single" w:color="auto" w:sz="4" w:space="0"/>
              <w:right w:val="single" w:color="auto" w:sz="4" w:space="0"/>
            </w:tcBorders>
            <w:noWrap/>
            <w:vAlign w:val="center"/>
          </w:tcPr>
          <w:p>
            <w:pPr>
              <w:autoSpaceDE w:val="0"/>
              <w:autoSpaceDN w:val="0"/>
              <w:adjustRightInd w:val="0"/>
              <w:spacing w:line="360" w:lineRule="auto"/>
              <w:jc w:val="left"/>
              <w:rPr>
                <w:sz w:val="24"/>
                <w:szCs w:val="24"/>
              </w:rPr>
            </w:pPr>
          </w:p>
        </w:tc>
      </w:tr>
    </w:tbl>
    <w:p>
      <w:pPr>
        <w:autoSpaceDE w:val="0"/>
        <w:autoSpaceDN w:val="0"/>
        <w:adjustRightInd w:val="0"/>
        <w:spacing w:line="360" w:lineRule="auto"/>
        <w:ind w:firstLine="480"/>
        <w:jc w:val="left"/>
        <w:rPr>
          <w:rFonts w:cs="Times New Roman"/>
          <w:sz w:val="24"/>
          <w:szCs w:val="24"/>
        </w:rPr>
      </w:pPr>
      <w:r>
        <w:rPr>
          <w:rFonts w:hint="eastAsia"/>
          <w:sz w:val="24"/>
          <w:szCs w:val="24"/>
        </w:rPr>
        <w:t>根据上述政府采购合同文件要求，本政府采购合同的总金额为人民币元（</w:t>
      </w:r>
      <w:r>
        <w:rPr>
          <w:rFonts w:hint="eastAsia"/>
          <w:sz w:val="24"/>
          <w:szCs w:val="24"/>
          <w:u w:val="single"/>
        </w:rPr>
        <w:t>大写：   ）</w:t>
      </w:r>
      <w:r>
        <w:rPr>
          <w:rFonts w:hint="eastAsia"/>
          <w:sz w:val="24"/>
          <w:szCs w:val="24"/>
        </w:rPr>
        <w:t>。</w:t>
      </w:r>
    </w:p>
    <w:p>
      <w:pPr>
        <w:autoSpaceDE w:val="0"/>
        <w:autoSpaceDN w:val="0"/>
        <w:adjustRightInd w:val="0"/>
        <w:spacing w:line="360" w:lineRule="auto"/>
        <w:ind w:firstLine="480"/>
        <w:jc w:val="left"/>
      </w:pPr>
      <w:r>
        <w:rPr>
          <w:rFonts w:hint="eastAsia"/>
          <w:sz w:val="24"/>
          <w:szCs w:val="24"/>
        </w:rPr>
        <w:t>本合同以人民币进行结算，合同总价包括：</w:t>
      </w:r>
      <w:r>
        <w:rPr>
          <w:rFonts w:hint="eastAsia"/>
          <w:sz w:val="24"/>
          <w:szCs w:val="24"/>
          <w:lang w:val="zh-CN"/>
        </w:rPr>
        <w:t>配套该项目提供的技术服务费用、招标代理服务费、售前、售中、售后、税金及不可预见费等全部费用。</w:t>
      </w:r>
      <w:bookmarkStart w:id="416" w:name="_Toc32155"/>
    </w:p>
    <w:p>
      <w:pPr>
        <w:pStyle w:val="9"/>
        <w:spacing w:line="360" w:lineRule="auto"/>
        <w:jc w:val="left"/>
      </w:pPr>
      <w:r>
        <w:t>三、服务时间、地点和要求</w:t>
      </w:r>
      <w:bookmarkEnd w:id="416"/>
    </w:p>
    <w:p>
      <w:pPr>
        <w:pStyle w:val="34"/>
        <w:tabs>
          <w:tab w:val="left" w:pos="1179"/>
          <w:tab w:val="left" w:pos="6577"/>
        </w:tabs>
        <w:spacing w:before="160" w:line="360" w:lineRule="auto"/>
        <w:ind w:right="3066" w:firstLine="480"/>
        <w:jc w:val="left"/>
        <w:rPr>
          <w:rFonts w:hint="eastAsia" w:ascii="宋体" w:hAnsi="宋体" w:eastAsia="Times New Roman" w:cs="宋体"/>
          <w:sz w:val="24"/>
          <w:szCs w:val="24"/>
          <w:lang w:val="zh-CN"/>
        </w:rPr>
      </w:pPr>
      <w:r>
        <w:rPr>
          <w:rFonts w:hint="eastAsia" w:asciiTheme="minorEastAsia" w:hAnsiTheme="minorEastAsia" w:eastAsiaTheme="minorEastAsia" w:cstheme="minorEastAsia"/>
          <w:color w:val="auto"/>
          <w:kern w:val="2"/>
          <w:sz w:val="24"/>
          <w:szCs w:val="24"/>
          <w:lang w:val="zh-CN"/>
        </w:rPr>
        <w:t>服务</w:t>
      </w:r>
      <w:r>
        <w:rPr>
          <w:rFonts w:hint="eastAsia" w:asciiTheme="minorEastAsia" w:hAnsiTheme="minorEastAsia" w:eastAsiaTheme="minorEastAsia" w:cstheme="minorEastAsia"/>
          <w:color w:val="auto"/>
          <w:kern w:val="2"/>
          <w:sz w:val="24"/>
          <w:szCs w:val="24"/>
        </w:rPr>
        <w:t>期</w:t>
      </w:r>
      <w:r>
        <w:rPr>
          <w:rFonts w:hint="eastAsia" w:ascii="宋体" w:hAnsi="宋体" w:eastAsia="Times New Roman" w:cs="宋体"/>
          <w:sz w:val="24"/>
          <w:szCs w:val="24"/>
          <w:lang w:val="zh-CN"/>
        </w:rPr>
        <w:t>：签订合同后30个工作日；</w:t>
      </w:r>
    </w:p>
    <w:p>
      <w:pPr>
        <w:pStyle w:val="34"/>
        <w:tabs>
          <w:tab w:val="left" w:pos="1179"/>
          <w:tab w:val="left" w:pos="6577"/>
        </w:tabs>
        <w:spacing w:before="160" w:line="360" w:lineRule="auto"/>
        <w:ind w:right="3066" w:firstLine="480"/>
        <w:jc w:val="left"/>
        <w:rPr>
          <w:rFonts w:ascii="宋体" w:hAnsi="宋体" w:cs="宋体" w:eastAsiaTheme="minorEastAsia"/>
          <w:sz w:val="24"/>
          <w:szCs w:val="24"/>
          <w:lang w:val="zh-CN"/>
        </w:rPr>
        <w:sectPr>
          <w:footerReference r:id="rId12" w:type="default"/>
          <w:pgSz w:w="11910" w:h="16840"/>
          <w:pgMar w:top="1440" w:right="1080" w:bottom="1440" w:left="1080" w:header="510" w:footer="964" w:gutter="0"/>
          <w:pgBorders w:offsetFrom="page">
            <w:top w:val="single" w:color="auto" w:sz="12" w:space="24"/>
            <w:left w:val="single" w:color="auto" w:sz="12" w:space="24"/>
            <w:bottom w:val="single" w:color="auto" w:sz="12" w:space="24"/>
            <w:right w:val="single" w:color="auto" w:sz="12" w:space="24"/>
          </w:pgBorders>
          <w:cols w:space="720" w:num="1"/>
        </w:sectPr>
      </w:pPr>
      <w:r>
        <w:rPr>
          <w:rFonts w:hint="eastAsia" w:ascii="宋体" w:hAnsi="宋体" w:eastAsia="Times New Roman" w:cs="宋体"/>
          <w:sz w:val="24"/>
          <w:szCs w:val="24"/>
          <w:lang w:val="zh-CN"/>
        </w:rPr>
        <w:t>服务地点：青海民族大学。</w:t>
      </w:r>
    </w:p>
    <w:p>
      <w:pPr>
        <w:autoSpaceDE w:val="0"/>
        <w:autoSpaceDN w:val="0"/>
        <w:adjustRightInd w:val="0"/>
        <w:spacing w:line="360" w:lineRule="auto"/>
        <w:jc w:val="left"/>
        <w:rPr>
          <w:rFonts w:eastAsia="宋体"/>
          <w:sz w:val="24"/>
          <w:szCs w:val="22"/>
          <w:lang w:val="zh-CN"/>
        </w:rPr>
      </w:pPr>
      <w:bookmarkStart w:id="417" w:name="_Toc9629"/>
      <w:r>
        <w:rPr>
          <w:rFonts w:hint="eastAsia" w:eastAsia="宋体"/>
          <w:sz w:val="24"/>
          <w:szCs w:val="22"/>
        </w:rPr>
        <w:t>四、</w:t>
      </w:r>
      <w:r>
        <w:rPr>
          <w:rFonts w:hint="eastAsia" w:eastAsia="宋体"/>
          <w:sz w:val="24"/>
          <w:szCs w:val="22"/>
          <w:lang w:val="zh-CN"/>
        </w:rPr>
        <w:t>付款方式</w:t>
      </w:r>
      <w:bookmarkEnd w:id="417"/>
    </w:p>
    <w:p>
      <w:pPr>
        <w:pStyle w:val="22"/>
        <w:spacing w:line="360" w:lineRule="auto"/>
        <w:ind w:firstLine="480" w:firstLineChars="200"/>
        <w:jc w:val="left"/>
        <w:rPr>
          <w:rFonts w:hint="eastAsia"/>
        </w:rPr>
      </w:pPr>
      <w:bookmarkStart w:id="418" w:name="_Toc22743"/>
      <w:r>
        <w:rPr>
          <w:rFonts w:hint="eastAsia"/>
        </w:rPr>
        <w:t>签订合同前，乙方向甲方交付合同总金额的5%为履约保证金即人民币（大写）：元。自验收合格之日起，履约保证金自动转为质量保证金。质量保证金待约定的免费质保期满且产品无质量问题后，由乙方提出书面申请，甲方以转账方式予以退还。</w:t>
      </w:r>
    </w:p>
    <w:p>
      <w:pPr>
        <w:pStyle w:val="22"/>
        <w:spacing w:line="360" w:lineRule="auto"/>
        <w:ind w:firstLine="480" w:firstLineChars="200"/>
        <w:jc w:val="left"/>
        <w:rPr>
          <w:rFonts w:hint="eastAsia"/>
        </w:rPr>
      </w:pPr>
      <w:r>
        <w:rPr>
          <w:rFonts w:hint="eastAsia"/>
        </w:rPr>
        <w:t>乙方所交付的产品由甲方验收，验收通过后</w:t>
      </w:r>
      <w:r>
        <w:rPr>
          <w:rFonts w:hint="eastAsia"/>
          <w:lang w:val="zh-CN"/>
        </w:rPr>
        <w:t>由甲方报同级财政监管部门，按合同</w:t>
      </w:r>
      <w:r>
        <w:rPr>
          <w:rFonts w:hint="eastAsia"/>
        </w:rPr>
        <w:t>总</w:t>
      </w:r>
      <w:r>
        <w:rPr>
          <w:rFonts w:hint="eastAsia"/>
          <w:lang w:val="zh-CN"/>
        </w:rPr>
        <w:t>金额向乙方支付</w:t>
      </w:r>
      <w:r>
        <w:rPr>
          <w:rFonts w:hint="eastAsia"/>
        </w:rPr>
        <w:t>，即人民币（大写）：元。</w:t>
      </w:r>
    </w:p>
    <w:p>
      <w:pPr>
        <w:pStyle w:val="22"/>
        <w:spacing w:line="360" w:lineRule="auto"/>
        <w:ind w:firstLine="0" w:firstLineChars="0"/>
        <w:jc w:val="left"/>
        <w:rPr>
          <w:sz w:val="18"/>
        </w:rPr>
      </w:pPr>
      <w:r>
        <w:t>五、服务质量保证</w:t>
      </w:r>
      <w:bookmarkEnd w:id="418"/>
    </w:p>
    <w:p>
      <w:pPr>
        <w:pStyle w:val="22"/>
        <w:spacing w:line="360" w:lineRule="auto"/>
        <w:ind w:firstLine="240"/>
        <w:jc w:val="left"/>
      </w:pPr>
      <w:r>
        <w:rPr>
          <w:rFonts w:hint="eastAsia"/>
        </w:rPr>
        <w:t>1、乙方所提供的服务质量必须与采购文件、投标报价文件和承诺相一致。</w:t>
      </w:r>
    </w:p>
    <w:p>
      <w:pPr>
        <w:pStyle w:val="22"/>
        <w:spacing w:line="360" w:lineRule="auto"/>
        <w:ind w:firstLine="240"/>
        <w:jc w:val="left"/>
      </w:pPr>
      <w:r>
        <w:rPr>
          <w:rFonts w:hint="eastAsia"/>
        </w:rPr>
        <w:t>2、乙方应保证所提供服务不会侵犯任何第三方的专利权、商标权或其他权利。</w:t>
      </w:r>
    </w:p>
    <w:p>
      <w:pPr>
        <w:pStyle w:val="22"/>
        <w:spacing w:line="360" w:lineRule="auto"/>
        <w:ind w:firstLine="240"/>
        <w:jc w:val="left"/>
      </w:pPr>
      <w:r>
        <w:rPr>
          <w:rFonts w:hint="eastAsia"/>
        </w:rPr>
        <w:t>3、乙方的工作人员必须对业务执行中知悉的甲方工作秘密保密，维护甲方的合法权益。</w:t>
      </w:r>
    </w:p>
    <w:p>
      <w:pPr>
        <w:pStyle w:val="22"/>
        <w:spacing w:line="360" w:lineRule="auto"/>
        <w:ind w:firstLine="240"/>
        <w:jc w:val="left"/>
      </w:pPr>
      <w:r>
        <w:rPr>
          <w:rFonts w:hint="eastAsia"/>
        </w:rPr>
        <w:t>4、因乙方工作失误造成甲方利益受损的，由乙方对损失承担相应的赔偿责任。</w:t>
      </w:r>
    </w:p>
    <w:p>
      <w:pPr>
        <w:pStyle w:val="22"/>
        <w:spacing w:line="360" w:lineRule="auto"/>
        <w:ind w:firstLine="240"/>
        <w:jc w:val="left"/>
      </w:pPr>
      <w:r>
        <w:rPr>
          <w:rFonts w:hint="eastAsia"/>
        </w:rPr>
        <w:t>5、甲方应积极配合乙方工作并提供必要的工作条件。</w:t>
      </w:r>
    </w:p>
    <w:p>
      <w:pPr>
        <w:autoSpaceDE w:val="0"/>
        <w:autoSpaceDN w:val="0"/>
        <w:adjustRightInd w:val="0"/>
        <w:spacing w:line="360" w:lineRule="auto"/>
        <w:jc w:val="left"/>
        <w:rPr>
          <w:sz w:val="24"/>
          <w:szCs w:val="24"/>
        </w:rPr>
      </w:pPr>
      <w:r>
        <w:rPr>
          <w:rFonts w:hint="eastAsia"/>
          <w:sz w:val="24"/>
          <w:szCs w:val="24"/>
        </w:rPr>
        <w:t>六、合同的变更、终止与转让</w:t>
      </w:r>
    </w:p>
    <w:p>
      <w:pPr>
        <w:pStyle w:val="22"/>
        <w:spacing w:line="360" w:lineRule="auto"/>
        <w:ind w:firstLine="240"/>
        <w:jc w:val="left"/>
      </w:pPr>
      <w:r>
        <w:rPr>
          <w:rFonts w:hint="eastAsia"/>
        </w:rPr>
        <w:t>1、除《中华人民共和国政府采购法》第 50 条规定的情形外，本合同一经签订， 甲乙双方不得擅自变更、中止或终止。</w:t>
      </w:r>
    </w:p>
    <w:p>
      <w:pPr>
        <w:pStyle w:val="22"/>
        <w:spacing w:line="360" w:lineRule="auto"/>
        <w:ind w:firstLine="240"/>
        <w:jc w:val="left"/>
      </w:pPr>
      <w:r>
        <w:rPr>
          <w:rFonts w:hint="eastAsia"/>
        </w:rPr>
        <w:t>2、乙方不得擅自转让其应履行的合同义务。</w:t>
      </w:r>
    </w:p>
    <w:p>
      <w:pPr>
        <w:pStyle w:val="22"/>
        <w:spacing w:line="360" w:lineRule="auto"/>
        <w:ind w:firstLine="240"/>
        <w:jc w:val="left"/>
      </w:pPr>
      <w:r>
        <w:rPr>
          <w:rFonts w:hint="eastAsia"/>
        </w:rPr>
        <w:t>七、违约责任</w:t>
      </w:r>
    </w:p>
    <w:p>
      <w:pPr>
        <w:pStyle w:val="22"/>
        <w:spacing w:line="360" w:lineRule="auto"/>
        <w:ind w:firstLine="240"/>
        <w:jc w:val="left"/>
      </w:pPr>
      <w:r>
        <w:rPr>
          <w:rFonts w:hint="eastAsia"/>
        </w:rPr>
        <w:t>1、乙方所提供的服务不合格、不及时的，应尽快调整改进；调整改进不及时， 应由乙方赔偿由此引起的一切经济损失。</w:t>
      </w:r>
      <w:bookmarkStart w:id="419" w:name="_Toc20437"/>
    </w:p>
    <w:p>
      <w:pPr>
        <w:autoSpaceDE w:val="0"/>
        <w:autoSpaceDN w:val="0"/>
        <w:adjustRightInd w:val="0"/>
        <w:spacing w:line="360" w:lineRule="auto"/>
        <w:jc w:val="left"/>
        <w:rPr>
          <w:sz w:val="24"/>
          <w:szCs w:val="24"/>
        </w:rPr>
      </w:pPr>
      <w:r>
        <w:rPr>
          <w:rFonts w:hint="eastAsia"/>
          <w:sz w:val="24"/>
          <w:szCs w:val="24"/>
        </w:rPr>
        <w:t>八、不可抗力</w:t>
      </w:r>
      <w:bookmarkEnd w:id="419"/>
    </w:p>
    <w:p>
      <w:pPr>
        <w:autoSpaceDE w:val="0"/>
        <w:autoSpaceDN w:val="0"/>
        <w:adjustRightInd w:val="0"/>
        <w:spacing w:line="360" w:lineRule="auto"/>
        <w:ind w:firstLine="480"/>
        <w:jc w:val="left"/>
        <w:rPr>
          <w:sz w:val="24"/>
          <w:szCs w:val="24"/>
        </w:rPr>
      </w:pPr>
      <w:r>
        <w:rPr>
          <w:rFonts w:hint="eastAsia"/>
          <w:sz w:val="24"/>
          <w:szCs w:val="24"/>
        </w:rPr>
        <w:t>1、不可抗力使合同的某些内容有变更必要的，双方应通过协商在</w:t>
      </w:r>
      <w:r>
        <w:rPr>
          <w:rFonts w:hint="eastAsia"/>
          <w:sz w:val="24"/>
          <w:szCs w:val="24"/>
        </w:rPr>
        <w:tab/>
      </w:r>
      <w:r>
        <w:rPr>
          <w:rFonts w:hint="eastAsia"/>
          <w:sz w:val="24"/>
          <w:szCs w:val="24"/>
        </w:rPr>
        <w:t>天内达成进一步履行合同的协议，因不可抗力致使合同不能履行的，合同终止。</w:t>
      </w:r>
    </w:p>
    <w:p>
      <w:pPr>
        <w:autoSpaceDE w:val="0"/>
        <w:autoSpaceDN w:val="0"/>
        <w:adjustRightInd w:val="0"/>
        <w:spacing w:line="360" w:lineRule="auto"/>
        <w:ind w:firstLine="480"/>
        <w:jc w:val="left"/>
        <w:rPr>
          <w:sz w:val="24"/>
          <w:szCs w:val="24"/>
        </w:rPr>
      </w:pPr>
      <w:r>
        <w:rPr>
          <w:rFonts w:hint="eastAsia"/>
          <w:sz w:val="24"/>
          <w:szCs w:val="24"/>
        </w:rPr>
        <w:t>2、除法律、法规规定的不可抗力情形外，双方约定出现</w:t>
      </w:r>
      <w:r>
        <w:rPr>
          <w:rFonts w:hint="eastAsia"/>
          <w:sz w:val="24"/>
          <w:szCs w:val="24"/>
        </w:rPr>
        <w:tab/>
      </w:r>
      <w:r>
        <w:rPr>
          <w:rFonts w:hint="eastAsia"/>
          <w:sz w:val="24"/>
          <w:szCs w:val="24"/>
        </w:rPr>
        <w:t>情况亦视为不可抗力。</w:t>
      </w:r>
    </w:p>
    <w:p>
      <w:pPr>
        <w:pStyle w:val="9"/>
        <w:spacing w:line="360" w:lineRule="auto"/>
        <w:jc w:val="left"/>
      </w:pPr>
      <w:bookmarkStart w:id="420" w:name="_Toc16779"/>
      <w:r>
        <w:t>九、其他约定</w:t>
      </w:r>
      <w:bookmarkEnd w:id="420"/>
      <w:bookmarkStart w:id="421" w:name="_Toc3654"/>
    </w:p>
    <w:p>
      <w:pPr>
        <w:pStyle w:val="9"/>
        <w:spacing w:before="67" w:line="360" w:lineRule="auto"/>
        <w:jc w:val="left"/>
        <w:rPr>
          <w:sz w:val="18"/>
        </w:rPr>
      </w:pPr>
      <w:r>
        <w:t>十、合同争议解决</w:t>
      </w:r>
      <w:bookmarkEnd w:id="421"/>
    </w:p>
    <w:p>
      <w:pPr>
        <w:autoSpaceDE w:val="0"/>
        <w:autoSpaceDN w:val="0"/>
        <w:adjustRightInd w:val="0"/>
        <w:spacing w:line="360" w:lineRule="auto"/>
        <w:ind w:firstLine="480"/>
        <w:jc w:val="left"/>
        <w:rPr>
          <w:sz w:val="24"/>
          <w:szCs w:val="24"/>
        </w:rPr>
      </w:pPr>
      <w:r>
        <w:rPr>
          <w:rFonts w:hint="eastAsia"/>
          <w:sz w:val="24"/>
          <w:szCs w:val="24"/>
        </w:rPr>
        <w:t>1、因履行本合同引起的或与本合同有关的争议，甲乙双方应首先通过友好协商解决，如果协商不能解决，可向甲方所在地仲裁委员会申请仲裁或向甲方所在地人民法院提起诉讼。</w:t>
      </w:r>
    </w:p>
    <w:p>
      <w:pPr>
        <w:autoSpaceDE w:val="0"/>
        <w:autoSpaceDN w:val="0"/>
        <w:adjustRightInd w:val="0"/>
        <w:spacing w:line="360" w:lineRule="auto"/>
        <w:ind w:firstLine="480"/>
        <w:jc w:val="left"/>
      </w:pPr>
      <w:r>
        <w:rPr>
          <w:rFonts w:hint="eastAsia"/>
          <w:sz w:val="24"/>
          <w:szCs w:val="24"/>
        </w:rPr>
        <w:t>2、诉讼期间，本合同继续履行。</w:t>
      </w:r>
    </w:p>
    <w:p>
      <w:pPr>
        <w:autoSpaceDE w:val="0"/>
        <w:autoSpaceDN w:val="0"/>
        <w:adjustRightInd w:val="0"/>
        <w:spacing w:line="360" w:lineRule="auto"/>
        <w:jc w:val="left"/>
        <w:rPr>
          <w:sz w:val="24"/>
          <w:szCs w:val="24"/>
        </w:rPr>
      </w:pPr>
      <w:r>
        <w:rPr>
          <w:rFonts w:hint="eastAsia"/>
          <w:sz w:val="24"/>
          <w:szCs w:val="24"/>
        </w:rPr>
        <w:t>十一、合同附件</w:t>
      </w:r>
    </w:p>
    <w:p>
      <w:pPr>
        <w:autoSpaceDE w:val="0"/>
        <w:autoSpaceDN w:val="0"/>
        <w:adjustRightInd w:val="0"/>
        <w:spacing w:line="360" w:lineRule="auto"/>
        <w:ind w:firstLine="480"/>
        <w:jc w:val="left"/>
        <w:rPr>
          <w:sz w:val="24"/>
          <w:szCs w:val="24"/>
        </w:rPr>
      </w:pPr>
      <w:r>
        <w:rPr>
          <w:rFonts w:hint="eastAsia"/>
          <w:sz w:val="24"/>
          <w:szCs w:val="24"/>
        </w:rPr>
        <w:t>1、服务内容；</w:t>
      </w:r>
    </w:p>
    <w:p>
      <w:pPr>
        <w:autoSpaceDE w:val="0"/>
        <w:autoSpaceDN w:val="0"/>
        <w:adjustRightInd w:val="0"/>
        <w:spacing w:line="360" w:lineRule="auto"/>
        <w:ind w:firstLine="480"/>
        <w:jc w:val="left"/>
        <w:rPr>
          <w:sz w:val="24"/>
          <w:szCs w:val="24"/>
        </w:rPr>
      </w:pPr>
      <w:r>
        <w:rPr>
          <w:rFonts w:hint="eastAsia"/>
          <w:sz w:val="24"/>
          <w:szCs w:val="24"/>
        </w:rPr>
        <w:t>2、成交通知书</w:t>
      </w:r>
      <w:bookmarkStart w:id="422" w:name="_Toc4269"/>
    </w:p>
    <w:p>
      <w:pPr>
        <w:autoSpaceDE w:val="0"/>
        <w:autoSpaceDN w:val="0"/>
        <w:adjustRightInd w:val="0"/>
        <w:spacing w:line="360" w:lineRule="auto"/>
        <w:jc w:val="left"/>
        <w:rPr>
          <w:sz w:val="24"/>
          <w:szCs w:val="24"/>
        </w:rPr>
      </w:pPr>
      <w:r>
        <w:rPr>
          <w:rFonts w:hint="eastAsia"/>
          <w:sz w:val="24"/>
          <w:szCs w:val="24"/>
        </w:rPr>
        <w:t>十二、合同生效及其它：</w:t>
      </w:r>
      <w:bookmarkEnd w:id="422"/>
    </w:p>
    <w:p>
      <w:pPr>
        <w:autoSpaceDE w:val="0"/>
        <w:autoSpaceDN w:val="0"/>
        <w:adjustRightInd w:val="0"/>
        <w:spacing w:line="360" w:lineRule="auto"/>
        <w:ind w:firstLine="480"/>
        <w:jc w:val="left"/>
        <w:rPr>
          <w:sz w:val="24"/>
          <w:szCs w:val="24"/>
        </w:rPr>
      </w:pPr>
      <w:r>
        <w:rPr>
          <w:rFonts w:hint="eastAsia"/>
          <w:sz w:val="24"/>
          <w:szCs w:val="24"/>
        </w:rPr>
        <w:t>1、本合同一式六份，经双方签字，并加盖公章即为生效。</w:t>
      </w:r>
    </w:p>
    <w:p>
      <w:pPr>
        <w:autoSpaceDE w:val="0"/>
        <w:autoSpaceDN w:val="0"/>
        <w:adjustRightInd w:val="0"/>
        <w:spacing w:line="360" w:lineRule="auto"/>
        <w:ind w:firstLine="480"/>
        <w:jc w:val="left"/>
        <w:rPr>
          <w:sz w:val="24"/>
          <w:szCs w:val="24"/>
        </w:rPr>
      </w:pPr>
      <w:r>
        <w:rPr>
          <w:rFonts w:hint="eastAsia"/>
          <w:sz w:val="24"/>
          <w:szCs w:val="24"/>
        </w:rPr>
        <w:t>2、本合同未尽事宜，按</w:t>
      </w:r>
      <w:r>
        <w:rPr>
          <w:rFonts w:hint="eastAsia" w:eastAsia="宋体"/>
          <w:sz w:val="24"/>
          <w:szCs w:val="24"/>
          <w:lang w:val="en-US" w:eastAsia="zh-CN"/>
        </w:rPr>
        <w:t>民法典</w:t>
      </w:r>
      <w:r>
        <w:rPr>
          <w:rFonts w:hint="eastAsia"/>
          <w:sz w:val="24"/>
          <w:szCs w:val="24"/>
        </w:rPr>
        <w:t>有关规定处理。</w:t>
      </w:r>
    </w:p>
    <w:p>
      <w:pPr>
        <w:autoSpaceDE w:val="0"/>
        <w:autoSpaceDN w:val="0"/>
        <w:adjustRightInd w:val="0"/>
        <w:spacing w:line="360" w:lineRule="auto"/>
        <w:jc w:val="left"/>
        <w:rPr>
          <w:sz w:val="24"/>
          <w:szCs w:val="24"/>
        </w:rPr>
      </w:pPr>
    </w:p>
    <w:p>
      <w:pPr>
        <w:pStyle w:val="9"/>
        <w:tabs>
          <w:tab w:val="left" w:pos="5857"/>
        </w:tabs>
        <w:spacing w:before="193" w:line="360" w:lineRule="auto"/>
        <w:ind w:firstLine="480" w:firstLineChars="200"/>
        <w:jc w:val="left"/>
      </w:pPr>
      <w:r>
        <w:t>甲方（盖章）：</w:t>
      </w:r>
      <w:r>
        <w:rPr>
          <w:rFonts w:hint="eastAsia"/>
        </w:rPr>
        <w:t xml:space="preserve">                           </w:t>
      </w:r>
      <w:r>
        <w:t>乙方（盖章）：</w:t>
      </w:r>
    </w:p>
    <w:p>
      <w:pPr>
        <w:pStyle w:val="9"/>
        <w:tabs>
          <w:tab w:val="left" w:pos="5857"/>
        </w:tabs>
        <w:spacing w:before="160" w:line="360" w:lineRule="auto"/>
        <w:ind w:right="1146" w:firstLine="480" w:firstLineChars="200"/>
        <w:jc w:val="left"/>
      </w:pPr>
      <w:r>
        <w:t>法定代表人或委托代理人：</w:t>
      </w:r>
      <w:r>
        <w:rPr>
          <w:rFonts w:hint="eastAsia"/>
        </w:rPr>
        <w:t xml:space="preserve">                 </w:t>
      </w:r>
      <w:r>
        <w:t>法定代表人或委托代理人</w:t>
      </w:r>
      <w:r>
        <w:rPr>
          <w:spacing w:val="-17"/>
        </w:rPr>
        <w:t xml:space="preserve">： </w:t>
      </w:r>
    </w:p>
    <w:p>
      <w:pPr>
        <w:pStyle w:val="9"/>
        <w:tabs>
          <w:tab w:val="left" w:pos="5370"/>
        </w:tabs>
        <w:spacing w:before="5" w:line="360" w:lineRule="auto"/>
        <w:ind w:firstLine="480" w:firstLineChars="200"/>
        <w:jc w:val="left"/>
      </w:pPr>
      <w:r>
        <w:t>联系电话：</w:t>
      </w:r>
      <w:r>
        <w:tab/>
      </w:r>
      <w:r>
        <w:t xml:space="preserve">开户银行： </w:t>
      </w:r>
    </w:p>
    <w:p>
      <w:pPr>
        <w:pStyle w:val="9"/>
        <w:tabs>
          <w:tab w:val="left" w:pos="5857"/>
        </w:tabs>
        <w:spacing w:before="5" w:line="360" w:lineRule="auto"/>
        <w:ind w:firstLine="5400" w:firstLineChars="2250"/>
        <w:jc w:val="left"/>
      </w:pPr>
      <w:r>
        <w:t>账</w:t>
      </w:r>
      <w:r>
        <w:rPr>
          <w:rFonts w:hint="eastAsia"/>
        </w:rPr>
        <w:t xml:space="preserve">  </w:t>
      </w:r>
      <w:r>
        <w:t xml:space="preserve">号： </w:t>
      </w:r>
    </w:p>
    <w:p>
      <w:pPr>
        <w:pStyle w:val="9"/>
        <w:tabs>
          <w:tab w:val="left" w:pos="3457"/>
          <w:tab w:val="left" w:pos="3937"/>
          <w:tab w:val="left" w:pos="4417"/>
        </w:tabs>
        <w:spacing w:before="158" w:line="360" w:lineRule="auto"/>
        <w:ind w:left="1177"/>
        <w:jc w:val="center"/>
      </w:pPr>
      <w:r>
        <w:rPr>
          <w:rFonts w:hint="eastAsia"/>
        </w:rPr>
        <w:t xml:space="preserve">         </w:t>
      </w:r>
      <w:r>
        <w:t>联系电话：</w:t>
      </w:r>
    </w:p>
    <w:p>
      <w:pPr>
        <w:pStyle w:val="9"/>
        <w:tabs>
          <w:tab w:val="left" w:pos="3457"/>
          <w:tab w:val="left" w:pos="3937"/>
          <w:tab w:val="left" w:pos="4417"/>
        </w:tabs>
        <w:spacing w:before="158" w:line="360" w:lineRule="auto"/>
        <w:ind w:firstLine="480" w:firstLineChars="200"/>
        <w:jc w:val="left"/>
      </w:pPr>
      <w:r>
        <w:t>签约时间：</w:t>
      </w:r>
      <w:r>
        <w:tab/>
      </w:r>
      <w:r>
        <w:t>年</w:t>
      </w:r>
      <w:r>
        <w:tab/>
      </w:r>
      <w:r>
        <w:t>月</w:t>
      </w:r>
      <w:r>
        <w:tab/>
      </w:r>
      <w:r>
        <w:t>日</w:t>
      </w:r>
    </w:p>
    <w:p>
      <w:pPr>
        <w:pStyle w:val="9"/>
        <w:spacing w:before="169" w:line="360" w:lineRule="auto"/>
        <w:ind w:left="1177"/>
        <w:jc w:val="left"/>
      </w:pPr>
    </w:p>
    <w:p>
      <w:pPr>
        <w:pStyle w:val="9"/>
        <w:spacing w:before="169" w:line="360" w:lineRule="auto"/>
        <w:ind w:firstLine="480" w:firstLineChars="200"/>
        <w:jc w:val="left"/>
        <w:rPr>
          <w:sz w:val="25"/>
        </w:rPr>
      </w:pPr>
      <w:r>
        <w:t>采购代理机构： （盖章）</w:t>
      </w:r>
    </w:p>
    <w:p>
      <w:pPr>
        <w:pStyle w:val="9"/>
        <w:spacing w:line="360" w:lineRule="auto"/>
        <w:ind w:left="1177"/>
        <w:jc w:val="left"/>
      </w:pPr>
    </w:p>
    <w:p>
      <w:pPr>
        <w:pStyle w:val="9"/>
        <w:spacing w:line="360" w:lineRule="auto"/>
        <w:ind w:firstLine="480" w:firstLineChars="200"/>
        <w:jc w:val="left"/>
      </w:pPr>
      <w:r>
        <w:t>负责人或经办人：</w:t>
      </w:r>
    </w:p>
    <w:p>
      <w:pPr>
        <w:pStyle w:val="9"/>
        <w:tabs>
          <w:tab w:val="left" w:pos="3577"/>
          <w:tab w:val="left" w:pos="4057"/>
          <w:tab w:val="left" w:pos="4657"/>
        </w:tabs>
        <w:spacing w:line="360" w:lineRule="auto"/>
        <w:ind w:firstLine="1200" w:firstLineChars="500"/>
        <w:jc w:val="left"/>
      </w:pPr>
    </w:p>
    <w:p>
      <w:pPr>
        <w:pStyle w:val="9"/>
        <w:tabs>
          <w:tab w:val="left" w:pos="3450"/>
          <w:tab w:val="left" w:pos="4057"/>
          <w:tab w:val="left" w:pos="4530"/>
        </w:tabs>
        <w:spacing w:line="360" w:lineRule="auto"/>
        <w:ind w:firstLine="480" w:firstLineChars="200"/>
        <w:jc w:val="left"/>
      </w:pPr>
      <w:r>
        <w:t>合同备案时间：</w:t>
      </w:r>
      <w:r>
        <w:tab/>
      </w:r>
      <w:r>
        <w:t>年</w:t>
      </w:r>
      <w:r>
        <w:rPr>
          <w:rFonts w:hint="eastAsia"/>
        </w:rPr>
        <w:t xml:space="preserve"> </w:t>
      </w:r>
      <w:r>
        <w:tab/>
      </w:r>
      <w:r>
        <w:t>月</w:t>
      </w:r>
      <w:r>
        <w:tab/>
      </w:r>
      <w:r>
        <w:t>日</w:t>
      </w:r>
    </w:p>
    <w:p>
      <w:pPr>
        <w:jc w:val="left"/>
        <w:rPr>
          <w:rFonts w:eastAsia="宋体"/>
          <w:b/>
          <w:color w:val="auto"/>
          <w:sz w:val="28"/>
          <w:szCs w:val="28"/>
          <w:lang w:val="zh-CN"/>
        </w:rPr>
      </w:pPr>
      <w:r>
        <w:rPr>
          <w:rFonts w:hint="eastAsia" w:eastAsia="宋体"/>
          <w:b/>
          <w:color w:val="auto"/>
          <w:sz w:val="28"/>
          <w:szCs w:val="28"/>
          <w:lang w:val="zh-CN"/>
        </w:rPr>
        <w:br w:type="page"/>
      </w:r>
    </w:p>
    <w:p>
      <w:pPr>
        <w:autoSpaceDE w:val="0"/>
        <w:autoSpaceDN w:val="0"/>
        <w:adjustRightInd w:val="0"/>
        <w:spacing w:line="360" w:lineRule="auto"/>
        <w:jc w:val="center"/>
        <w:rPr>
          <w:rFonts w:eastAsia="宋体"/>
          <w:b/>
          <w:color w:val="auto"/>
          <w:sz w:val="28"/>
          <w:szCs w:val="28"/>
          <w:lang w:val="zh-CN"/>
        </w:rPr>
      </w:pPr>
      <w:r>
        <w:rPr>
          <w:rFonts w:hint="eastAsia" w:eastAsia="宋体"/>
          <w:b/>
          <w:color w:val="auto"/>
          <w:sz w:val="28"/>
          <w:szCs w:val="28"/>
          <w:lang w:val="zh-CN"/>
        </w:rPr>
        <w:t>合同通用条款</w:t>
      </w:r>
      <w:bookmarkEnd w:id="407"/>
    </w:p>
    <w:p>
      <w:pPr>
        <w:autoSpaceDE w:val="0"/>
        <w:autoSpaceDN w:val="0"/>
        <w:adjustRightInd w:val="0"/>
        <w:spacing w:line="360" w:lineRule="auto"/>
        <w:jc w:val="left"/>
        <w:rPr>
          <w:rFonts w:eastAsia="宋体"/>
          <w:color w:val="auto"/>
          <w:sz w:val="28"/>
          <w:szCs w:val="28"/>
        </w:rPr>
      </w:pPr>
    </w:p>
    <w:p>
      <w:pPr>
        <w:autoSpaceDE w:val="0"/>
        <w:autoSpaceDN w:val="0"/>
        <w:adjustRightInd w:val="0"/>
        <w:spacing w:line="360" w:lineRule="auto"/>
        <w:ind w:firstLine="480"/>
        <w:jc w:val="left"/>
        <w:rPr>
          <w:rFonts w:eastAsia="宋体"/>
          <w:color w:val="auto"/>
          <w:sz w:val="24"/>
        </w:rPr>
      </w:pPr>
      <w:r>
        <w:rPr>
          <w:rFonts w:hint="eastAsia" w:eastAsia="宋体"/>
          <w:color w:val="auto"/>
          <w:sz w:val="24"/>
          <w:lang w:val="zh-CN"/>
        </w:rPr>
        <w:t>根据《中华人民共和国民法典》《中华人民共和国政府采购法》的规定，合同双方经协商达成一致，自愿订立本合同，遵循公平原则明确双方的权利、义务，确保双方诚实守信地履行合同。</w:t>
      </w:r>
    </w:p>
    <w:p>
      <w:pPr>
        <w:autoSpaceDE w:val="0"/>
        <w:autoSpaceDN w:val="0"/>
        <w:adjustRightInd w:val="0"/>
        <w:spacing w:line="360" w:lineRule="auto"/>
        <w:ind w:firstLine="562"/>
        <w:jc w:val="left"/>
        <w:rPr>
          <w:rFonts w:eastAsia="宋体"/>
          <w:b/>
          <w:color w:val="auto"/>
          <w:sz w:val="28"/>
          <w:szCs w:val="28"/>
        </w:rPr>
      </w:pPr>
      <w:bookmarkStart w:id="423" w:name="_Toc21609"/>
      <w:r>
        <w:rPr>
          <w:rFonts w:hint="eastAsia" w:eastAsia="宋体"/>
          <w:b/>
          <w:color w:val="auto"/>
          <w:sz w:val="28"/>
          <w:szCs w:val="28"/>
        </w:rPr>
        <w:t>1.</w:t>
      </w:r>
      <w:r>
        <w:rPr>
          <w:rFonts w:hint="eastAsia" w:eastAsia="宋体"/>
          <w:b/>
          <w:color w:val="auto"/>
          <w:sz w:val="28"/>
          <w:szCs w:val="28"/>
          <w:lang w:val="zh-CN"/>
        </w:rPr>
        <w:t>定义</w:t>
      </w:r>
      <w:bookmarkEnd w:id="423"/>
    </w:p>
    <w:p>
      <w:pPr>
        <w:autoSpaceDE w:val="0"/>
        <w:autoSpaceDN w:val="0"/>
        <w:adjustRightInd w:val="0"/>
        <w:spacing w:line="360" w:lineRule="auto"/>
        <w:ind w:firstLine="480"/>
        <w:jc w:val="left"/>
        <w:rPr>
          <w:rFonts w:eastAsia="宋体"/>
          <w:color w:val="auto"/>
          <w:sz w:val="24"/>
        </w:rPr>
      </w:pPr>
      <w:r>
        <w:rPr>
          <w:rFonts w:hint="eastAsia" w:eastAsia="宋体"/>
          <w:color w:val="auto"/>
          <w:sz w:val="24"/>
          <w:lang w:val="zh-CN"/>
        </w:rPr>
        <w:t>本合同中的下列术语应解释为：</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1.1 </w:t>
      </w:r>
      <w:r>
        <w:rPr>
          <w:rFonts w:hint="eastAsia" w:eastAsia="宋体"/>
          <w:color w:val="auto"/>
          <w:sz w:val="24"/>
          <w:lang w:val="zh-CN"/>
        </w:rPr>
        <w:t>“合同”指甲乙双方签署的、载明的甲乙双方权利义务的协议，包括所有的附件、附录和上述文件所提到的构成合同的所有文件。</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1.2 </w:t>
      </w:r>
      <w:r>
        <w:rPr>
          <w:rFonts w:hint="eastAsia" w:eastAsia="宋体"/>
          <w:color w:val="auto"/>
          <w:sz w:val="24"/>
          <w:lang w:val="zh-CN"/>
        </w:rPr>
        <w:t>“合同金额”指根据合同规定，乙方在正确地完全履行合同义务后甲方应付给乙方的价款。</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1.3 </w:t>
      </w:r>
      <w:r>
        <w:rPr>
          <w:rFonts w:hint="eastAsia" w:eastAsia="宋体"/>
          <w:color w:val="auto"/>
          <w:sz w:val="24"/>
          <w:lang w:val="zh-CN"/>
        </w:rPr>
        <w:t>“合同条款”指本合同条款。</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1.4 </w:t>
      </w:r>
      <w:r>
        <w:rPr>
          <w:rFonts w:hint="eastAsia" w:eastAsia="宋体"/>
          <w:color w:val="auto"/>
          <w:sz w:val="24"/>
          <w:lang w:val="zh-CN"/>
        </w:rPr>
        <w:t>“货物”指乙方根据合同约定须向甲方提供的一切产品、设备、机械、仪表、备件等，包括辅助工具、使用手册等相关资料。</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1.5 </w:t>
      </w:r>
      <w:r>
        <w:rPr>
          <w:rFonts w:hint="eastAsia" w:eastAsia="宋体"/>
          <w:color w:val="auto"/>
          <w:sz w:val="24"/>
          <w:lang w:val="zh-CN"/>
        </w:rPr>
        <w:t>“服务”指根据本合同规定乙方承担与供货有关的辅助服务，如运输、保险、调试、提供技术援助、培训和合同中规定乙方应承担的其它义务。</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1.6 </w:t>
      </w:r>
      <w:r>
        <w:rPr>
          <w:rFonts w:hint="eastAsia" w:eastAsia="宋体"/>
          <w:color w:val="auto"/>
          <w:sz w:val="24"/>
          <w:lang w:val="zh-CN"/>
        </w:rPr>
        <w:t>“甲方”指购买货物和服务的单位。</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1.7 </w:t>
      </w:r>
      <w:r>
        <w:rPr>
          <w:rFonts w:hint="eastAsia" w:eastAsia="宋体"/>
          <w:color w:val="auto"/>
          <w:sz w:val="24"/>
          <w:lang w:val="zh-CN"/>
        </w:rPr>
        <w:t>“乙方”指提供本合同条款下货物和服务的公司或其他实体。</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1.8 </w:t>
      </w:r>
      <w:r>
        <w:rPr>
          <w:rFonts w:hint="eastAsia" w:eastAsia="宋体"/>
          <w:color w:val="auto"/>
          <w:sz w:val="24"/>
          <w:lang w:val="zh-CN"/>
        </w:rPr>
        <w:t>“现场”指合同规定货物将要运至指定地点。</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1.9 </w:t>
      </w:r>
      <w:r>
        <w:rPr>
          <w:rFonts w:hint="eastAsia" w:eastAsia="宋体"/>
          <w:color w:val="auto"/>
          <w:sz w:val="24"/>
          <w:lang w:val="zh-CN"/>
        </w:rPr>
        <w:t>“验收”指合同双方依据强制性的国家技术质量规范和合同约定，确认合同条款下的货物符合合同规定的活动。</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1.10 </w:t>
      </w:r>
      <w:r>
        <w:rPr>
          <w:rFonts w:hint="eastAsia" w:eastAsia="宋体"/>
          <w:color w:val="auto"/>
          <w:sz w:val="24"/>
          <w:lang w:val="zh-CN"/>
        </w:rPr>
        <w:t>原厂商：产品制造商或其在中国境内设立的办事或技术服务机构。除另有说明外，本合同文件所述的制造商、产品制造商、制造厂家、产品制造厂家均为原厂商。</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1.11 </w:t>
      </w:r>
      <w:r>
        <w:rPr>
          <w:rFonts w:hint="eastAsia" w:eastAsia="宋体"/>
          <w:color w:val="auto"/>
          <w:sz w:val="24"/>
          <w:lang w:val="zh-CN"/>
        </w:rPr>
        <w:t>原产地：指产品的生产地，或提供服务的来源地。</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1.12 </w:t>
      </w:r>
      <w:r>
        <w:rPr>
          <w:rFonts w:hint="eastAsia" w:eastAsia="宋体"/>
          <w:color w:val="auto"/>
          <w:sz w:val="24"/>
          <w:lang w:val="zh-CN"/>
        </w:rPr>
        <w:t>“工作日”指国家法定工作日，“天”指日历天数。</w:t>
      </w:r>
    </w:p>
    <w:p>
      <w:pPr>
        <w:autoSpaceDE w:val="0"/>
        <w:autoSpaceDN w:val="0"/>
        <w:adjustRightInd w:val="0"/>
        <w:spacing w:line="360" w:lineRule="auto"/>
        <w:ind w:firstLine="562"/>
        <w:jc w:val="left"/>
        <w:rPr>
          <w:rFonts w:eastAsia="宋体"/>
          <w:b/>
          <w:color w:val="auto"/>
          <w:sz w:val="28"/>
          <w:szCs w:val="28"/>
        </w:rPr>
      </w:pPr>
      <w:bookmarkStart w:id="424" w:name="_Toc394"/>
      <w:r>
        <w:rPr>
          <w:rFonts w:hint="eastAsia" w:eastAsia="宋体"/>
          <w:b/>
          <w:color w:val="auto"/>
          <w:sz w:val="28"/>
          <w:szCs w:val="28"/>
        </w:rPr>
        <w:t>2.</w:t>
      </w:r>
      <w:r>
        <w:rPr>
          <w:rFonts w:hint="eastAsia" w:eastAsia="宋体"/>
          <w:b/>
          <w:color w:val="auto"/>
          <w:sz w:val="28"/>
          <w:szCs w:val="28"/>
          <w:lang w:val="zh-CN"/>
        </w:rPr>
        <w:t>技术规格要求</w:t>
      </w:r>
      <w:bookmarkEnd w:id="424"/>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2.1 </w:t>
      </w:r>
      <w:r>
        <w:rPr>
          <w:rFonts w:hint="eastAsia" w:eastAsia="宋体"/>
          <w:color w:val="auto"/>
          <w:sz w:val="24"/>
          <w:lang w:val="zh-CN"/>
        </w:rPr>
        <w:t>本合同条款下提交货物的技术规格要求应等于或优于招响应文件技术规格要求。若技术规格要求中无相应规定，则应符合相应的国家有关部门最新颁布的相应正式标准。</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2.2 </w:t>
      </w:r>
      <w:r>
        <w:rPr>
          <w:rFonts w:hint="eastAsia" w:eastAsia="宋体"/>
          <w:color w:val="auto"/>
          <w:sz w:val="24"/>
          <w:lang w:val="zh-CN"/>
        </w:rPr>
        <w:t>乙方应向甲方提供货物及服务有关的标准的中文文本。</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2.3 </w:t>
      </w:r>
      <w:r>
        <w:rPr>
          <w:rFonts w:hint="eastAsia" w:eastAsia="宋体"/>
          <w:color w:val="auto"/>
          <w:sz w:val="24"/>
          <w:lang w:val="zh-CN"/>
        </w:rPr>
        <w:t>除非技术规范中另有规定，计量单位均采用中华人民共和国法定计量单位。</w:t>
      </w:r>
    </w:p>
    <w:p>
      <w:pPr>
        <w:autoSpaceDE w:val="0"/>
        <w:autoSpaceDN w:val="0"/>
        <w:adjustRightInd w:val="0"/>
        <w:spacing w:line="360" w:lineRule="auto"/>
        <w:ind w:firstLine="562"/>
        <w:jc w:val="left"/>
        <w:rPr>
          <w:rFonts w:eastAsia="宋体"/>
          <w:b/>
          <w:color w:val="auto"/>
          <w:sz w:val="28"/>
          <w:szCs w:val="28"/>
        </w:rPr>
      </w:pPr>
      <w:bookmarkStart w:id="425" w:name="_Toc1676"/>
      <w:r>
        <w:rPr>
          <w:rFonts w:hint="eastAsia" w:eastAsia="宋体"/>
          <w:b/>
          <w:color w:val="auto"/>
          <w:sz w:val="28"/>
          <w:szCs w:val="28"/>
        </w:rPr>
        <w:t>3.</w:t>
      </w:r>
      <w:r>
        <w:rPr>
          <w:rFonts w:hint="eastAsia" w:eastAsia="宋体"/>
          <w:b/>
          <w:color w:val="auto"/>
          <w:sz w:val="28"/>
          <w:szCs w:val="28"/>
          <w:lang w:val="zh-CN"/>
        </w:rPr>
        <w:t>合同范围</w:t>
      </w:r>
      <w:bookmarkEnd w:id="425"/>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3.1 </w:t>
      </w:r>
      <w:r>
        <w:rPr>
          <w:rFonts w:hint="eastAsia" w:eastAsia="宋体"/>
          <w:color w:val="auto"/>
          <w:sz w:val="24"/>
          <w:lang w:val="zh-CN"/>
        </w:rPr>
        <w:t>甲方同意从乙方处购买且乙方同意向甲方提供的货物及其附属货物，消耗性材料、专用工具等，包括各项技术服务、技术培训及满足合同货物组装、检验、培训、技术服务、性能测试、正常运行及维修所必需的技术文件。</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3.2 </w:t>
      </w:r>
      <w:r>
        <w:rPr>
          <w:rFonts w:hint="eastAsia" w:eastAsia="宋体"/>
          <w:color w:val="auto"/>
          <w:sz w:val="24"/>
          <w:lang w:val="zh-CN"/>
        </w:rPr>
        <w:t>乙方应负责培训甲方的技术人员。</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3.3 </w:t>
      </w:r>
      <w:r>
        <w:rPr>
          <w:rFonts w:hint="eastAsia" w:eastAsia="宋体"/>
          <w:color w:val="auto"/>
          <w:sz w:val="24"/>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adjustRightInd w:val="0"/>
        <w:spacing w:line="360" w:lineRule="auto"/>
        <w:ind w:firstLine="562"/>
        <w:jc w:val="left"/>
        <w:rPr>
          <w:rFonts w:eastAsia="宋体"/>
          <w:b/>
          <w:color w:val="auto"/>
          <w:sz w:val="28"/>
          <w:szCs w:val="28"/>
        </w:rPr>
      </w:pPr>
      <w:bookmarkStart w:id="426" w:name="_Toc23233"/>
      <w:r>
        <w:rPr>
          <w:rFonts w:hint="eastAsia" w:eastAsia="宋体"/>
          <w:b/>
          <w:color w:val="auto"/>
          <w:sz w:val="28"/>
          <w:szCs w:val="28"/>
        </w:rPr>
        <w:t>4.</w:t>
      </w:r>
      <w:r>
        <w:rPr>
          <w:rFonts w:hint="eastAsia" w:eastAsia="宋体"/>
          <w:b/>
          <w:color w:val="auto"/>
          <w:sz w:val="28"/>
          <w:szCs w:val="28"/>
          <w:lang w:val="zh-CN"/>
        </w:rPr>
        <w:t>合同文件和资料</w:t>
      </w:r>
      <w:bookmarkEnd w:id="426"/>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4.1</w:t>
      </w:r>
      <w:r>
        <w:rPr>
          <w:rFonts w:hint="eastAsia" w:eastAsia="宋体"/>
          <w:color w:val="auto"/>
          <w:sz w:val="24"/>
          <w:lang w:val="zh-CN"/>
        </w:rPr>
        <w:t>乙方在提供仪器设备时应同时提供中文版相关的技术资料，如目录索引、图纸、操作手册、使用指南、维修指南、服务手册等。</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4.2</w:t>
      </w:r>
      <w:r>
        <w:rPr>
          <w:rFonts w:hint="eastAsia" w:eastAsia="宋体"/>
          <w:color w:val="auto"/>
          <w:sz w:val="24"/>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adjustRightInd w:val="0"/>
        <w:spacing w:line="360" w:lineRule="auto"/>
        <w:ind w:firstLine="562"/>
        <w:jc w:val="left"/>
        <w:rPr>
          <w:rFonts w:eastAsia="宋体"/>
          <w:b/>
          <w:color w:val="auto"/>
          <w:sz w:val="28"/>
          <w:szCs w:val="28"/>
        </w:rPr>
      </w:pPr>
      <w:bookmarkStart w:id="427" w:name="_Toc23333"/>
      <w:r>
        <w:rPr>
          <w:rFonts w:hint="eastAsia" w:eastAsia="宋体"/>
          <w:b/>
          <w:color w:val="auto"/>
          <w:sz w:val="28"/>
          <w:szCs w:val="28"/>
        </w:rPr>
        <w:t>5.</w:t>
      </w:r>
      <w:r>
        <w:rPr>
          <w:rFonts w:hint="eastAsia" w:eastAsia="宋体"/>
          <w:b/>
          <w:color w:val="auto"/>
          <w:sz w:val="28"/>
          <w:szCs w:val="28"/>
          <w:lang w:val="zh-CN"/>
        </w:rPr>
        <w:t>知识产权</w:t>
      </w:r>
      <w:bookmarkEnd w:id="427"/>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5.1</w:t>
      </w:r>
      <w:r>
        <w:rPr>
          <w:rFonts w:hint="eastAsia" w:eastAsia="宋体"/>
          <w:color w:val="auto"/>
          <w:sz w:val="24"/>
          <w:lang w:val="zh-CN"/>
        </w:rPr>
        <w:t>乙方应保证甲方在使用该货物或其任何一部分时不受第三方提出的侵犯专利权、著作权、商标权和工业设计权等的起诉。</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5.2</w:t>
      </w:r>
      <w:r>
        <w:rPr>
          <w:rFonts w:hint="eastAsia" w:eastAsia="宋体"/>
          <w:color w:val="auto"/>
          <w:sz w:val="24"/>
          <w:lang w:val="zh-CN"/>
        </w:rPr>
        <w:t>任何第三方提出侵权指控，乙方须与第三方交涉并承担由此产生的一切责任、费用和经济赔偿。</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5.3</w:t>
      </w:r>
      <w:r>
        <w:rPr>
          <w:rFonts w:hint="eastAsia" w:eastAsia="宋体"/>
          <w:color w:val="auto"/>
          <w:sz w:val="24"/>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5.4</w:t>
      </w:r>
      <w:r>
        <w:rPr>
          <w:rFonts w:hint="eastAsia" w:eastAsia="宋体"/>
          <w:color w:val="auto"/>
          <w:sz w:val="24"/>
          <w:lang w:val="zh-CN"/>
        </w:rPr>
        <w:t>在本合同生效时已经存在并为各方合法拥有或使用的所有技术、资料和信息的知识产权，仍应属于其各自的原权利人所有或享有，另有约定的除外。</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5.5</w:t>
      </w:r>
      <w:r>
        <w:rPr>
          <w:rFonts w:hint="eastAsia" w:eastAsia="宋体"/>
          <w:color w:val="auto"/>
          <w:sz w:val="24"/>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adjustRightInd w:val="0"/>
        <w:spacing w:line="360" w:lineRule="auto"/>
        <w:ind w:firstLine="562"/>
        <w:jc w:val="left"/>
        <w:rPr>
          <w:rFonts w:eastAsia="宋体"/>
          <w:b/>
          <w:color w:val="auto"/>
          <w:sz w:val="28"/>
          <w:szCs w:val="28"/>
        </w:rPr>
      </w:pPr>
      <w:bookmarkStart w:id="428" w:name="_Toc12001"/>
      <w:r>
        <w:rPr>
          <w:rFonts w:hint="eastAsia" w:eastAsia="宋体"/>
          <w:b/>
          <w:color w:val="auto"/>
          <w:sz w:val="28"/>
          <w:szCs w:val="28"/>
        </w:rPr>
        <w:t>6.</w:t>
      </w:r>
      <w:r>
        <w:rPr>
          <w:rFonts w:hint="eastAsia" w:eastAsia="宋体"/>
          <w:b/>
          <w:color w:val="auto"/>
          <w:sz w:val="28"/>
          <w:szCs w:val="28"/>
          <w:lang w:val="zh-CN"/>
        </w:rPr>
        <w:t>保密</w:t>
      </w:r>
      <w:bookmarkEnd w:id="428"/>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6.1</w:t>
      </w:r>
      <w:r>
        <w:rPr>
          <w:rFonts w:hint="eastAsia" w:eastAsia="宋体"/>
          <w:color w:val="auto"/>
          <w:sz w:val="24"/>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6.2</w:t>
      </w:r>
      <w:r>
        <w:rPr>
          <w:rFonts w:hint="eastAsia" w:eastAsia="宋体"/>
          <w:color w:val="auto"/>
          <w:sz w:val="24"/>
          <w:lang w:val="zh-CN"/>
        </w:rPr>
        <w:t>保密信息指任何一方因履行本合同所知悉的任何以口头、书面、图表或电子形式存在的对方信息，具体包括：</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6.2.1</w:t>
      </w:r>
      <w:r>
        <w:rPr>
          <w:rFonts w:hint="eastAsia" w:eastAsia="宋体"/>
          <w:color w:val="auto"/>
          <w:sz w:val="24"/>
          <w:lang w:val="zh-CN"/>
        </w:rPr>
        <w:t>任何涉及对方过去、现在或将来的商业计划、规章制度、操作规程、处理手段、财务信息；</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6.2.2</w:t>
      </w:r>
      <w:r>
        <w:rPr>
          <w:rFonts w:hint="eastAsia" w:eastAsia="宋体"/>
          <w:color w:val="auto"/>
          <w:sz w:val="24"/>
          <w:lang w:val="zh-CN"/>
        </w:rPr>
        <w:t>任何对方的技术措施、技术方案、软件应用及开发，硬件设备的品种、质量、数量、品牌等；</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6.2.3</w:t>
      </w:r>
      <w:r>
        <w:rPr>
          <w:rFonts w:hint="eastAsia" w:eastAsia="宋体"/>
          <w:color w:val="auto"/>
          <w:sz w:val="24"/>
          <w:lang w:val="zh-CN"/>
        </w:rPr>
        <w:t>任何对方的技术秘密或专有知识、文件、报告、数据、客户软件、流程图、数据库、发明、知识、贸易秘密。</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6.3</w:t>
      </w:r>
      <w:r>
        <w:rPr>
          <w:rFonts w:hint="eastAsia" w:eastAsia="宋体"/>
          <w:color w:val="auto"/>
          <w:sz w:val="24"/>
          <w:lang w:val="zh-CN"/>
        </w:rPr>
        <w:t>乙方应根据甲方的要求签署相应的保密协议，保密协议与本条款存在不一致的，以保密协议为准。</w:t>
      </w:r>
    </w:p>
    <w:p>
      <w:pPr>
        <w:autoSpaceDE w:val="0"/>
        <w:autoSpaceDN w:val="0"/>
        <w:adjustRightInd w:val="0"/>
        <w:spacing w:line="360" w:lineRule="auto"/>
        <w:ind w:firstLine="562"/>
        <w:jc w:val="left"/>
        <w:rPr>
          <w:rFonts w:eastAsia="宋体"/>
          <w:b/>
          <w:color w:val="auto"/>
          <w:sz w:val="28"/>
          <w:szCs w:val="28"/>
        </w:rPr>
      </w:pPr>
      <w:bookmarkStart w:id="429" w:name="_Toc4387"/>
      <w:r>
        <w:rPr>
          <w:rFonts w:hint="eastAsia" w:eastAsia="宋体"/>
          <w:b/>
          <w:color w:val="auto"/>
          <w:sz w:val="28"/>
          <w:szCs w:val="28"/>
        </w:rPr>
        <w:t xml:space="preserve">7. </w:t>
      </w:r>
      <w:r>
        <w:rPr>
          <w:rFonts w:hint="eastAsia" w:eastAsia="宋体"/>
          <w:b/>
          <w:color w:val="auto"/>
          <w:sz w:val="28"/>
          <w:szCs w:val="28"/>
          <w:lang w:val="zh-CN"/>
        </w:rPr>
        <w:t>质量保证</w:t>
      </w:r>
      <w:bookmarkEnd w:id="429"/>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7.1货物</w:t>
      </w:r>
      <w:r>
        <w:rPr>
          <w:rFonts w:hint="eastAsia" w:eastAsia="宋体"/>
          <w:color w:val="auto"/>
          <w:sz w:val="24"/>
          <w:lang w:val="zh-CN"/>
        </w:rPr>
        <w:t>质量保证</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7.1.1</w:t>
      </w:r>
      <w:r>
        <w:rPr>
          <w:rFonts w:hint="eastAsia" w:eastAsia="宋体"/>
          <w:color w:val="auto"/>
          <w:sz w:val="24"/>
          <w:lang w:val="zh-CN"/>
        </w:rPr>
        <w:t>乙方必须保证货物是全新、未使用过的，并完全符合强制性的国家技术质量规范和合同规定的质量、规格、性能和技术规范等的要求。</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7.1.2</w:t>
      </w:r>
      <w:r>
        <w:rPr>
          <w:rFonts w:hint="eastAsia" w:eastAsia="宋体"/>
          <w:color w:val="auto"/>
          <w:sz w:val="24"/>
          <w:lang w:val="zh-CN"/>
        </w:rPr>
        <w:t>乙方须保证所提供的货物经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7.1.3</w:t>
      </w:r>
      <w:r>
        <w:rPr>
          <w:rFonts w:hint="eastAsia" w:eastAsia="宋体"/>
          <w:color w:val="auto"/>
          <w:sz w:val="24"/>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7.1.4</w:t>
      </w:r>
      <w:r>
        <w:rPr>
          <w:rFonts w:hint="eastAsia" w:eastAsia="宋体"/>
          <w:color w:val="auto"/>
          <w:sz w:val="24"/>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7.1.5 </w:t>
      </w:r>
      <w:r>
        <w:rPr>
          <w:rFonts w:hint="eastAsia" w:eastAsia="宋体"/>
          <w:color w:val="auto"/>
          <w:sz w:val="24"/>
          <w:lang w:val="zh-CN"/>
        </w:rPr>
        <w:t>合同条款下货物的质量保证期自货物通过最终验收起算，合同另行规定除外。</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7.2</w:t>
      </w:r>
      <w:r>
        <w:rPr>
          <w:rFonts w:hint="eastAsia" w:eastAsia="宋体"/>
          <w:color w:val="auto"/>
          <w:sz w:val="24"/>
          <w:lang w:val="zh-CN"/>
        </w:rPr>
        <w:t>辅助服务质量保证</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7.2.1</w:t>
      </w:r>
      <w:r>
        <w:rPr>
          <w:rFonts w:hint="eastAsia" w:eastAsia="宋体"/>
          <w:color w:val="auto"/>
          <w:sz w:val="24"/>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7.2.2</w:t>
      </w:r>
      <w:r>
        <w:rPr>
          <w:rFonts w:hint="eastAsia" w:eastAsia="宋体"/>
          <w:color w:val="auto"/>
          <w:sz w:val="24"/>
          <w:lang w:val="zh-CN"/>
        </w:rPr>
        <w:t>乙方应保证合同条款下所提供的服务包括培训、单机调试、系统联调和试验等，按合同规定方式进行，并保证不存在因乙方工作人员的过失、错误或疏忽而产生的缺陷。</w:t>
      </w:r>
    </w:p>
    <w:p>
      <w:pPr>
        <w:autoSpaceDE w:val="0"/>
        <w:autoSpaceDN w:val="0"/>
        <w:adjustRightInd w:val="0"/>
        <w:spacing w:line="360" w:lineRule="auto"/>
        <w:ind w:firstLine="562"/>
        <w:jc w:val="left"/>
        <w:rPr>
          <w:rFonts w:eastAsia="宋体"/>
          <w:b/>
          <w:color w:val="auto"/>
          <w:sz w:val="28"/>
          <w:szCs w:val="28"/>
        </w:rPr>
      </w:pPr>
      <w:bookmarkStart w:id="430" w:name="_Toc32111"/>
      <w:r>
        <w:rPr>
          <w:rFonts w:hint="eastAsia" w:eastAsia="宋体"/>
          <w:b/>
          <w:color w:val="auto"/>
          <w:sz w:val="28"/>
          <w:szCs w:val="28"/>
        </w:rPr>
        <w:t>8.</w:t>
      </w:r>
      <w:r>
        <w:rPr>
          <w:rFonts w:hint="eastAsia" w:eastAsia="宋体"/>
          <w:b/>
          <w:color w:val="auto"/>
          <w:sz w:val="28"/>
          <w:szCs w:val="28"/>
          <w:lang w:val="zh-CN"/>
        </w:rPr>
        <w:t>包装要求</w:t>
      </w:r>
      <w:bookmarkEnd w:id="430"/>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8.1 </w:t>
      </w:r>
      <w:r>
        <w:rPr>
          <w:rFonts w:hint="eastAsia" w:eastAsia="宋体"/>
          <w:color w:val="auto"/>
          <w:sz w:val="24"/>
          <w:lang w:val="zh-CN"/>
        </w:rPr>
        <w:t>除合同另有约定外</w:t>
      </w:r>
      <w:r>
        <w:rPr>
          <w:rFonts w:hint="eastAsia" w:eastAsia="宋体"/>
          <w:color w:val="auto"/>
          <w:sz w:val="24"/>
        </w:rPr>
        <w:t>,</w:t>
      </w:r>
      <w:r>
        <w:rPr>
          <w:rFonts w:hint="eastAsia" w:eastAsia="宋体"/>
          <w:color w:val="auto"/>
          <w:sz w:val="24"/>
          <w:lang w:val="zh-CN"/>
        </w:rPr>
        <w:t>乙方提供的全部货物</w:t>
      </w:r>
      <w:r>
        <w:rPr>
          <w:rFonts w:hint="eastAsia" w:eastAsia="宋体"/>
          <w:color w:val="auto"/>
          <w:sz w:val="24"/>
        </w:rPr>
        <w:t>,</w:t>
      </w:r>
      <w:r>
        <w:rPr>
          <w:rFonts w:hint="eastAsia" w:eastAsia="宋体"/>
          <w:color w:val="auto"/>
          <w:sz w:val="24"/>
          <w:lang w:val="zh-CN"/>
        </w:rPr>
        <w:t>均应采用本行业通用的方式进行包装，且该包装应符合国家有关包装的法律、法规的规定。</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8.2 </w:t>
      </w:r>
      <w:r>
        <w:rPr>
          <w:rFonts w:hint="eastAsia" w:eastAsia="宋体"/>
          <w:color w:val="auto"/>
          <w:sz w:val="24"/>
          <w:lang w:val="zh-CN"/>
        </w:rPr>
        <w:t>包装应适应于远距离运输，并有良好的防潮、防震、防锈和防粗暴装卸等保护措施，以确保货物安全运抵现场。由于包装不善所引起的货物锈蚀、损坏和损失均由乙方承担。</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lang w:val="zh-CN"/>
        </w:rPr>
        <w:t>乙方应提供货物运至合同规定的最终目的地所需要的包装，以防止货物在转运中损坏或变质。</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8.3 </w:t>
      </w:r>
      <w:r>
        <w:rPr>
          <w:rFonts w:hint="eastAsia" w:eastAsia="宋体"/>
          <w:color w:val="auto"/>
          <w:sz w:val="24"/>
          <w:lang w:val="zh-CN"/>
        </w:rPr>
        <w:t>乙方所提供的货物包装均为出厂时原包装。</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8.4 </w:t>
      </w:r>
      <w:r>
        <w:rPr>
          <w:rFonts w:hint="eastAsia" w:eastAsia="宋体"/>
          <w:color w:val="auto"/>
          <w:sz w:val="24"/>
          <w:lang w:val="zh-CN"/>
        </w:rPr>
        <w:t>乙方所提供货物必须附有质量合格证，装箱清单，主机、附件、各种零部件和消耗品，有清楚的与装箱单相对应的名称和编号。</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8.5 </w:t>
      </w:r>
      <w:r>
        <w:rPr>
          <w:rFonts w:hint="eastAsia" w:eastAsia="宋体"/>
          <w:color w:val="auto"/>
          <w:sz w:val="24"/>
          <w:lang w:val="zh-CN"/>
        </w:rPr>
        <w:t>货物运输中的运输费用和保险费用均由乙方承担。运输过程中的一切损失、损坏均由乙方负责。</w:t>
      </w:r>
    </w:p>
    <w:p>
      <w:pPr>
        <w:autoSpaceDE w:val="0"/>
        <w:autoSpaceDN w:val="0"/>
        <w:adjustRightInd w:val="0"/>
        <w:spacing w:line="360" w:lineRule="auto"/>
        <w:ind w:firstLine="562"/>
        <w:jc w:val="left"/>
        <w:rPr>
          <w:rFonts w:eastAsia="宋体"/>
          <w:b/>
          <w:color w:val="auto"/>
          <w:sz w:val="28"/>
          <w:szCs w:val="28"/>
        </w:rPr>
      </w:pPr>
      <w:bookmarkStart w:id="431" w:name="_Toc15616"/>
      <w:r>
        <w:rPr>
          <w:rFonts w:hint="eastAsia" w:eastAsia="宋体"/>
          <w:b/>
          <w:color w:val="auto"/>
          <w:sz w:val="28"/>
          <w:szCs w:val="28"/>
        </w:rPr>
        <w:t xml:space="preserve">9. </w:t>
      </w:r>
      <w:r>
        <w:rPr>
          <w:rFonts w:hint="eastAsia" w:eastAsia="宋体"/>
          <w:b/>
          <w:color w:val="auto"/>
          <w:sz w:val="28"/>
          <w:szCs w:val="28"/>
          <w:lang w:val="zh-CN"/>
        </w:rPr>
        <w:t>价格</w:t>
      </w:r>
      <w:bookmarkEnd w:id="431"/>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9.1 </w:t>
      </w:r>
      <w:r>
        <w:rPr>
          <w:rFonts w:hint="eastAsia" w:eastAsia="宋体"/>
          <w:color w:val="auto"/>
          <w:sz w:val="24"/>
          <w:lang w:val="zh-CN"/>
        </w:rPr>
        <w:t>乙方履行合同所必须的所有费用，包括但不限于货物及部件的设计、检测与试验、制造、运输、装卸、保险、单机调试、技术资料、培训、交通、人员、差旅、质量保证期服务费、其他管理费用、所有的检验、测试、调试、验收、试运行费用等均已包括在合同价格中。</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9.2 </w:t>
      </w:r>
      <w:r>
        <w:rPr>
          <w:rFonts w:hint="eastAsia" w:eastAsia="宋体"/>
          <w:color w:val="auto"/>
          <w:sz w:val="24"/>
          <w:lang w:val="zh-CN"/>
        </w:rPr>
        <w:t>本合同价格为固定价格，包括了乙方履行合同全过程产生的所有成本和费用以及乙方应承担的一切税费。</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9.3</w:t>
      </w:r>
      <w:r>
        <w:rPr>
          <w:rFonts w:hint="eastAsia" w:eastAsia="宋体"/>
          <w:color w:val="auto"/>
          <w:sz w:val="24"/>
          <w:lang w:val="zh-CN"/>
        </w:rPr>
        <w:t>检验费用</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9.3.1 </w:t>
      </w:r>
      <w:r>
        <w:rPr>
          <w:rFonts w:hint="eastAsia" w:eastAsia="宋体"/>
          <w:color w:val="auto"/>
          <w:sz w:val="24"/>
          <w:lang w:val="zh-CN"/>
        </w:rPr>
        <w:t>乙方必须负担本条款下属于乙方负责的检验、测试、调试、试运行和验收的所有费用，并负责乙方派往买方组织的检验、测试和验收人员的所有费用。</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9.3.2 </w:t>
      </w:r>
      <w:r>
        <w:rPr>
          <w:rFonts w:hint="eastAsia" w:eastAsia="宋体"/>
          <w:color w:val="auto"/>
          <w:sz w:val="24"/>
          <w:lang w:val="zh-CN"/>
        </w:rPr>
        <w:t>甲方按合同计划参加在乙方工厂所在地检验、测试和验收的费用全部由乙方负责并已包含在合同总价中。</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9.3.3</w:t>
      </w:r>
      <w:r>
        <w:rPr>
          <w:rFonts w:hint="eastAsia" w:eastAsia="宋体"/>
          <w:color w:val="auto"/>
          <w:sz w:val="24"/>
          <w:lang w:val="zh-CN"/>
        </w:rPr>
        <w:t>甲方检验人员已到卖方所在地，测试无法依照合同进行，而引起甲方人员延长逗留时间，所有由此产生的包括甲方人员在内的直接费用及成本由乙方承担。</w:t>
      </w:r>
    </w:p>
    <w:p>
      <w:pPr>
        <w:autoSpaceDE w:val="0"/>
        <w:autoSpaceDN w:val="0"/>
        <w:adjustRightInd w:val="0"/>
        <w:spacing w:line="360" w:lineRule="auto"/>
        <w:ind w:firstLine="480"/>
        <w:jc w:val="left"/>
        <w:rPr>
          <w:rFonts w:eastAsia="宋体"/>
          <w:bCs/>
          <w:iCs/>
          <w:color w:val="auto"/>
          <w:sz w:val="24"/>
          <w:szCs w:val="22"/>
          <w:lang w:val="zh-CN"/>
        </w:rPr>
      </w:pPr>
      <w:bookmarkStart w:id="432" w:name="_Toc30688"/>
      <w:r>
        <w:rPr>
          <w:rFonts w:hint="eastAsia" w:eastAsia="宋体"/>
          <w:bCs/>
          <w:iCs/>
          <w:color w:val="auto"/>
          <w:sz w:val="24"/>
          <w:szCs w:val="22"/>
          <w:lang w:val="zh-CN"/>
        </w:rPr>
        <w:t>10.服务期及</w:t>
      </w:r>
      <w:r>
        <w:rPr>
          <w:rFonts w:hint="eastAsia" w:eastAsia="宋体"/>
          <w:bCs/>
          <w:iCs/>
          <w:color w:val="auto"/>
          <w:sz w:val="24"/>
          <w:szCs w:val="22"/>
        </w:rPr>
        <w:t>服务</w:t>
      </w:r>
      <w:r>
        <w:rPr>
          <w:rFonts w:hint="eastAsia" w:eastAsia="宋体"/>
          <w:bCs/>
          <w:iCs/>
          <w:color w:val="auto"/>
          <w:sz w:val="24"/>
          <w:szCs w:val="22"/>
          <w:lang w:val="zh-CN"/>
        </w:rPr>
        <w:t>地点</w:t>
      </w:r>
      <w:bookmarkEnd w:id="432"/>
    </w:p>
    <w:p>
      <w:pPr>
        <w:autoSpaceDE w:val="0"/>
        <w:autoSpaceDN w:val="0"/>
        <w:adjustRightInd w:val="0"/>
        <w:spacing w:line="360" w:lineRule="auto"/>
        <w:ind w:firstLine="480"/>
        <w:jc w:val="left"/>
        <w:rPr>
          <w:rFonts w:eastAsia="宋体"/>
          <w:bCs/>
          <w:iCs/>
          <w:color w:val="auto"/>
          <w:sz w:val="24"/>
          <w:szCs w:val="22"/>
          <w:lang w:val="zh-CN"/>
        </w:rPr>
      </w:pPr>
      <w:r>
        <w:rPr>
          <w:rFonts w:hint="eastAsia" w:eastAsia="宋体"/>
          <w:bCs/>
          <w:iCs/>
          <w:color w:val="auto"/>
          <w:sz w:val="24"/>
          <w:szCs w:val="22"/>
          <w:lang w:val="zh-CN"/>
        </w:rPr>
        <w:t>项目服务时间、项目服务地点：</w:t>
      </w:r>
    </w:p>
    <w:p>
      <w:pPr>
        <w:autoSpaceDE w:val="0"/>
        <w:autoSpaceDN w:val="0"/>
        <w:adjustRightInd w:val="0"/>
        <w:spacing w:line="360" w:lineRule="auto"/>
        <w:ind w:firstLine="480"/>
        <w:jc w:val="left"/>
        <w:rPr>
          <w:rFonts w:eastAsia="宋体"/>
          <w:color w:val="auto"/>
          <w:sz w:val="24"/>
          <w:lang w:val="zh-CN"/>
        </w:rPr>
      </w:pPr>
      <w:bookmarkStart w:id="433" w:name="_Toc1468"/>
      <w:r>
        <w:rPr>
          <w:rFonts w:hint="eastAsia" w:eastAsia="宋体"/>
          <w:color w:val="auto"/>
          <w:sz w:val="24"/>
          <w:lang w:val="zh-CN"/>
        </w:rPr>
        <w:t>11.检验和验收</w:t>
      </w:r>
      <w:bookmarkEnd w:id="433"/>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11.1</w:t>
      </w:r>
      <w:r>
        <w:rPr>
          <w:rFonts w:hint="eastAsia" w:eastAsia="宋体"/>
          <w:color w:val="auto"/>
          <w:sz w:val="24"/>
          <w:lang w:val="zh-CN"/>
        </w:rPr>
        <w:t>开箱验收</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11.1.1</w:t>
      </w:r>
      <w:r>
        <w:rPr>
          <w:rFonts w:hint="eastAsia" w:eastAsia="宋体"/>
          <w:color w:val="auto"/>
          <w:sz w:val="24"/>
          <w:lang w:val="zh-CN"/>
        </w:rPr>
        <w:t>货物运抵现场后，双方应及时开箱验收，并制作验收记录，以确认与本合同约定的数量、型号等是否一致。</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11.1.2 </w:t>
      </w:r>
      <w:r>
        <w:rPr>
          <w:rFonts w:hint="eastAsia" w:eastAsia="宋体"/>
          <w:color w:val="auto"/>
          <w:sz w:val="24"/>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11.1.3 </w:t>
      </w:r>
      <w:r>
        <w:rPr>
          <w:rFonts w:hint="eastAsia" w:eastAsia="宋体"/>
          <w:color w:val="auto"/>
          <w:sz w:val="24"/>
          <w:lang w:val="zh-CN"/>
        </w:rPr>
        <w:t>开箱验收中如发现货物的数量、规格与合同约定不符，甲方有权拒收货物，乙方应及时按甲方要求免费对拒收货物采取更换或其他必要的补救措施，直至开箱验收合格，方视为乙方完成交货。</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11.2  </w:t>
      </w:r>
      <w:r>
        <w:rPr>
          <w:rFonts w:hint="eastAsia" w:eastAsia="宋体"/>
          <w:color w:val="auto"/>
          <w:sz w:val="24"/>
          <w:lang w:val="zh-CN"/>
        </w:rPr>
        <w:t>检验验收</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11.2.1 </w:t>
      </w:r>
      <w:r>
        <w:rPr>
          <w:rFonts w:hint="eastAsia" w:eastAsia="宋体"/>
          <w:color w:val="auto"/>
          <w:sz w:val="24"/>
          <w:lang w:val="zh-CN"/>
        </w:rPr>
        <w:t>交货完成后，乙方应及时组装、调试、试运行，按照合同专用条款规定的试运行完成后，双方及时组织对货物检验验收。合同双方均须派人参加合同要求双方参加的试验、检验。</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11.2.2 </w:t>
      </w:r>
      <w:r>
        <w:rPr>
          <w:rFonts w:hint="eastAsia" w:eastAsia="宋体"/>
          <w:color w:val="auto"/>
          <w:sz w:val="24"/>
          <w:lang w:val="zh-CN"/>
        </w:rPr>
        <w:t>在具体实施合同规定的检验验收之前，乙方需提前提交相应的测试计划（包括测试程序、测试内容和检验标准、试验时间安排等）供甲方确认。</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11.2.3  </w:t>
      </w:r>
      <w:r>
        <w:rPr>
          <w:rFonts w:hint="eastAsia" w:eastAsia="宋体"/>
          <w:color w:val="auto"/>
          <w:sz w:val="24"/>
          <w:lang w:val="zh-CN"/>
        </w:rPr>
        <w:t>除需甲方确认的试验验收外，乙方还应对所有检验验收测试的结果、步骤、原始数据等作妥善记录。如甲方要求，乙方应提供这些记录给买方。</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11.2.4  </w:t>
      </w:r>
      <w:r>
        <w:rPr>
          <w:rFonts w:hint="eastAsia" w:eastAsia="宋体"/>
          <w:color w:val="auto"/>
          <w:sz w:val="24"/>
          <w:lang w:val="zh-CN"/>
        </w:rPr>
        <w:t>检验测试出现全部或部分未达到本合同所约定的技术指标，甲方有权选择下列任一处理方式：</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a.</w:t>
      </w:r>
      <w:r>
        <w:rPr>
          <w:rFonts w:hint="eastAsia" w:eastAsia="宋体"/>
          <w:color w:val="auto"/>
          <w:sz w:val="24"/>
          <w:lang w:val="zh-CN"/>
        </w:rPr>
        <w:t>重新测试直至合格为止；</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b.</w:t>
      </w:r>
      <w:r>
        <w:rPr>
          <w:rFonts w:hint="eastAsia" w:eastAsia="宋体"/>
          <w:color w:val="auto"/>
          <w:sz w:val="24"/>
          <w:lang w:val="zh-CN"/>
        </w:rPr>
        <w:t>要求乙方对货物进行免费更换，然后重新测试直至合格为止；</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lang w:val="zh-CN"/>
        </w:rPr>
        <w:t>无论选择何种方式，甲方因此而发生的因卖方原因引起的所有费用均由乙方负担。</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11.3  </w:t>
      </w:r>
      <w:r>
        <w:rPr>
          <w:rFonts w:hint="eastAsia" w:eastAsia="宋体"/>
          <w:color w:val="auto"/>
          <w:sz w:val="24"/>
          <w:lang w:val="zh-CN"/>
        </w:rPr>
        <w:t>使用过程检验</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11.3.1</w:t>
      </w:r>
      <w:r>
        <w:rPr>
          <w:rFonts w:hint="eastAsia" w:eastAsia="宋体"/>
          <w:color w:val="auto"/>
          <w:sz w:val="24"/>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11.3.2</w:t>
      </w:r>
      <w:r>
        <w:rPr>
          <w:rFonts w:hint="eastAsia" w:eastAsia="宋体"/>
          <w:color w:val="auto"/>
          <w:sz w:val="24"/>
          <w:lang w:val="zh-CN"/>
        </w:rPr>
        <w:t>如果合同双方对乙方提供的上述试验结果报告的解释有分歧，双方须于出现分歧后</w:t>
      </w:r>
      <w:r>
        <w:rPr>
          <w:rFonts w:hint="eastAsia" w:eastAsia="宋体"/>
          <w:color w:val="auto"/>
          <w:sz w:val="24"/>
        </w:rPr>
        <w:t>10</w:t>
      </w:r>
      <w:r>
        <w:rPr>
          <w:rFonts w:hint="eastAsia" w:eastAsia="宋体"/>
          <w:color w:val="auto"/>
          <w:sz w:val="24"/>
          <w:lang w:val="zh-CN"/>
        </w:rPr>
        <w:t>天内给对方声明，以陈述己方的观点。声明须附有关证据。分歧应通过协商解决。</w:t>
      </w:r>
    </w:p>
    <w:p>
      <w:pPr>
        <w:autoSpaceDE w:val="0"/>
        <w:autoSpaceDN w:val="0"/>
        <w:adjustRightInd w:val="0"/>
        <w:spacing w:line="360" w:lineRule="auto"/>
        <w:ind w:firstLine="562"/>
        <w:jc w:val="left"/>
        <w:rPr>
          <w:rFonts w:eastAsia="宋体"/>
          <w:b/>
          <w:color w:val="auto"/>
          <w:sz w:val="28"/>
          <w:szCs w:val="28"/>
        </w:rPr>
      </w:pPr>
      <w:bookmarkStart w:id="434" w:name="_Toc24354"/>
      <w:r>
        <w:rPr>
          <w:rFonts w:hint="eastAsia" w:eastAsia="宋体"/>
          <w:b/>
          <w:color w:val="auto"/>
          <w:sz w:val="28"/>
          <w:szCs w:val="28"/>
        </w:rPr>
        <w:t>12.</w:t>
      </w:r>
      <w:r>
        <w:rPr>
          <w:rFonts w:hint="eastAsia" w:eastAsia="宋体"/>
          <w:b/>
          <w:color w:val="auto"/>
          <w:sz w:val="28"/>
          <w:szCs w:val="28"/>
          <w:lang w:val="zh-CN"/>
        </w:rPr>
        <w:t>付款条件</w:t>
      </w:r>
      <w:bookmarkEnd w:id="434"/>
    </w:p>
    <w:p>
      <w:pPr>
        <w:autoSpaceDE w:val="0"/>
        <w:autoSpaceDN w:val="0"/>
        <w:adjustRightInd w:val="0"/>
        <w:spacing w:line="360" w:lineRule="auto"/>
        <w:ind w:firstLine="480"/>
        <w:jc w:val="left"/>
        <w:rPr>
          <w:rFonts w:eastAsia="宋体"/>
          <w:color w:val="auto"/>
          <w:sz w:val="24"/>
        </w:rPr>
      </w:pPr>
      <w:r>
        <w:rPr>
          <w:rFonts w:hint="eastAsia" w:eastAsia="宋体"/>
          <w:color w:val="auto"/>
          <w:sz w:val="24"/>
          <w:lang w:val="zh-CN"/>
        </w:rPr>
        <w:t>本合同条款下的付款方法和条件在“青海省政府采购合同书”中具体规定。</w:t>
      </w:r>
    </w:p>
    <w:p>
      <w:pPr>
        <w:autoSpaceDE w:val="0"/>
        <w:autoSpaceDN w:val="0"/>
        <w:adjustRightInd w:val="0"/>
        <w:spacing w:line="360" w:lineRule="auto"/>
        <w:ind w:firstLine="562"/>
        <w:jc w:val="left"/>
        <w:rPr>
          <w:rFonts w:eastAsia="宋体"/>
          <w:b/>
          <w:color w:val="auto"/>
          <w:sz w:val="28"/>
          <w:szCs w:val="28"/>
        </w:rPr>
      </w:pPr>
      <w:bookmarkStart w:id="435" w:name="_Toc20147"/>
      <w:r>
        <w:rPr>
          <w:rFonts w:hint="eastAsia" w:eastAsia="宋体"/>
          <w:b/>
          <w:color w:val="auto"/>
          <w:sz w:val="28"/>
          <w:szCs w:val="28"/>
        </w:rPr>
        <w:t>13.</w:t>
      </w:r>
      <w:r>
        <w:rPr>
          <w:rFonts w:hint="eastAsia" w:eastAsia="宋体"/>
          <w:b/>
          <w:color w:val="auto"/>
          <w:sz w:val="28"/>
          <w:szCs w:val="28"/>
          <w:lang w:val="zh-CN"/>
        </w:rPr>
        <w:t>履约保证金</w:t>
      </w:r>
      <w:bookmarkEnd w:id="435"/>
    </w:p>
    <w:p>
      <w:pPr>
        <w:autoSpaceDE w:val="0"/>
        <w:autoSpaceDN w:val="0"/>
        <w:adjustRightInd w:val="0"/>
        <w:spacing w:line="360" w:lineRule="auto"/>
        <w:ind w:firstLine="562"/>
        <w:jc w:val="left"/>
        <w:rPr>
          <w:rFonts w:eastAsia="宋体"/>
          <w:b/>
          <w:color w:val="auto"/>
          <w:sz w:val="28"/>
          <w:szCs w:val="28"/>
        </w:rPr>
      </w:pPr>
      <w:bookmarkStart w:id="436" w:name="_Toc16037"/>
      <w:r>
        <w:rPr>
          <w:rFonts w:hint="eastAsia" w:eastAsia="宋体"/>
          <w:b/>
          <w:color w:val="auto"/>
          <w:sz w:val="28"/>
          <w:szCs w:val="28"/>
        </w:rPr>
        <w:t>14.</w:t>
      </w:r>
      <w:r>
        <w:rPr>
          <w:rFonts w:hint="eastAsia" w:eastAsia="宋体"/>
          <w:b/>
          <w:color w:val="auto"/>
          <w:sz w:val="28"/>
          <w:szCs w:val="28"/>
          <w:lang w:val="zh-CN"/>
        </w:rPr>
        <w:t>索赔</w:t>
      </w:r>
      <w:bookmarkEnd w:id="436"/>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14.1</w:t>
      </w:r>
      <w:r>
        <w:rPr>
          <w:rFonts w:hint="eastAsia" w:eastAsia="宋体"/>
          <w:color w:val="auto"/>
          <w:sz w:val="24"/>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14.2</w:t>
      </w:r>
      <w:r>
        <w:rPr>
          <w:rFonts w:hint="eastAsia" w:eastAsia="宋体"/>
          <w:color w:val="auto"/>
          <w:sz w:val="24"/>
          <w:lang w:val="zh-CN"/>
        </w:rPr>
        <w:t>在履约保证期和检验期内，乙方对甲方提出的索赔负有责任，乙方应按照甲方同意的下列一种或多种方式解决索赔事宜：</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14.2.1</w:t>
      </w:r>
      <w:r>
        <w:rPr>
          <w:rFonts w:hint="eastAsia" w:eastAsia="宋体"/>
          <w:color w:val="auto"/>
          <w:sz w:val="24"/>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14.2.2</w:t>
      </w:r>
      <w:r>
        <w:rPr>
          <w:rFonts w:hint="eastAsia" w:eastAsia="宋体"/>
          <w:color w:val="auto"/>
          <w:sz w:val="24"/>
          <w:lang w:val="zh-CN"/>
        </w:rPr>
        <w:t>根据货物低劣程度、损坏程度以及甲方所遭受损失的数额，经甲乙双方商定降低货物的价格，或由有资质的中介机构评估，以降低后的价格或评估价格为准。</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14.2.3</w:t>
      </w:r>
      <w:r>
        <w:rPr>
          <w:rFonts w:hint="eastAsia" w:eastAsia="宋体"/>
          <w:color w:val="auto"/>
          <w:sz w:val="24"/>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14.3</w:t>
      </w:r>
      <w:r>
        <w:rPr>
          <w:rFonts w:hint="eastAsia" w:eastAsia="宋体"/>
          <w:color w:val="auto"/>
          <w:sz w:val="24"/>
          <w:lang w:val="zh-CN"/>
        </w:rPr>
        <w:t>乙方收到甲方发出的索赔通知之日起</w:t>
      </w:r>
      <w:r>
        <w:rPr>
          <w:rFonts w:hint="eastAsia" w:eastAsia="宋体"/>
          <w:color w:val="auto"/>
          <w:sz w:val="24"/>
        </w:rPr>
        <w:t>5</w:t>
      </w:r>
      <w:r>
        <w:rPr>
          <w:rFonts w:hint="eastAsia" w:eastAsia="宋体"/>
          <w:color w:val="auto"/>
          <w:sz w:val="24"/>
          <w:lang w:val="zh-CN"/>
        </w:rPr>
        <w:t>个工作日内未作答复的，甲方可从合同款或履约保证金中扣回索赔金额，如金额不足以补偿索赔金额，乙方应补足差额部分。</w:t>
      </w:r>
    </w:p>
    <w:p>
      <w:pPr>
        <w:autoSpaceDE w:val="0"/>
        <w:autoSpaceDN w:val="0"/>
        <w:adjustRightInd w:val="0"/>
        <w:spacing w:line="360" w:lineRule="auto"/>
        <w:ind w:firstLine="562"/>
        <w:jc w:val="left"/>
        <w:rPr>
          <w:rFonts w:eastAsia="宋体"/>
          <w:b/>
          <w:color w:val="auto"/>
          <w:sz w:val="28"/>
          <w:szCs w:val="28"/>
        </w:rPr>
      </w:pPr>
      <w:bookmarkStart w:id="437" w:name="_Toc23824"/>
      <w:r>
        <w:rPr>
          <w:rFonts w:hint="eastAsia" w:eastAsia="宋体"/>
          <w:b/>
          <w:color w:val="auto"/>
          <w:sz w:val="28"/>
          <w:szCs w:val="28"/>
        </w:rPr>
        <w:t>15.</w:t>
      </w:r>
      <w:r>
        <w:rPr>
          <w:rFonts w:hint="eastAsia" w:eastAsia="宋体"/>
          <w:b/>
          <w:color w:val="auto"/>
          <w:sz w:val="28"/>
          <w:szCs w:val="28"/>
          <w:lang w:val="zh-CN"/>
        </w:rPr>
        <w:t>迟延交货</w:t>
      </w:r>
      <w:bookmarkEnd w:id="437"/>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15.1 </w:t>
      </w:r>
      <w:r>
        <w:rPr>
          <w:rFonts w:hint="eastAsia" w:eastAsia="宋体"/>
          <w:color w:val="auto"/>
          <w:sz w:val="24"/>
          <w:lang w:val="zh-CN"/>
        </w:rPr>
        <w:t>乙方应按照合同约定的时间交货和提供服务。</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 xml:space="preserve">15.2 </w:t>
      </w:r>
      <w:r>
        <w:rPr>
          <w:rFonts w:hint="eastAsia" w:eastAsia="宋体"/>
          <w:color w:val="auto"/>
          <w:sz w:val="24"/>
          <w:lang w:val="zh-CN"/>
        </w:rPr>
        <w:t>除不可抗力因素外，乙方迟延交货，甲方有权提出违约损失赔偿或解除合同。</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15.3</w:t>
      </w:r>
      <w:r>
        <w:rPr>
          <w:rFonts w:hint="eastAsia" w:eastAsia="宋体"/>
          <w:color w:val="auto"/>
          <w:sz w:val="24"/>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adjustRightInd w:val="0"/>
        <w:spacing w:line="360" w:lineRule="auto"/>
        <w:ind w:firstLine="562"/>
        <w:jc w:val="left"/>
        <w:rPr>
          <w:rFonts w:eastAsia="宋体"/>
          <w:b/>
          <w:color w:val="auto"/>
          <w:sz w:val="28"/>
          <w:szCs w:val="28"/>
        </w:rPr>
      </w:pPr>
      <w:bookmarkStart w:id="438" w:name="_Toc30841"/>
      <w:r>
        <w:rPr>
          <w:rFonts w:hint="eastAsia" w:eastAsia="宋体"/>
          <w:b/>
          <w:color w:val="auto"/>
          <w:sz w:val="28"/>
          <w:szCs w:val="28"/>
        </w:rPr>
        <w:t>16.</w:t>
      </w:r>
      <w:r>
        <w:rPr>
          <w:rFonts w:hint="eastAsia" w:eastAsia="宋体"/>
          <w:b/>
          <w:color w:val="auto"/>
          <w:sz w:val="28"/>
          <w:szCs w:val="28"/>
          <w:lang w:val="zh-CN"/>
        </w:rPr>
        <w:t>违约赔偿</w:t>
      </w:r>
      <w:bookmarkEnd w:id="438"/>
    </w:p>
    <w:p>
      <w:pPr>
        <w:autoSpaceDE w:val="0"/>
        <w:autoSpaceDN w:val="0"/>
        <w:adjustRightInd w:val="0"/>
        <w:spacing w:line="360" w:lineRule="auto"/>
        <w:ind w:firstLine="480"/>
        <w:jc w:val="left"/>
        <w:rPr>
          <w:rFonts w:eastAsia="宋体"/>
          <w:color w:val="auto"/>
          <w:sz w:val="24"/>
        </w:rPr>
      </w:pPr>
      <w:r>
        <w:rPr>
          <w:rFonts w:hint="eastAsia" w:eastAsia="宋体"/>
          <w:color w:val="auto"/>
          <w:sz w:val="24"/>
          <w:lang w:val="zh-CN"/>
        </w:rPr>
        <w:t>除不可抗力因素外，乙方没有按照合同规定的时间交货和提供服务，甲方可要求乙方支付违约金。违约金每日按合同总价款的千分之五计收。</w:t>
      </w:r>
    </w:p>
    <w:p>
      <w:pPr>
        <w:autoSpaceDE w:val="0"/>
        <w:autoSpaceDN w:val="0"/>
        <w:adjustRightInd w:val="0"/>
        <w:spacing w:line="360" w:lineRule="auto"/>
        <w:ind w:firstLine="562"/>
        <w:jc w:val="left"/>
        <w:rPr>
          <w:rFonts w:eastAsia="宋体"/>
          <w:b/>
          <w:color w:val="auto"/>
          <w:sz w:val="28"/>
          <w:szCs w:val="28"/>
        </w:rPr>
      </w:pPr>
      <w:bookmarkStart w:id="439" w:name="_Toc15853"/>
      <w:r>
        <w:rPr>
          <w:rFonts w:hint="eastAsia" w:eastAsia="宋体"/>
          <w:b/>
          <w:color w:val="auto"/>
          <w:sz w:val="28"/>
          <w:szCs w:val="28"/>
        </w:rPr>
        <w:t>17.</w:t>
      </w:r>
      <w:r>
        <w:rPr>
          <w:rFonts w:hint="eastAsia" w:eastAsia="宋体"/>
          <w:b/>
          <w:color w:val="auto"/>
          <w:sz w:val="28"/>
          <w:szCs w:val="28"/>
          <w:lang w:val="zh-CN"/>
        </w:rPr>
        <w:t>不可抗力</w:t>
      </w:r>
      <w:bookmarkEnd w:id="439"/>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17.1.</w:t>
      </w:r>
      <w:r>
        <w:rPr>
          <w:rFonts w:hint="eastAsia" w:eastAsia="宋体"/>
          <w:color w:val="auto"/>
          <w:sz w:val="24"/>
          <w:lang w:val="zh-CN"/>
        </w:rPr>
        <w:t>双方中任何一方遭遇法律规定的不可抗力，致使合同履行受阻时，履行合同的期限应予延长，延长的期限应相当于不可抗力所影响的时间。</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17.2</w:t>
      </w:r>
      <w:r>
        <w:rPr>
          <w:rFonts w:hint="eastAsia" w:eastAsia="宋体"/>
          <w:color w:val="auto"/>
          <w:sz w:val="24"/>
          <w:lang w:val="zh-CN"/>
        </w:rPr>
        <w:t>受事故影响的一方应在不可抗力的事故发生后以书面形式通知另一方。</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17.3</w:t>
      </w:r>
      <w:r>
        <w:rPr>
          <w:rFonts w:hint="eastAsia" w:eastAsia="宋体"/>
          <w:color w:val="auto"/>
          <w:sz w:val="24"/>
          <w:lang w:val="zh-CN"/>
        </w:rPr>
        <w:t>不可抗力使合同的某些内容有变更必要的，双方应通过协商达成进一步履行合同的协议，因不可抗力致使合同不能履行的，合同终止。</w:t>
      </w:r>
    </w:p>
    <w:p>
      <w:pPr>
        <w:autoSpaceDE w:val="0"/>
        <w:autoSpaceDN w:val="0"/>
        <w:adjustRightInd w:val="0"/>
        <w:spacing w:line="360" w:lineRule="auto"/>
        <w:ind w:firstLine="562"/>
        <w:jc w:val="left"/>
        <w:rPr>
          <w:rFonts w:eastAsia="宋体"/>
          <w:b/>
          <w:color w:val="auto"/>
          <w:sz w:val="28"/>
          <w:szCs w:val="28"/>
        </w:rPr>
      </w:pPr>
      <w:bookmarkStart w:id="440" w:name="_Toc29557"/>
      <w:r>
        <w:rPr>
          <w:rFonts w:hint="eastAsia" w:eastAsia="宋体"/>
          <w:b/>
          <w:color w:val="auto"/>
          <w:sz w:val="28"/>
          <w:szCs w:val="28"/>
        </w:rPr>
        <w:t>18.</w:t>
      </w:r>
      <w:r>
        <w:rPr>
          <w:rFonts w:hint="eastAsia" w:eastAsia="宋体"/>
          <w:b/>
          <w:color w:val="auto"/>
          <w:sz w:val="28"/>
          <w:szCs w:val="28"/>
          <w:lang w:val="zh-CN"/>
        </w:rPr>
        <w:t>税费</w:t>
      </w:r>
      <w:bookmarkEnd w:id="440"/>
    </w:p>
    <w:p>
      <w:pPr>
        <w:autoSpaceDE w:val="0"/>
        <w:autoSpaceDN w:val="0"/>
        <w:adjustRightInd w:val="0"/>
        <w:spacing w:line="360" w:lineRule="auto"/>
        <w:ind w:firstLine="480"/>
        <w:jc w:val="left"/>
        <w:rPr>
          <w:rFonts w:eastAsia="宋体"/>
          <w:color w:val="auto"/>
          <w:sz w:val="24"/>
        </w:rPr>
      </w:pPr>
      <w:r>
        <w:rPr>
          <w:rFonts w:hint="eastAsia" w:eastAsia="宋体"/>
          <w:color w:val="auto"/>
          <w:sz w:val="24"/>
          <w:lang w:val="zh-CN"/>
        </w:rPr>
        <w:t>与本合同有关的一切税费均由乙方承担。</w:t>
      </w:r>
    </w:p>
    <w:p>
      <w:pPr>
        <w:autoSpaceDE w:val="0"/>
        <w:autoSpaceDN w:val="0"/>
        <w:adjustRightInd w:val="0"/>
        <w:spacing w:line="360" w:lineRule="auto"/>
        <w:ind w:firstLine="562"/>
        <w:jc w:val="left"/>
        <w:rPr>
          <w:rFonts w:eastAsia="宋体"/>
          <w:b/>
          <w:color w:val="auto"/>
          <w:sz w:val="28"/>
          <w:szCs w:val="28"/>
        </w:rPr>
      </w:pPr>
      <w:bookmarkStart w:id="441" w:name="_Toc6752"/>
      <w:r>
        <w:rPr>
          <w:rFonts w:hint="eastAsia" w:eastAsia="宋体"/>
          <w:b/>
          <w:color w:val="auto"/>
          <w:sz w:val="28"/>
          <w:szCs w:val="28"/>
        </w:rPr>
        <w:t>19.</w:t>
      </w:r>
      <w:r>
        <w:rPr>
          <w:rFonts w:hint="eastAsia" w:eastAsia="宋体"/>
          <w:b/>
          <w:color w:val="auto"/>
          <w:sz w:val="28"/>
          <w:szCs w:val="28"/>
          <w:lang w:val="zh-CN"/>
        </w:rPr>
        <w:t>合同争议的解决</w:t>
      </w:r>
      <w:bookmarkEnd w:id="441"/>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19.1</w:t>
      </w:r>
      <w:r>
        <w:rPr>
          <w:rFonts w:hint="eastAsia" w:eastAsia="宋体"/>
          <w:color w:val="auto"/>
          <w:sz w:val="24"/>
          <w:lang w:val="zh-CN"/>
        </w:rPr>
        <w:t>甲方和乙方由于本合同的履行而发生任何争议时，双方可先通过协商解决。</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19.2</w:t>
      </w:r>
      <w:r>
        <w:rPr>
          <w:rFonts w:hint="eastAsia" w:eastAsia="宋体"/>
          <w:color w:val="auto"/>
          <w:sz w:val="24"/>
          <w:lang w:val="zh-CN"/>
        </w:rPr>
        <w:t>任何一方不愿通过协商或通过协商仍不能解决争议，则双方中任何一方均应向甲方所在地人民法院起诉。</w:t>
      </w:r>
    </w:p>
    <w:p>
      <w:pPr>
        <w:autoSpaceDE w:val="0"/>
        <w:autoSpaceDN w:val="0"/>
        <w:adjustRightInd w:val="0"/>
        <w:spacing w:line="360" w:lineRule="auto"/>
        <w:ind w:firstLine="562"/>
        <w:jc w:val="left"/>
        <w:rPr>
          <w:rFonts w:eastAsia="宋体"/>
          <w:b/>
          <w:color w:val="auto"/>
          <w:sz w:val="28"/>
          <w:szCs w:val="28"/>
        </w:rPr>
      </w:pPr>
      <w:bookmarkStart w:id="442" w:name="_Toc905"/>
      <w:r>
        <w:rPr>
          <w:rFonts w:hint="eastAsia" w:eastAsia="宋体"/>
          <w:b/>
          <w:color w:val="auto"/>
          <w:sz w:val="28"/>
          <w:szCs w:val="28"/>
        </w:rPr>
        <w:t>20.</w:t>
      </w:r>
      <w:r>
        <w:rPr>
          <w:rFonts w:hint="eastAsia" w:eastAsia="宋体"/>
          <w:b/>
          <w:color w:val="auto"/>
          <w:sz w:val="28"/>
          <w:szCs w:val="28"/>
          <w:lang w:val="zh-CN"/>
        </w:rPr>
        <w:t>违约解除合同</w:t>
      </w:r>
      <w:bookmarkEnd w:id="442"/>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20.1</w:t>
      </w:r>
      <w:r>
        <w:rPr>
          <w:rFonts w:hint="eastAsia" w:eastAsia="宋体"/>
          <w:color w:val="auto"/>
          <w:sz w:val="24"/>
          <w:lang w:val="zh-CN"/>
        </w:rPr>
        <w:t>出现下列情形之一的，视为乙方违约。甲方可向乙方发出书面通知，部分或全部终止合同，同时保留向乙方索赔的权利。</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20.1.1</w:t>
      </w:r>
      <w:r>
        <w:rPr>
          <w:rFonts w:hint="eastAsia" w:eastAsia="宋体"/>
          <w:color w:val="auto"/>
          <w:sz w:val="24"/>
          <w:lang w:val="zh-CN"/>
        </w:rPr>
        <w:t>乙方未能在合同规定的限期或甲方同意延长的限期内，提供全部或部分货物的；</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20.1.2</w:t>
      </w:r>
      <w:r>
        <w:rPr>
          <w:rFonts w:hint="eastAsia" w:eastAsia="宋体"/>
          <w:color w:val="auto"/>
          <w:sz w:val="24"/>
          <w:lang w:val="zh-CN"/>
        </w:rPr>
        <w:t>乙方未能履行合同规定的其它主要义务的；</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20.1.3</w:t>
      </w:r>
      <w:r>
        <w:rPr>
          <w:rFonts w:hint="eastAsia" w:eastAsia="宋体"/>
          <w:color w:val="auto"/>
          <w:sz w:val="24"/>
          <w:lang w:val="zh-CN"/>
        </w:rPr>
        <w:t>乙方在本合同履行过程中有欺诈行为的。</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20.2</w:t>
      </w:r>
      <w:r>
        <w:rPr>
          <w:rFonts w:hint="eastAsia" w:eastAsia="宋体"/>
          <w:color w:val="auto"/>
          <w:sz w:val="24"/>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adjustRightInd w:val="0"/>
        <w:spacing w:line="360" w:lineRule="auto"/>
        <w:ind w:firstLine="562"/>
        <w:jc w:val="left"/>
        <w:rPr>
          <w:rFonts w:eastAsia="宋体"/>
          <w:b/>
          <w:color w:val="auto"/>
          <w:sz w:val="28"/>
          <w:szCs w:val="28"/>
        </w:rPr>
      </w:pPr>
      <w:bookmarkStart w:id="443" w:name="_Toc20739"/>
      <w:r>
        <w:rPr>
          <w:rFonts w:hint="eastAsia" w:eastAsia="宋体"/>
          <w:b/>
          <w:color w:val="auto"/>
          <w:sz w:val="28"/>
          <w:szCs w:val="28"/>
        </w:rPr>
        <w:t>21.</w:t>
      </w:r>
      <w:r>
        <w:rPr>
          <w:rFonts w:hint="eastAsia" w:eastAsia="宋体"/>
          <w:b/>
          <w:color w:val="auto"/>
          <w:sz w:val="28"/>
          <w:szCs w:val="28"/>
          <w:lang w:val="zh-CN"/>
        </w:rPr>
        <w:t>破产终止合同</w:t>
      </w:r>
      <w:bookmarkEnd w:id="443"/>
    </w:p>
    <w:p>
      <w:pPr>
        <w:autoSpaceDE w:val="0"/>
        <w:autoSpaceDN w:val="0"/>
        <w:adjustRightInd w:val="0"/>
        <w:spacing w:line="360" w:lineRule="auto"/>
        <w:ind w:firstLine="480"/>
        <w:jc w:val="left"/>
        <w:rPr>
          <w:rFonts w:eastAsia="宋体"/>
          <w:color w:val="auto"/>
          <w:sz w:val="24"/>
        </w:rPr>
      </w:pPr>
      <w:r>
        <w:rPr>
          <w:rFonts w:hint="eastAsia" w:eastAsia="宋体"/>
          <w:color w:val="auto"/>
          <w:sz w:val="24"/>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adjustRightInd w:val="0"/>
        <w:spacing w:line="360" w:lineRule="auto"/>
        <w:ind w:firstLine="562"/>
        <w:jc w:val="left"/>
        <w:rPr>
          <w:rFonts w:eastAsia="宋体"/>
          <w:b/>
          <w:color w:val="auto"/>
          <w:sz w:val="28"/>
          <w:szCs w:val="28"/>
        </w:rPr>
      </w:pPr>
      <w:bookmarkStart w:id="444" w:name="_Toc9636"/>
      <w:r>
        <w:rPr>
          <w:rFonts w:hint="eastAsia" w:eastAsia="宋体"/>
          <w:b/>
          <w:color w:val="auto"/>
          <w:sz w:val="28"/>
          <w:szCs w:val="28"/>
        </w:rPr>
        <w:t>22.</w:t>
      </w:r>
      <w:r>
        <w:rPr>
          <w:rFonts w:hint="eastAsia" w:eastAsia="宋体"/>
          <w:b/>
          <w:color w:val="auto"/>
          <w:sz w:val="28"/>
          <w:szCs w:val="28"/>
          <w:lang w:val="zh-CN"/>
        </w:rPr>
        <w:t>转让和分包</w:t>
      </w:r>
      <w:bookmarkEnd w:id="444"/>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22.1</w:t>
      </w:r>
      <w:r>
        <w:rPr>
          <w:rFonts w:hint="eastAsia" w:eastAsia="宋体"/>
          <w:color w:val="auto"/>
          <w:sz w:val="24"/>
          <w:lang w:val="zh-CN"/>
        </w:rPr>
        <w:t>政府采购合同不能转让。</w:t>
      </w:r>
    </w:p>
    <w:p>
      <w:pPr>
        <w:autoSpaceDE w:val="0"/>
        <w:autoSpaceDN w:val="0"/>
        <w:adjustRightInd w:val="0"/>
        <w:spacing w:line="360" w:lineRule="auto"/>
        <w:ind w:firstLine="480"/>
        <w:jc w:val="left"/>
        <w:rPr>
          <w:rFonts w:eastAsia="宋体"/>
          <w:color w:val="auto"/>
          <w:sz w:val="24"/>
        </w:rPr>
      </w:pPr>
      <w:r>
        <w:rPr>
          <w:rFonts w:hint="eastAsia" w:eastAsia="宋体"/>
          <w:color w:val="auto"/>
          <w:sz w:val="24"/>
        </w:rPr>
        <w:t>22.2</w:t>
      </w:r>
      <w:r>
        <w:rPr>
          <w:rFonts w:hint="eastAsia" w:eastAsia="宋体"/>
          <w:color w:val="auto"/>
          <w:sz w:val="24"/>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adjustRightInd w:val="0"/>
        <w:spacing w:line="360" w:lineRule="auto"/>
        <w:ind w:firstLine="562"/>
        <w:jc w:val="left"/>
        <w:rPr>
          <w:rFonts w:eastAsia="宋体"/>
          <w:b/>
          <w:color w:val="auto"/>
          <w:sz w:val="28"/>
          <w:szCs w:val="28"/>
        </w:rPr>
      </w:pPr>
      <w:bookmarkStart w:id="445" w:name="_Toc10433"/>
      <w:r>
        <w:rPr>
          <w:rFonts w:hint="eastAsia" w:eastAsia="宋体"/>
          <w:b/>
          <w:color w:val="auto"/>
          <w:sz w:val="28"/>
          <w:szCs w:val="28"/>
        </w:rPr>
        <w:t>23.</w:t>
      </w:r>
      <w:r>
        <w:rPr>
          <w:rFonts w:hint="eastAsia" w:eastAsia="宋体"/>
          <w:b/>
          <w:color w:val="auto"/>
          <w:sz w:val="28"/>
          <w:szCs w:val="28"/>
          <w:lang w:val="zh-CN"/>
        </w:rPr>
        <w:t>合同修改</w:t>
      </w:r>
      <w:bookmarkEnd w:id="445"/>
    </w:p>
    <w:p>
      <w:pPr>
        <w:autoSpaceDE w:val="0"/>
        <w:autoSpaceDN w:val="0"/>
        <w:adjustRightInd w:val="0"/>
        <w:spacing w:line="360" w:lineRule="auto"/>
        <w:ind w:firstLine="480"/>
        <w:jc w:val="left"/>
        <w:rPr>
          <w:rFonts w:eastAsia="宋体"/>
          <w:color w:val="auto"/>
          <w:sz w:val="24"/>
        </w:rPr>
      </w:pPr>
      <w:r>
        <w:rPr>
          <w:rFonts w:hint="eastAsia" w:eastAsia="宋体"/>
          <w:color w:val="auto"/>
          <w:sz w:val="24"/>
          <w:lang w:val="zh-CN"/>
        </w:rPr>
        <w:t>甲方和乙方都不得擅自变更本合同，但合同继续履行将损害国家和社会公共利益的除外。如必须对合同条款进行改动时，当事人双方须共同签署书面文件，做为合同的补充。</w:t>
      </w:r>
    </w:p>
    <w:p>
      <w:pPr>
        <w:autoSpaceDE w:val="0"/>
        <w:autoSpaceDN w:val="0"/>
        <w:adjustRightInd w:val="0"/>
        <w:spacing w:line="360" w:lineRule="auto"/>
        <w:ind w:firstLine="562"/>
        <w:jc w:val="left"/>
        <w:rPr>
          <w:rFonts w:eastAsia="宋体"/>
          <w:b/>
          <w:color w:val="auto"/>
          <w:sz w:val="28"/>
          <w:szCs w:val="28"/>
        </w:rPr>
      </w:pPr>
      <w:bookmarkStart w:id="446" w:name="_Toc13276"/>
      <w:r>
        <w:rPr>
          <w:rFonts w:hint="eastAsia" w:eastAsia="宋体"/>
          <w:b/>
          <w:color w:val="auto"/>
          <w:sz w:val="28"/>
          <w:szCs w:val="28"/>
        </w:rPr>
        <w:t>24.</w:t>
      </w:r>
      <w:r>
        <w:rPr>
          <w:rFonts w:hint="eastAsia" w:eastAsia="宋体"/>
          <w:b/>
          <w:color w:val="auto"/>
          <w:sz w:val="28"/>
          <w:szCs w:val="28"/>
          <w:lang w:val="zh-CN"/>
        </w:rPr>
        <w:t>通知</w:t>
      </w:r>
      <w:bookmarkEnd w:id="446"/>
    </w:p>
    <w:p>
      <w:pPr>
        <w:autoSpaceDE w:val="0"/>
        <w:autoSpaceDN w:val="0"/>
        <w:adjustRightInd w:val="0"/>
        <w:spacing w:line="360" w:lineRule="auto"/>
        <w:ind w:firstLine="480"/>
        <w:jc w:val="left"/>
        <w:rPr>
          <w:rFonts w:eastAsia="宋体"/>
          <w:color w:val="auto"/>
          <w:sz w:val="24"/>
        </w:rPr>
      </w:pPr>
      <w:r>
        <w:rPr>
          <w:rFonts w:hint="eastAsia" w:eastAsia="宋体"/>
          <w:color w:val="auto"/>
          <w:sz w:val="24"/>
          <w:lang w:val="zh-CN"/>
        </w:rPr>
        <w:t>本合同任何一方给另一方的通知，都应以书面形式发送，而另一方也应以书面形式确认并发送到对方明确的地址。</w:t>
      </w:r>
    </w:p>
    <w:p>
      <w:pPr>
        <w:autoSpaceDE w:val="0"/>
        <w:autoSpaceDN w:val="0"/>
        <w:adjustRightInd w:val="0"/>
        <w:spacing w:line="360" w:lineRule="auto"/>
        <w:ind w:firstLine="562"/>
        <w:jc w:val="left"/>
        <w:rPr>
          <w:rFonts w:eastAsia="宋体"/>
          <w:b/>
          <w:color w:val="auto"/>
          <w:sz w:val="28"/>
          <w:szCs w:val="28"/>
        </w:rPr>
      </w:pPr>
      <w:bookmarkStart w:id="447" w:name="_Toc20195"/>
      <w:r>
        <w:rPr>
          <w:rFonts w:hint="eastAsia" w:eastAsia="宋体"/>
          <w:b/>
          <w:color w:val="auto"/>
          <w:sz w:val="28"/>
          <w:szCs w:val="28"/>
        </w:rPr>
        <w:t>25.</w:t>
      </w:r>
      <w:r>
        <w:rPr>
          <w:rFonts w:hint="eastAsia" w:eastAsia="宋体"/>
          <w:b/>
          <w:color w:val="auto"/>
          <w:sz w:val="28"/>
          <w:szCs w:val="28"/>
          <w:lang w:val="zh-CN"/>
        </w:rPr>
        <w:t>计量单位</w:t>
      </w:r>
      <w:bookmarkEnd w:id="447"/>
    </w:p>
    <w:p>
      <w:pPr>
        <w:autoSpaceDE w:val="0"/>
        <w:autoSpaceDN w:val="0"/>
        <w:adjustRightInd w:val="0"/>
        <w:spacing w:line="360" w:lineRule="auto"/>
        <w:ind w:firstLine="480"/>
        <w:jc w:val="left"/>
        <w:rPr>
          <w:rFonts w:eastAsia="宋体"/>
          <w:color w:val="auto"/>
          <w:sz w:val="24"/>
        </w:rPr>
      </w:pPr>
      <w:r>
        <w:rPr>
          <w:rFonts w:hint="eastAsia" w:eastAsia="宋体"/>
          <w:color w:val="auto"/>
          <w:sz w:val="24"/>
          <w:lang w:val="zh-CN"/>
        </w:rPr>
        <w:t>除技术规范中另有规定外</w:t>
      </w:r>
      <w:r>
        <w:rPr>
          <w:rFonts w:hint="eastAsia" w:eastAsia="宋体"/>
          <w:color w:val="auto"/>
          <w:sz w:val="24"/>
        </w:rPr>
        <w:t>,</w:t>
      </w:r>
      <w:r>
        <w:rPr>
          <w:rFonts w:hint="eastAsia" w:eastAsia="宋体"/>
          <w:color w:val="auto"/>
          <w:sz w:val="24"/>
          <w:lang w:val="zh-CN"/>
        </w:rPr>
        <w:t>计量单位均使用国家法定计量单位。</w:t>
      </w:r>
    </w:p>
    <w:p>
      <w:pPr>
        <w:autoSpaceDE w:val="0"/>
        <w:autoSpaceDN w:val="0"/>
        <w:adjustRightInd w:val="0"/>
        <w:spacing w:line="360" w:lineRule="auto"/>
        <w:ind w:firstLine="562"/>
        <w:jc w:val="left"/>
        <w:rPr>
          <w:rFonts w:eastAsia="宋体"/>
          <w:b/>
          <w:color w:val="auto"/>
          <w:sz w:val="28"/>
          <w:szCs w:val="28"/>
        </w:rPr>
      </w:pPr>
      <w:bookmarkStart w:id="448" w:name="_Toc7093"/>
      <w:r>
        <w:rPr>
          <w:rFonts w:hint="eastAsia" w:eastAsia="宋体"/>
          <w:b/>
          <w:color w:val="auto"/>
          <w:sz w:val="28"/>
          <w:szCs w:val="28"/>
        </w:rPr>
        <w:t>26.</w:t>
      </w:r>
      <w:r>
        <w:rPr>
          <w:rFonts w:hint="eastAsia" w:eastAsia="宋体"/>
          <w:b/>
          <w:color w:val="auto"/>
          <w:sz w:val="28"/>
          <w:szCs w:val="28"/>
          <w:lang w:val="zh-CN"/>
        </w:rPr>
        <w:t>适用法律</w:t>
      </w:r>
      <w:bookmarkEnd w:id="448"/>
    </w:p>
    <w:p>
      <w:pPr>
        <w:autoSpaceDE w:val="0"/>
        <w:autoSpaceDN w:val="0"/>
        <w:adjustRightInd w:val="0"/>
        <w:spacing w:line="360" w:lineRule="auto"/>
        <w:ind w:firstLine="480"/>
        <w:jc w:val="left"/>
        <w:rPr>
          <w:rFonts w:eastAsia="宋体"/>
          <w:color w:val="auto"/>
          <w:sz w:val="28"/>
          <w:szCs w:val="28"/>
        </w:rPr>
      </w:pPr>
      <w:r>
        <w:rPr>
          <w:rFonts w:hint="eastAsia" w:eastAsia="宋体"/>
          <w:color w:val="auto"/>
          <w:sz w:val="24"/>
          <w:lang w:val="zh-CN"/>
        </w:rPr>
        <w:t>本合同按照中华人民共和国的相关法律进行解释。</w:t>
      </w:r>
    </w:p>
    <w:p>
      <w:pPr>
        <w:pStyle w:val="18"/>
        <w:spacing w:before="0" w:after="0" w:line="360" w:lineRule="auto"/>
        <w:outlineLvl w:val="0"/>
        <w:rPr>
          <w:rFonts w:ascii="宋体" w:hAnsi="宋体" w:eastAsia="宋体" w:cs="宋体"/>
          <w:color w:val="auto"/>
        </w:rPr>
      </w:pPr>
      <w:bookmarkStart w:id="449" w:name="_Toc495567965"/>
      <w:bookmarkStart w:id="450" w:name="_Toc495666282"/>
      <w:r>
        <w:rPr>
          <w:rFonts w:hint="eastAsia" w:ascii="宋体" w:hAnsi="宋体" w:eastAsia="宋体" w:cs="宋体"/>
          <w:color w:val="auto"/>
        </w:rPr>
        <w:br w:type="page"/>
      </w:r>
      <w:bookmarkEnd w:id="449"/>
      <w:bookmarkEnd w:id="450"/>
      <w:r>
        <w:rPr>
          <w:rFonts w:hint="eastAsia" w:ascii="宋体" w:hAnsi="宋体" w:eastAsia="宋体" w:cs="宋体"/>
          <w:color w:val="auto"/>
          <w:sz w:val="48"/>
        </w:rPr>
        <w:t>第五部分 磋商响应文件格式</w:t>
      </w:r>
      <w:bookmarkEnd w:id="397"/>
      <w:bookmarkEnd w:id="398"/>
      <w:bookmarkEnd w:id="399"/>
      <w:bookmarkEnd w:id="400"/>
      <w:bookmarkEnd w:id="401"/>
      <w:bookmarkEnd w:id="402"/>
      <w:bookmarkEnd w:id="403"/>
    </w:p>
    <w:p>
      <w:pPr>
        <w:spacing w:line="360" w:lineRule="auto"/>
        <w:jc w:val="left"/>
        <w:rPr>
          <w:rFonts w:eastAsia="宋体"/>
          <w:color w:val="auto"/>
          <w:sz w:val="32"/>
        </w:rPr>
      </w:pPr>
    </w:p>
    <w:p>
      <w:pPr>
        <w:widowControl/>
        <w:spacing w:line="360" w:lineRule="auto"/>
        <w:ind w:firstLine="630" w:firstLineChars="224"/>
        <w:jc w:val="left"/>
        <w:rPr>
          <w:rFonts w:eastAsia="宋体"/>
          <w:b/>
          <w:bCs/>
          <w:color w:val="auto"/>
          <w:sz w:val="28"/>
          <w:szCs w:val="28"/>
          <w:lang w:val="zh-CN"/>
        </w:rPr>
      </w:pPr>
      <w:r>
        <w:rPr>
          <w:rFonts w:hint="eastAsia" w:eastAsia="宋体"/>
          <w:b/>
          <w:bCs/>
          <w:color w:val="auto"/>
          <w:sz w:val="28"/>
          <w:szCs w:val="28"/>
          <w:lang w:val="zh-CN"/>
        </w:rPr>
        <w:t>磋商供应商应严格按照本格式要求编制磋商响应文件，胶装成册并编制相应页码，否则其磋商响应文件将不予接受。</w:t>
      </w:r>
    </w:p>
    <w:p>
      <w:pPr>
        <w:pStyle w:val="4"/>
        <w:numPr>
          <w:ilvl w:val="0"/>
          <w:numId w:val="0"/>
        </w:numPr>
        <w:spacing w:line="360" w:lineRule="auto"/>
        <w:ind w:left="709" w:hanging="709"/>
        <w:jc w:val="left"/>
        <w:rPr>
          <w:rFonts w:eastAsia="宋体" w:cs="宋体"/>
          <w:b/>
          <w:color w:val="auto"/>
          <w:sz w:val="32"/>
          <w:lang w:val="zh-CN"/>
        </w:rPr>
      </w:pPr>
      <w:r>
        <w:rPr>
          <w:rFonts w:hint="eastAsia" w:eastAsia="宋体" w:cs="宋体"/>
          <w:color w:val="auto"/>
          <w:szCs w:val="28"/>
          <w:lang w:val="zh-CN"/>
        </w:rPr>
        <w:br w:type="page"/>
      </w:r>
      <w:bookmarkStart w:id="451" w:name="_Toc18335"/>
      <w:bookmarkStart w:id="452" w:name="_Toc12217"/>
      <w:bookmarkStart w:id="453" w:name="_Toc8824"/>
      <w:bookmarkStart w:id="454" w:name="_Toc11587"/>
      <w:bookmarkStart w:id="455" w:name="_Toc20040"/>
      <w:r>
        <w:rPr>
          <w:rFonts w:hint="eastAsia" w:eastAsia="宋体" w:cs="宋体"/>
          <w:b/>
          <w:color w:val="auto"/>
          <w:sz w:val="32"/>
          <w:lang w:val="zh-CN"/>
        </w:rPr>
        <w:t>磋商响应文件封面</w:t>
      </w:r>
      <w:bookmarkEnd w:id="451"/>
      <w:bookmarkEnd w:id="452"/>
      <w:bookmarkEnd w:id="453"/>
      <w:bookmarkEnd w:id="454"/>
      <w:bookmarkEnd w:id="455"/>
    </w:p>
    <w:p>
      <w:pPr>
        <w:spacing w:line="360" w:lineRule="auto"/>
        <w:jc w:val="right"/>
        <w:outlineLvl w:val="2"/>
        <w:rPr>
          <w:rFonts w:eastAsia="宋体"/>
          <w:color w:val="auto"/>
          <w:sz w:val="32"/>
        </w:rPr>
      </w:pPr>
      <w:bookmarkStart w:id="456" w:name="_Toc7367"/>
      <w:r>
        <w:rPr>
          <w:rFonts w:hint="eastAsia" w:eastAsia="宋体"/>
          <w:b/>
          <w:bCs/>
          <w:color w:val="auto"/>
          <w:sz w:val="36"/>
          <w:szCs w:val="36"/>
        </w:rPr>
        <w:t>正本/副本</w:t>
      </w:r>
      <w:bookmarkEnd w:id="456"/>
    </w:p>
    <w:p>
      <w:pPr>
        <w:spacing w:line="360" w:lineRule="auto"/>
        <w:jc w:val="left"/>
        <w:rPr>
          <w:rFonts w:eastAsia="宋体"/>
          <w:color w:val="auto"/>
          <w:sz w:val="32"/>
        </w:rPr>
      </w:pPr>
    </w:p>
    <w:p>
      <w:pPr>
        <w:spacing w:line="360" w:lineRule="auto"/>
        <w:jc w:val="left"/>
        <w:rPr>
          <w:rFonts w:eastAsia="宋体"/>
          <w:color w:val="auto"/>
          <w:sz w:val="32"/>
        </w:rPr>
      </w:pPr>
    </w:p>
    <w:p>
      <w:pPr>
        <w:spacing w:line="360" w:lineRule="auto"/>
        <w:jc w:val="left"/>
        <w:rPr>
          <w:rFonts w:eastAsia="宋体"/>
          <w:b/>
          <w:color w:val="auto"/>
          <w:sz w:val="72"/>
        </w:rPr>
      </w:pPr>
    </w:p>
    <w:p>
      <w:pPr>
        <w:spacing w:line="360" w:lineRule="auto"/>
        <w:jc w:val="center"/>
        <w:outlineLvl w:val="2"/>
        <w:rPr>
          <w:rFonts w:eastAsia="宋体"/>
          <w:b/>
          <w:color w:val="auto"/>
          <w:sz w:val="96"/>
        </w:rPr>
      </w:pPr>
      <w:bookmarkStart w:id="457" w:name="_Toc10807"/>
      <w:r>
        <w:rPr>
          <w:rFonts w:hint="eastAsia" w:eastAsia="宋体"/>
          <w:b/>
          <w:color w:val="auto"/>
          <w:sz w:val="72"/>
        </w:rPr>
        <w:t>青海省政府采购项目</w:t>
      </w:r>
      <w:bookmarkEnd w:id="457"/>
    </w:p>
    <w:p>
      <w:pPr>
        <w:spacing w:line="360" w:lineRule="auto"/>
        <w:jc w:val="center"/>
        <w:rPr>
          <w:rFonts w:eastAsia="宋体"/>
          <w:b/>
          <w:color w:val="auto"/>
          <w:sz w:val="48"/>
        </w:rPr>
      </w:pPr>
    </w:p>
    <w:p>
      <w:pPr>
        <w:spacing w:line="360" w:lineRule="auto"/>
        <w:jc w:val="center"/>
        <w:outlineLvl w:val="2"/>
        <w:rPr>
          <w:rFonts w:eastAsia="宋体"/>
          <w:b/>
          <w:color w:val="auto"/>
          <w:sz w:val="52"/>
        </w:rPr>
      </w:pPr>
      <w:bookmarkStart w:id="458" w:name="_Toc23393"/>
      <w:r>
        <w:rPr>
          <w:rFonts w:hint="eastAsia" w:eastAsia="宋体"/>
          <w:b/>
          <w:color w:val="auto"/>
          <w:sz w:val="52"/>
        </w:rPr>
        <w:t>磋商响应文件</w:t>
      </w:r>
      <w:bookmarkEnd w:id="458"/>
    </w:p>
    <w:p>
      <w:pPr>
        <w:pStyle w:val="9"/>
        <w:jc w:val="left"/>
        <w:rPr>
          <w:b/>
          <w:color w:val="auto"/>
          <w:sz w:val="52"/>
        </w:rPr>
      </w:pPr>
    </w:p>
    <w:p>
      <w:pPr>
        <w:pStyle w:val="11"/>
        <w:rPr>
          <w:color w:val="auto"/>
        </w:rPr>
      </w:pPr>
    </w:p>
    <w:p>
      <w:pPr>
        <w:adjustRightInd w:val="0"/>
        <w:spacing w:line="360" w:lineRule="auto"/>
        <w:ind w:firstLine="643" w:firstLineChars="200"/>
        <w:jc w:val="left"/>
        <w:textAlignment w:val="baseline"/>
        <w:outlineLvl w:val="1"/>
        <w:rPr>
          <w:rFonts w:eastAsia="宋体"/>
          <w:b/>
          <w:bCs/>
          <w:color w:val="auto"/>
          <w:sz w:val="32"/>
          <w:szCs w:val="32"/>
          <w:u w:val="single"/>
        </w:rPr>
      </w:pPr>
      <w:bookmarkStart w:id="459" w:name="_Toc13091"/>
      <w:bookmarkStart w:id="460" w:name="_Toc9035"/>
      <w:r>
        <w:rPr>
          <w:rFonts w:hint="eastAsia" w:eastAsia="宋体"/>
          <w:b/>
          <w:bCs/>
          <w:color w:val="auto"/>
          <w:sz w:val="32"/>
          <w:szCs w:val="32"/>
        </w:rPr>
        <w:t>采购项目编号</w:t>
      </w:r>
      <w:r>
        <w:rPr>
          <w:rFonts w:hint="eastAsia" w:eastAsia="宋体"/>
          <w:color w:val="auto"/>
          <w:sz w:val="32"/>
          <w:szCs w:val="32"/>
        </w:rPr>
        <w:t>：</w:t>
      </w:r>
      <w:bookmarkEnd w:id="459"/>
      <w:bookmarkEnd w:id="460"/>
    </w:p>
    <w:p>
      <w:pPr>
        <w:adjustRightInd w:val="0"/>
        <w:spacing w:line="360" w:lineRule="auto"/>
        <w:ind w:firstLine="660"/>
        <w:jc w:val="left"/>
        <w:textAlignment w:val="baseline"/>
        <w:outlineLvl w:val="1"/>
        <w:rPr>
          <w:rFonts w:eastAsia="宋体"/>
          <w:b/>
          <w:bCs/>
          <w:color w:val="auto"/>
          <w:sz w:val="32"/>
          <w:szCs w:val="32"/>
          <w:u w:val="single"/>
        </w:rPr>
      </w:pPr>
      <w:bookmarkStart w:id="461" w:name="_Toc17161"/>
      <w:bookmarkStart w:id="462" w:name="_Toc14019"/>
      <w:bookmarkStart w:id="463" w:name="_Toc2036"/>
      <w:r>
        <w:rPr>
          <w:rFonts w:hint="eastAsia" w:eastAsia="宋体"/>
          <w:b/>
          <w:bCs/>
          <w:color w:val="auto"/>
          <w:sz w:val="32"/>
          <w:szCs w:val="32"/>
        </w:rPr>
        <w:t>采购项目名称：</w:t>
      </w:r>
      <w:bookmarkEnd w:id="461"/>
      <w:bookmarkEnd w:id="462"/>
      <w:bookmarkEnd w:id="463"/>
    </w:p>
    <w:p>
      <w:pPr>
        <w:adjustRightInd w:val="0"/>
        <w:spacing w:line="360" w:lineRule="auto"/>
        <w:ind w:firstLine="643" w:firstLineChars="200"/>
        <w:jc w:val="left"/>
        <w:textAlignment w:val="baseline"/>
        <w:outlineLvl w:val="1"/>
        <w:rPr>
          <w:rFonts w:eastAsia="宋体"/>
          <w:b/>
          <w:bCs/>
          <w:color w:val="auto"/>
          <w:sz w:val="32"/>
          <w:szCs w:val="32"/>
          <w:u w:val="single"/>
        </w:rPr>
      </w:pPr>
      <w:bookmarkStart w:id="464" w:name="_Toc30423"/>
      <w:bookmarkStart w:id="465" w:name="_Toc14342"/>
      <w:bookmarkStart w:id="466" w:name="_Toc773"/>
      <w:r>
        <w:rPr>
          <w:rFonts w:hint="eastAsia" w:eastAsia="宋体"/>
          <w:b/>
          <w:bCs/>
          <w:color w:val="auto"/>
          <w:sz w:val="32"/>
          <w:szCs w:val="32"/>
        </w:rPr>
        <w:t>磋商供应商</w:t>
      </w:r>
      <w:r>
        <w:rPr>
          <w:rFonts w:hint="eastAsia" w:eastAsia="宋体"/>
          <w:b/>
          <w:color w:val="auto"/>
          <w:sz w:val="32"/>
          <w:szCs w:val="32"/>
        </w:rPr>
        <w:t>：</w:t>
      </w:r>
      <w:r>
        <w:rPr>
          <w:rFonts w:hint="eastAsia" w:eastAsia="宋体"/>
          <w:b/>
          <w:color w:val="auto"/>
          <w:sz w:val="32"/>
          <w:szCs w:val="32"/>
          <w:u w:val="single"/>
        </w:rPr>
        <w:t xml:space="preserve">                        （公章）</w:t>
      </w:r>
      <w:bookmarkEnd w:id="464"/>
      <w:bookmarkEnd w:id="465"/>
      <w:bookmarkEnd w:id="466"/>
    </w:p>
    <w:p>
      <w:pPr>
        <w:adjustRightInd w:val="0"/>
        <w:spacing w:line="360" w:lineRule="auto"/>
        <w:ind w:firstLine="643" w:firstLineChars="200"/>
        <w:jc w:val="left"/>
        <w:textAlignment w:val="baseline"/>
        <w:outlineLvl w:val="1"/>
        <w:rPr>
          <w:rFonts w:eastAsia="宋体"/>
          <w:b/>
          <w:color w:val="auto"/>
          <w:sz w:val="32"/>
          <w:u w:val="single"/>
        </w:rPr>
      </w:pPr>
      <w:bookmarkStart w:id="467" w:name="_Toc11942"/>
      <w:bookmarkStart w:id="468" w:name="_Toc30730"/>
      <w:bookmarkStart w:id="469" w:name="_Toc5242"/>
      <w:r>
        <w:rPr>
          <w:rFonts w:hint="eastAsia" w:eastAsia="宋体"/>
          <w:b/>
          <w:color w:val="auto"/>
          <w:sz w:val="32"/>
        </w:rPr>
        <w:t>法定代表人：</w:t>
      </w:r>
      <w:r>
        <w:rPr>
          <w:rFonts w:hint="eastAsia" w:eastAsia="宋体"/>
          <w:b/>
          <w:color w:val="auto"/>
          <w:sz w:val="32"/>
          <w:u w:val="single"/>
        </w:rPr>
        <w:t xml:space="preserve">            （签字或加盖法人章）</w:t>
      </w:r>
      <w:bookmarkEnd w:id="467"/>
      <w:bookmarkEnd w:id="468"/>
      <w:bookmarkEnd w:id="469"/>
    </w:p>
    <w:p>
      <w:pPr>
        <w:adjustRightInd w:val="0"/>
        <w:spacing w:line="360" w:lineRule="auto"/>
        <w:ind w:firstLine="643" w:firstLineChars="200"/>
        <w:jc w:val="left"/>
        <w:textAlignment w:val="baseline"/>
        <w:rPr>
          <w:rFonts w:eastAsia="宋体"/>
          <w:b/>
          <w:color w:val="auto"/>
          <w:sz w:val="32"/>
          <w:u w:val="single"/>
        </w:rPr>
      </w:pPr>
    </w:p>
    <w:p>
      <w:pPr>
        <w:spacing w:line="360" w:lineRule="auto"/>
        <w:ind w:firstLine="645"/>
        <w:jc w:val="center"/>
        <w:rPr>
          <w:rFonts w:eastAsia="宋体"/>
          <w:color w:val="auto"/>
          <w:sz w:val="32"/>
        </w:rPr>
      </w:pPr>
      <w:r>
        <w:rPr>
          <w:rFonts w:hint="eastAsia" w:eastAsia="宋体"/>
          <w:b/>
          <w:bCs/>
          <w:color w:val="auto"/>
          <w:sz w:val="32"/>
        </w:rPr>
        <w:t>年   月  日</w:t>
      </w:r>
      <w:bookmarkStart w:id="470" w:name="_Toc444715735"/>
    </w:p>
    <w:p>
      <w:pPr>
        <w:pStyle w:val="4"/>
        <w:numPr>
          <w:ilvl w:val="0"/>
          <w:numId w:val="0"/>
        </w:numPr>
        <w:spacing w:line="360" w:lineRule="auto"/>
        <w:ind w:left="709" w:hanging="709"/>
        <w:jc w:val="left"/>
        <w:rPr>
          <w:rFonts w:eastAsia="宋体" w:cs="宋体"/>
          <w:b/>
          <w:color w:val="auto"/>
          <w:sz w:val="32"/>
          <w:lang w:val="zh-CN"/>
        </w:rPr>
      </w:pPr>
      <w:r>
        <w:rPr>
          <w:rFonts w:hint="eastAsia" w:eastAsia="宋体" w:cs="宋体"/>
          <w:color w:val="auto"/>
        </w:rPr>
        <w:br w:type="page"/>
      </w:r>
      <w:bookmarkStart w:id="471" w:name="_Toc4920"/>
      <w:bookmarkStart w:id="472" w:name="_Toc24672"/>
      <w:bookmarkStart w:id="473" w:name="_Toc18400"/>
      <w:bookmarkStart w:id="474" w:name="_Toc8432"/>
      <w:bookmarkStart w:id="475" w:name="_Toc19090"/>
      <w:r>
        <w:rPr>
          <w:rFonts w:hint="eastAsia" w:eastAsia="宋体" w:cs="宋体"/>
          <w:b/>
          <w:color w:val="auto"/>
          <w:sz w:val="32"/>
          <w:lang w:val="zh-CN"/>
        </w:rPr>
        <w:t>磋商响应文件目录</w:t>
      </w:r>
      <w:bookmarkEnd w:id="470"/>
      <w:bookmarkEnd w:id="471"/>
      <w:bookmarkEnd w:id="472"/>
      <w:bookmarkEnd w:id="473"/>
      <w:bookmarkEnd w:id="474"/>
      <w:bookmarkEnd w:id="475"/>
    </w:p>
    <w:p>
      <w:pPr>
        <w:spacing w:line="360" w:lineRule="auto"/>
        <w:jc w:val="left"/>
        <w:rPr>
          <w:rFonts w:eastAsia="宋体"/>
          <w:color w:val="auto"/>
          <w:sz w:val="24"/>
          <w:szCs w:val="24"/>
          <w:lang w:val="zh-CN"/>
        </w:rPr>
      </w:pPr>
      <w:r>
        <w:fldChar w:fldCharType="begin"/>
      </w:r>
      <w:r>
        <w:instrText xml:space="preserve"> HYPERLINK \l "_Toc24100" </w:instrText>
      </w:r>
      <w:r>
        <w:fldChar w:fldCharType="separate"/>
      </w:r>
      <w:r>
        <w:rPr>
          <w:rFonts w:hint="eastAsia" w:eastAsia="宋体"/>
          <w:color w:val="auto"/>
          <w:sz w:val="24"/>
          <w:szCs w:val="24"/>
          <w:lang w:val="zh-CN"/>
        </w:rPr>
        <w:t>1、磋商函</w:t>
      </w:r>
      <w:r>
        <w:rPr>
          <w:rFonts w:hint="eastAsia" w:eastAsia="宋体"/>
          <w:color w:val="auto"/>
          <w:sz w:val="24"/>
          <w:szCs w:val="24"/>
          <w:lang w:val="zh-CN"/>
        </w:rPr>
        <w:fldChar w:fldCharType="end"/>
      </w:r>
      <w:r>
        <w:rPr>
          <w:rFonts w:hint="eastAsia"/>
          <w:color w:val="auto"/>
          <w:sz w:val="24"/>
          <w:szCs w:val="24"/>
        </w:rPr>
        <w:tab/>
      </w:r>
      <w:r>
        <w:rPr>
          <w:rFonts w:hint="eastAsia" w:eastAsia="宋体"/>
          <w:color w:val="auto"/>
          <w:sz w:val="24"/>
          <w:szCs w:val="24"/>
        </w:rPr>
        <w:t>..................................................</w:t>
      </w:r>
      <w:r>
        <w:rPr>
          <w:rFonts w:hint="eastAsia"/>
          <w:color w:val="auto"/>
          <w:sz w:val="24"/>
          <w:szCs w:val="24"/>
          <w:lang w:val="zh-CN"/>
        </w:rPr>
        <w:t>所在页码</w:t>
      </w:r>
    </w:p>
    <w:p>
      <w:pPr>
        <w:spacing w:line="360" w:lineRule="auto"/>
        <w:jc w:val="left"/>
        <w:rPr>
          <w:rFonts w:eastAsia="宋体"/>
          <w:color w:val="auto"/>
          <w:sz w:val="24"/>
          <w:szCs w:val="24"/>
          <w:lang w:val="zh-CN"/>
        </w:rPr>
      </w:pPr>
      <w:r>
        <w:fldChar w:fldCharType="begin"/>
      </w:r>
      <w:r>
        <w:instrText xml:space="preserve"> HYPERLINK \l "_Toc15138" </w:instrText>
      </w:r>
      <w:r>
        <w:fldChar w:fldCharType="separate"/>
      </w:r>
      <w:r>
        <w:rPr>
          <w:rFonts w:hint="eastAsia" w:eastAsia="宋体"/>
          <w:color w:val="auto"/>
          <w:sz w:val="24"/>
          <w:szCs w:val="24"/>
          <w:lang w:val="zh-CN"/>
        </w:rPr>
        <w:t>2、法定代表人证明书</w:t>
      </w:r>
      <w:r>
        <w:rPr>
          <w:rFonts w:hint="eastAsia" w:eastAsia="宋体"/>
          <w:color w:val="auto"/>
          <w:sz w:val="24"/>
          <w:szCs w:val="24"/>
          <w:lang w:val="zh-CN"/>
        </w:rPr>
        <w:fldChar w:fldCharType="end"/>
      </w:r>
      <w:r>
        <w:rPr>
          <w:rFonts w:hint="eastAsia" w:eastAsia="宋体"/>
          <w:color w:val="auto"/>
          <w:sz w:val="24"/>
          <w:szCs w:val="24"/>
        </w:rPr>
        <w:t>.........................................</w:t>
      </w:r>
      <w:r>
        <w:rPr>
          <w:rFonts w:hint="eastAsia"/>
          <w:color w:val="auto"/>
          <w:sz w:val="24"/>
          <w:szCs w:val="24"/>
          <w:lang w:val="zh-CN"/>
        </w:rPr>
        <w:t>所在页码</w:t>
      </w:r>
    </w:p>
    <w:p>
      <w:pPr>
        <w:spacing w:line="360" w:lineRule="auto"/>
        <w:jc w:val="left"/>
        <w:rPr>
          <w:rFonts w:eastAsia="宋体"/>
          <w:color w:val="auto"/>
          <w:sz w:val="24"/>
          <w:szCs w:val="24"/>
          <w:lang w:val="zh-CN"/>
        </w:rPr>
      </w:pPr>
      <w:r>
        <w:fldChar w:fldCharType="begin"/>
      </w:r>
      <w:r>
        <w:instrText xml:space="preserve"> HYPERLINK \l "_Toc27402" </w:instrText>
      </w:r>
      <w:r>
        <w:fldChar w:fldCharType="separate"/>
      </w:r>
      <w:r>
        <w:rPr>
          <w:rFonts w:hint="eastAsia" w:eastAsia="宋体"/>
          <w:color w:val="auto"/>
          <w:sz w:val="24"/>
          <w:szCs w:val="24"/>
          <w:lang w:val="zh-CN"/>
        </w:rPr>
        <w:t>3、法定代表人授权书</w:t>
      </w:r>
      <w:r>
        <w:rPr>
          <w:rFonts w:hint="eastAsia" w:eastAsia="宋体"/>
          <w:color w:val="auto"/>
          <w:sz w:val="24"/>
          <w:szCs w:val="24"/>
          <w:lang w:val="zh-CN"/>
        </w:rPr>
        <w:fldChar w:fldCharType="end"/>
      </w:r>
      <w:r>
        <w:rPr>
          <w:rFonts w:hint="eastAsia" w:eastAsia="宋体"/>
          <w:color w:val="auto"/>
          <w:sz w:val="24"/>
          <w:szCs w:val="24"/>
        </w:rPr>
        <w:t>.........................................</w:t>
      </w:r>
      <w:r>
        <w:rPr>
          <w:rFonts w:hint="eastAsia"/>
          <w:color w:val="auto"/>
          <w:sz w:val="24"/>
          <w:szCs w:val="24"/>
          <w:lang w:val="zh-CN"/>
        </w:rPr>
        <w:t>所在页码</w:t>
      </w:r>
    </w:p>
    <w:p>
      <w:pPr>
        <w:spacing w:line="360" w:lineRule="auto"/>
        <w:jc w:val="left"/>
        <w:rPr>
          <w:rFonts w:eastAsia="宋体"/>
          <w:color w:val="auto"/>
          <w:sz w:val="24"/>
          <w:szCs w:val="24"/>
          <w:lang w:val="zh-CN"/>
        </w:rPr>
      </w:pPr>
      <w:r>
        <w:fldChar w:fldCharType="begin"/>
      </w:r>
      <w:r>
        <w:instrText xml:space="preserve"> HYPERLINK \l "_Toc14487" </w:instrText>
      </w:r>
      <w:r>
        <w:fldChar w:fldCharType="separate"/>
      </w:r>
      <w:r>
        <w:rPr>
          <w:rFonts w:hint="eastAsia" w:eastAsia="宋体"/>
          <w:color w:val="auto"/>
          <w:sz w:val="24"/>
          <w:szCs w:val="24"/>
          <w:lang w:val="zh-CN"/>
        </w:rPr>
        <w:t>4、磋商供应商承诺书</w:t>
      </w:r>
      <w:r>
        <w:rPr>
          <w:rFonts w:hint="eastAsia" w:eastAsia="宋体"/>
          <w:color w:val="auto"/>
          <w:sz w:val="24"/>
          <w:szCs w:val="24"/>
          <w:lang w:val="zh-CN"/>
        </w:rPr>
        <w:fldChar w:fldCharType="end"/>
      </w:r>
      <w:r>
        <w:rPr>
          <w:rFonts w:hint="eastAsia" w:eastAsia="宋体"/>
          <w:color w:val="auto"/>
          <w:sz w:val="24"/>
          <w:szCs w:val="24"/>
        </w:rPr>
        <w:t>.........................................</w:t>
      </w:r>
      <w:r>
        <w:rPr>
          <w:rFonts w:hint="eastAsia"/>
          <w:color w:val="auto"/>
          <w:sz w:val="24"/>
          <w:szCs w:val="24"/>
          <w:lang w:val="zh-CN"/>
        </w:rPr>
        <w:t>所在页码</w:t>
      </w:r>
    </w:p>
    <w:p>
      <w:pPr>
        <w:spacing w:line="360" w:lineRule="auto"/>
        <w:jc w:val="left"/>
        <w:rPr>
          <w:rFonts w:eastAsia="宋体"/>
          <w:color w:val="auto"/>
          <w:sz w:val="24"/>
          <w:szCs w:val="24"/>
          <w:lang w:val="zh-CN"/>
        </w:rPr>
      </w:pPr>
      <w:r>
        <w:fldChar w:fldCharType="begin"/>
      </w:r>
      <w:r>
        <w:instrText xml:space="preserve"> HYPERLINK \l "_Toc25171" </w:instrText>
      </w:r>
      <w:r>
        <w:fldChar w:fldCharType="separate"/>
      </w:r>
      <w:r>
        <w:rPr>
          <w:rFonts w:hint="eastAsia" w:eastAsia="宋体"/>
          <w:color w:val="auto"/>
          <w:sz w:val="24"/>
          <w:szCs w:val="24"/>
          <w:lang w:val="zh-CN"/>
        </w:rPr>
        <w:t>5、供应商诚信承诺书</w:t>
      </w:r>
      <w:r>
        <w:rPr>
          <w:rFonts w:hint="eastAsia" w:eastAsia="宋体"/>
          <w:color w:val="auto"/>
          <w:sz w:val="24"/>
          <w:szCs w:val="24"/>
          <w:lang w:val="zh-CN"/>
        </w:rPr>
        <w:fldChar w:fldCharType="end"/>
      </w:r>
      <w:r>
        <w:rPr>
          <w:rFonts w:hint="eastAsia" w:eastAsia="宋体"/>
          <w:color w:val="auto"/>
          <w:sz w:val="24"/>
          <w:szCs w:val="24"/>
        </w:rPr>
        <w:t>.........................................</w:t>
      </w:r>
      <w:r>
        <w:rPr>
          <w:rFonts w:hint="eastAsia"/>
          <w:color w:val="auto"/>
          <w:sz w:val="24"/>
          <w:szCs w:val="24"/>
          <w:lang w:val="zh-CN"/>
        </w:rPr>
        <w:t>所在页码</w:t>
      </w:r>
    </w:p>
    <w:p>
      <w:pPr>
        <w:spacing w:line="360" w:lineRule="auto"/>
        <w:jc w:val="left"/>
        <w:rPr>
          <w:rFonts w:eastAsia="宋体"/>
          <w:color w:val="auto"/>
          <w:sz w:val="24"/>
          <w:szCs w:val="24"/>
          <w:lang w:val="zh-CN"/>
        </w:rPr>
      </w:pPr>
      <w:r>
        <w:fldChar w:fldCharType="begin"/>
      </w:r>
      <w:r>
        <w:instrText xml:space="preserve"> HYPERLINK \l "_Toc28522" </w:instrText>
      </w:r>
      <w:r>
        <w:fldChar w:fldCharType="separate"/>
      </w:r>
      <w:r>
        <w:rPr>
          <w:rFonts w:hint="eastAsia" w:eastAsia="宋体"/>
          <w:color w:val="auto"/>
          <w:sz w:val="24"/>
          <w:szCs w:val="24"/>
          <w:lang w:val="zh-CN"/>
        </w:rPr>
        <w:t>6、资格证明材料</w:t>
      </w:r>
      <w:r>
        <w:rPr>
          <w:rFonts w:hint="eastAsia" w:eastAsia="宋体"/>
          <w:color w:val="auto"/>
          <w:sz w:val="24"/>
          <w:szCs w:val="24"/>
          <w:lang w:val="zh-CN"/>
        </w:rPr>
        <w:fldChar w:fldCharType="end"/>
      </w:r>
      <w:r>
        <w:rPr>
          <w:rFonts w:hint="eastAsia" w:eastAsia="宋体"/>
          <w:color w:val="auto"/>
          <w:sz w:val="24"/>
          <w:szCs w:val="24"/>
        </w:rPr>
        <w:t>.............................................</w:t>
      </w:r>
      <w:r>
        <w:rPr>
          <w:rFonts w:hint="eastAsia"/>
          <w:color w:val="auto"/>
          <w:sz w:val="24"/>
          <w:szCs w:val="24"/>
          <w:lang w:val="zh-CN"/>
        </w:rPr>
        <w:t>所在页码</w:t>
      </w:r>
    </w:p>
    <w:p>
      <w:pPr>
        <w:spacing w:line="360" w:lineRule="auto"/>
        <w:jc w:val="left"/>
        <w:rPr>
          <w:rFonts w:eastAsia="宋体"/>
          <w:color w:val="auto"/>
          <w:sz w:val="24"/>
          <w:szCs w:val="24"/>
          <w:lang w:val="zh-CN"/>
        </w:rPr>
      </w:pPr>
      <w:r>
        <w:fldChar w:fldCharType="begin"/>
      </w:r>
      <w:r>
        <w:instrText xml:space="preserve"> HYPERLINK \l "_Toc9458" </w:instrText>
      </w:r>
      <w:r>
        <w:fldChar w:fldCharType="separate"/>
      </w:r>
      <w:r>
        <w:rPr>
          <w:rFonts w:hint="eastAsia" w:eastAsia="宋体"/>
          <w:color w:val="auto"/>
          <w:sz w:val="24"/>
          <w:szCs w:val="24"/>
          <w:lang w:val="zh-CN"/>
        </w:rPr>
        <w:t>7、财务状况、缴纳税收和社会保障资金证明</w:t>
      </w:r>
      <w:r>
        <w:rPr>
          <w:rFonts w:hint="eastAsia" w:eastAsia="宋体"/>
          <w:color w:val="auto"/>
          <w:sz w:val="24"/>
          <w:szCs w:val="24"/>
          <w:lang w:val="zh-CN"/>
        </w:rPr>
        <w:fldChar w:fldCharType="end"/>
      </w:r>
      <w:r>
        <w:rPr>
          <w:rFonts w:hint="eastAsia" w:eastAsia="宋体"/>
          <w:color w:val="auto"/>
          <w:sz w:val="24"/>
          <w:szCs w:val="24"/>
        </w:rPr>
        <w:t>.....................</w:t>
      </w:r>
      <w:r>
        <w:rPr>
          <w:rFonts w:hint="eastAsia"/>
          <w:color w:val="auto"/>
          <w:sz w:val="24"/>
          <w:szCs w:val="24"/>
          <w:lang w:val="zh-CN"/>
        </w:rPr>
        <w:t>所在页码</w:t>
      </w:r>
    </w:p>
    <w:p>
      <w:pPr>
        <w:spacing w:line="360" w:lineRule="auto"/>
        <w:jc w:val="left"/>
        <w:rPr>
          <w:rFonts w:eastAsia="宋体"/>
          <w:color w:val="auto"/>
          <w:sz w:val="24"/>
          <w:szCs w:val="24"/>
          <w:lang w:val="zh-CN"/>
        </w:rPr>
      </w:pPr>
      <w:r>
        <w:rPr>
          <w:rFonts w:hint="eastAsia" w:eastAsia="宋体"/>
          <w:color w:val="auto"/>
          <w:sz w:val="24"/>
          <w:szCs w:val="24"/>
          <w:lang w:val="zh-CN"/>
        </w:rPr>
        <w:fldChar w:fldCharType="begin"/>
      </w:r>
      <w:r>
        <w:rPr>
          <w:rFonts w:hint="eastAsia" w:eastAsia="宋体"/>
          <w:color w:val="auto"/>
          <w:sz w:val="24"/>
          <w:szCs w:val="24"/>
          <w:lang w:val="zh-CN"/>
        </w:rPr>
        <w:instrText xml:space="preserve"> HYPERLINK \l _Toc15071 </w:instrText>
      </w:r>
      <w:r>
        <w:rPr>
          <w:rFonts w:hint="eastAsia" w:eastAsia="宋体"/>
          <w:color w:val="auto"/>
          <w:sz w:val="24"/>
          <w:szCs w:val="24"/>
          <w:lang w:val="zh-CN"/>
        </w:rPr>
        <w:fldChar w:fldCharType="separate"/>
      </w:r>
      <w:r>
        <w:rPr>
          <w:rFonts w:hint="eastAsia" w:eastAsia="宋体"/>
          <w:color w:val="auto"/>
          <w:sz w:val="24"/>
          <w:szCs w:val="24"/>
          <w:lang w:val="zh-CN"/>
        </w:rPr>
        <w:t>8、具备履行合同所必须的设备和专业技术能力证明</w:t>
      </w:r>
      <w:r>
        <w:rPr>
          <w:rFonts w:hint="eastAsia" w:eastAsia="宋体"/>
          <w:color w:val="auto"/>
          <w:sz w:val="24"/>
          <w:szCs w:val="24"/>
        </w:rPr>
        <w:t>...............</w:t>
      </w:r>
      <w:r>
        <w:rPr>
          <w:rFonts w:hint="eastAsia"/>
          <w:color w:val="auto"/>
          <w:sz w:val="24"/>
          <w:szCs w:val="24"/>
          <w:lang w:val="zh-CN"/>
        </w:rPr>
        <w:t>所在页码</w:t>
      </w:r>
    </w:p>
    <w:p>
      <w:pPr>
        <w:spacing w:line="360" w:lineRule="auto"/>
        <w:jc w:val="left"/>
        <w:rPr>
          <w:rFonts w:eastAsia="宋体"/>
          <w:color w:val="auto"/>
          <w:sz w:val="24"/>
          <w:szCs w:val="24"/>
          <w:lang w:val="zh-CN"/>
        </w:rPr>
      </w:pPr>
      <w:r>
        <w:rPr>
          <w:rFonts w:hint="eastAsia" w:eastAsia="宋体"/>
          <w:color w:val="auto"/>
          <w:sz w:val="24"/>
          <w:szCs w:val="24"/>
          <w:lang w:val="zh-CN"/>
        </w:rPr>
        <w:fldChar w:fldCharType="end"/>
      </w:r>
      <w:r>
        <w:rPr>
          <w:rFonts w:hint="eastAsia" w:eastAsia="宋体"/>
          <w:color w:val="auto"/>
          <w:sz w:val="24"/>
          <w:szCs w:val="24"/>
        </w:rPr>
        <w:t>9、磋商保证金证明...........................................</w:t>
      </w:r>
      <w:r>
        <w:rPr>
          <w:rFonts w:hint="eastAsia"/>
          <w:color w:val="auto"/>
          <w:sz w:val="24"/>
          <w:szCs w:val="24"/>
          <w:lang w:val="zh-CN"/>
        </w:rPr>
        <w:t>所在页码</w:t>
      </w:r>
    </w:p>
    <w:p>
      <w:pPr>
        <w:spacing w:line="360" w:lineRule="auto"/>
        <w:jc w:val="left"/>
        <w:rPr>
          <w:rFonts w:eastAsia="宋体"/>
          <w:color w:val="auto"/>
          <w:sz w:val="24"/>
          <w:szCs w:val="24"/>
          <w:lang w:val="zh-CN"/>
        </w:rPr>
      </w:pPr>
      <w:r>
        <w:fldChar w:fldCharType="begin"/>
      </w:r>
      <w:r>
        <w:instrText xml:space="preserve"> HYPERLINK \l "_Toc11963" </w:instrText>
      </w:r>
      <w:r>
        <w:fldChar w:fldCharType="separate"/>
      </w:r>
      <w:r>
        <w:rPr>
          <w:rFonts w:hint="eastAsia" w:eastAsia="宋体"/>
          <w:color w:val="auto"/>
          <w:sz w:val="24"/>
          <w:szCs w:val="24"/>
          <w:lang w:val="zh-CN"/>
        </w:rPr>
        <w:t>10、无重大违法记录声明</w:t>
      </w:r>
      <w:r>
        <w:rPr>
          <w:rFonts w:hint="eastAsia" w:eastAsia="宋体"/>
          <w:color w:val="auto"/>
          <w:sz w:val="24"/>
          <w:szCs w:val="24"/>
          <w:lang w:val="zh-CN"/>
        </w:rPr>
        <w:fldChar w:fldCharType="end"/>
      </w:r>
      <w:r>
        <w:rPr>
          <w:rFonts w:hint="eastAsia" w:eastAsia="宋体"/>
          <w:color w:val="auto"/>
          <w:sz w:val="24"/>
          <w:szCs w:val="24"/>
        </w:rPr>
        <w:t>......................................</w:t>
      </w:r>
      <w:r>
        <w:rPr>
          <w:rFonts w:hint="eastAsia"/>
          <w:color w:val="auto"/>
          <w:sz w:val="24"/>
          <w:szCs w:val="24"/>
          <w:lang w:val="zh-CN"/>
        </w:rPr>
        <w:t>所在页码</w:t>
      </w:r>
    </w:p>
    <w:p>
      <w:pPr>
        <w:spacing w:line="360" w:lineRule="auto"/>
        <w:jc w:val="left"/>
        <w:rPr>
          <w:rFonts w:eastAsia="宋体"/>
          <w:color w:val="auto"/>
          <w:sz w:val="24"/>
          <w:szCs w:val="24"/>
          <w:lang w:val="zh-CN"/>
        </w:rPr>
      </w:pPr>
      <w:r>
        <w:fldChar w:fldCharType="begin"/>
      </w:r>
      <w:r>
        <w:instrText xml:space="preserve"> HYPERLINK \l "_Toc26289" </w:instrText>
      </w:r>
      <w:r>
        <w:fldChar w:fldCharType="separate"/>
      </w:r>
      <w:r>
        <w:rPr>
          <w:rFonts w:hint="eastAsia" w:eastAsia="宋体"/>
          <w:color w:val="auto"/>
          <w:sz w:val="24"/>
          <w:szCs w:val="24"/>
          <w:lang w:val="zh-CN"/>
        </w:rPr>
        <w:t>11、未被列入“失信被执行人”的承诺</w:t>
      </w:r>
      <w:r>
        <w:rPr>
          <w:rFonts w:hint="eastAsia" w:eastAsia="宋体"/>
          <w:color w:val="auto"/>
          <w:sz w:val="24"/>
          <w:szCs w:val="24"/>
          <w:lang w:val="zh-CN"/>
        </w:rPr>
        <w:fldChar w:fldCharType="end"/>
      </w:r>
      <w:r>
        <w:rPr>
          <w:rFonts w:hint="eastAsia" w:eastAsia="宋体"/>
          <w:color w:val="auto"/>
          <w:sz w:val="24"/>
          <w:szCs w:val="24"/>
        </w:rPr>
        <w:t>..........................</w:t>
      </w:r>
      <w:r>
        <w:rPr>
          <w:rFonts w:hint="eastAsia"/>
          <w:color w:val="auto"/>
          <w:sz w:val="24"/>
          <w:szCs w:val="24"/>
          <w:lang w:val="zh-CN"/>
        </w:rPr>
        <w:t>所在页码</w:t>
      </w:r>
    </w:p>
    <w:p>
      <w:pPr>
        <w:spacing w:line="360" w:lineRule="auto"/>
        <w:jc w:val="left"/>
        <w:rPr>
          <w:rFonts w:eastAsia="宋体"/>
          <w:color w:val="auto"/>
          <w:sz w:val="24"/>
          <w:szCs w:val="24"/>
          <w:lang w:val="zh-CN"/>
        </w:rPr>
      </w:pPr>
      <w:r>
        <w:fldChar w:fldCharType="begin"/>
      </w:r>
      <w:r>
        <w:instrText xml:space="preserve"> HYPERLINK \l "_Toc9955" </w:instrText>
      </w:r>
      <w:r>
        <w:fldChar w:fldCharType="separate"/>
      </w:r>
      <w:r>
        <w:rPr>
          <w:rFonts w:hint="eastAsia" w:eastAsia="宋体"/>
          <w:color w:val="auto"/>
          <w:sz w:val="24"/>
          <w:szCs w:val="24"/>
          <w:lang w:val="zh-CN"/>
        </w:rPr>
        <w:t>12、评分对照表</w:t>
      </w:r>
      <w:r>
        <w:rPr>
          <w:rFonts w:hint="eastAsia" w:eastAsia="宋体"/>
          <w:color w:val="auto"/>
          <w:sz w:val="24"/>
          <w:szCs w:val="24"/>
          <w:lang w:val="zh-CN"/>
        </w:rPr>
        <w:fldChar w:fldCharType="end"/>
      </w:r>
      <w:r>
        <w:rPr>
          <w:rFonts w:hint="eastAsia" w:eastAsia="宋体"/>
          <w:color w:val="auto"/>
          <w:sz w:val="24"/>
          <w:szCs w:val="24"/>
        </w:rPr>
        <w:t>..............................................</w:t>
      </w:r>
      <w:r>
        <w:rPr>
          <w:rFonts w:hint="eastAsia"/>
          <w:color w:val="auto"/>
          <w:sz w:val="24"/>
          <w:szCs w:val="24"/>
          <w:lang w:val="zh-CN"/>
        </w:rPr>
        <w:t>所在页码</w:t>
      </w:r>
    </w:p>
    <w:p>
      <w:pPr>
        <w:spacing w:line="360" w:lineRule="auto"/>
        <w:jc w:val="left"/>
        <w:rPr>
          <w:rFonts w:eastAsia="宋体"/>
          <w:color w:val="auto"/>
          <w:sz w:val="24"/>
          <w:szCs w:val="24"/>
          <w:lang w:val="zh-CN"/>
        </w:rPr>
      </w:pPr>
      <w:r>
        <w:fldChar w:fldCharType="begin"/>
      </w:r>
      <w:r>
        <w:instrText xml:space="preserve"> HYPERLINK \l "_Toc1532" </w:instrText>
      </w:r>
      <w:r>
        <w:fldChar w:fldCharType="separate"/>
      </w:r>
      <w:r>
        <w:rPr>
          <w:rFonts w:hint="eastAsia" w:eastAsia="宋体"/>
          <w:color w:val="auto"/>
          <w:sz w:val="24"/>
          <w:szCs w:val="24"/>
          <w:lang w:val="zh-CN"/>
        </w:rPr>
        <w:t>13、竞争性磋商首次报价表</w:t>
      </w:r>
      <w:r>
        <w:rPr>
          <w:rFonts w:hint="eastAsia" w:eastAsia="宋体"/>
          <w:color w:val="auto"/>
          <w:sz w:val="24"/>
          <w:szCs w:val="24"/>
          <w:lang w:val="zh-CN"/>
        </w:rPr>
        <w:fldChar w:fldCharType="end"/>
      </w:r>
      <w:r>
        <w:rPr>
          <w:rFonts w:hint="eastAsia" w:eastAsia="宋体"/>
          <w:color w:val="auto"/>
          <w:sz w:val="24"/>
          <w:szCs w:val="24"/>
        </w:rPr>
        <w:t>....................................</w:t>
      </w:r>
      <w:r>
        <w:rPr>
          <w:rFonts w:hint="eastAsia"/>
          <w:color w:val="auto"/>
          <w:sz w:val="24"/>
          <w:szCs w:val="24"/>
          <w:lang w:val="zh-CN"/>
        </w:rPr>
        <w:t>所在页码</w:t>
      </w:r>
    </w:p>
    <w:p>
      <w:pPr>
        <w:spacing w:line="360" w:lineRule="auto"/>
        <w:jc w:val="left"/>
        <w:rPr>
          <w:rFonts w:eastAsia="宋体"/>
          <w:color w:val="auto"/>
          <w:sz w:val="24"/>
          <w:szCs w:val="24"/>
          <w:lang w:val="zh-CN"/>
        </w:rPr>
      </w:pPr>
      <w:r>
        <w:fldChar w:fldCharType="begin"/>
      </w:r>
      <w:r>
        <w:instrText xml:space="preserve"> HYPERLINK \l "_Toc16850" </w:instrText>
      </w:r>
      <w:r>
        <w:fldChar w:fldCharType="separate"/>
      </w:r>
      <w:r>
        <w:rPr>
          <w:rFonts w:hint="eastAsia" w:eastAsia="宋体"/>
          <w:color w:val="auto"/>
          <w:sz w:val="24"/>
          <w:szCs w:val="24"/>
          <w:lang w:val="zh-CN"/>
        </w:rPr>
        <w:t>14、分项报价表</w:t>
      </w:r>
      <w:r>
        <w:rPr>
          <w:rFonts w:hint="eastAsia" w:eastAsia="宋体"/>
          <w:color w:val="auto"/>
          <w:sz w:val="24"/>
          <w:szCs w:val="24"/>
          <w:lang w:val="zh-CN"/>
        </w:rPr>
        <w:fldChar w:fldCharType="end"/>
      </w:r>
      <w:r>
        <w:rPr>
          <w:rFonts w:hint="eastAsia" w:eastAsia="宋体"/>
          <w:color w:val="auto"/>
          <w:sz w:val="24"/>
          <w:szCs w:val="24"/>
        </w:rPr>
        <w:t>..............................................</w:t>
      </w:r>
      <w:r>
        <w:rPr>
          <w:rFonts w:hint="eastAsia"/>
          <w:color w:val="auto"/>
          <w:sz w:val="24"/>
          <w:szCs w:val="24"/>
          <w:lang w:val="zh-CN"/>
        </w:rPr>
        <w:t>所在页码</w:t>
      </w:r>
    </w:p>
    <w:p>
      <w:pPr>
        <w:spacing w:line="360" w:lineRule="auto"/>
        <w:jc w:val="left"/>
        <w:rPr>
          <w:rFonts w:eastAsia="宋体"/>
          <w:color w:val="auto"/>
          <w:sz w:val="24"/>
          <w:szCs w:val="24"/>
          <w:lang w:val="zh-CN"/>
        </w:rPr>
      </w:pPr>
      <w:r>
        <w:fldChar w:fldCharType="begin"/>
      </w:r>
      <w:r>
        <w:instrText xml:space="preserve"> HYPERLINK \l "_Toc6753" </w:instrText>
      </w:r>
      <w:r>
        <w:fldChar w:fldCharType="separate"/>
      </w:r>
      <w:r>
        <w:rPr>
          <w:rFonts w:hint="eastAsia" w:eastAsia="宋体"/>
          <w:color w:val="auto"/>
          <w:sz w:val="24"/>
          <w:szCs w:val="24"/>
          <w:lang w:val="zh-CN"/>
        </w:rPr>
        <w:t>15、实施方案</w:t>
      </w:r>
      <w:r>
        <w:rPr>
          <w:rFonts w:hint="eastAsia" w:eastAsia="宋体"/>
          <w:color w:val="auto"/>
          <w:sz w:val="24"/>
          <w:szCs w:val="24"/>
          <w:lang w:val="zh-CN"/>
        </w:rPr>
        <w:fldChar w:fldCharType="end"/>
      </w:r>
      <w:r>
        <w:rPr>
          <w:rFonts w:hint="eastAsia" w:eastAsia="宋体"/>
          <w:color w:val="auto"/>
          <w:sz w:val="24"/>
          <w:szCs w:val="24"/>
        </w:rPr>
        <w:t>................................................</w:t>
      </w:r>
      <w:r>
        <w:rPr>
          <w:rFonts w:hint="eastAsia"/>
          <w:color w:val="auto"/>
          <w:sz w:val="24"/>
          <w:szCs w:val="24"/>
          <w:lang w:val="zh-CN"/>
        </w:rPr>
        <w:t>所在页码</w:t>
      </w:r>
    </w:p>
    <w:p>
      <w:pPr>
        <w:spacing w:line="360" w:lineRule="auto"/>
        <w:jc w:val="left"/>
        <w:rPr>
          <w:rFonts w:eastAsia="宋体"/>
          <w:color w:val="auto"/>
          <w:sz w:val="24"/>
          <w:szCs w:val="24"/>
          <w:lang w:val="zh-CN"/>
        </w:rPr>
      </w:pPr>
      <w:r>
        <w:fldChar w:fldCharType="begin"/>
      </w:r>
      <w:r>
        <w:instrText xml:space="preserve"> HYPERLINK \l "_Toc26157" </w:instrText>
      </w:r>
      <w:r>
        <w:fldChar w:fldCharType="separate"/>
      </w:r>
      <w:r>
        <w:rPr>
          <w:rFonts w:hint="eastAsia" w:eastAsia="宋体"/>
          <w:color w:val="auto"/>
          <w:sz w:val="24"/>
          <w:szCs w:val="24"/>
          <w:lang w:val="zh-CN"/>
        </w:rPr>
        <w:t>16、供应商的业绩证明材料</w:t>
      </w:r>
      <w:r>
        <w:rPr>
          <w:rFonts w:hint="eastAsia" w:eastAsia="宋体"/>
          <w:color w:val="auto"/>
          <w:sz w:val="24"/>
          <w:szCs w:val="24"/>
          <w:lang w:val="zh-CN"/>
        </w:rPr>
        <w:fldChar w:fldCharType="end"/>
      </w:r>
      <w:r>
        <w:rPr>
          <w:rFonts w:hint="eastAsia" w:eastAsia="宋体"/>
          <w:color w:val="auto"/>
          <w:sz w:val="24"/>
          <w:szCs w:val="24"/>
        </w:rPr>
        <w:t>....................................</w:t>
      </w:r>
      <w:r>
        <w:rPr>
          <w:rFonts w:hint="eastAsia"/>
          <w:color w:val="auto"/>
          <w:sz w:val="24"/>
          <w:szCs w:val="24"/>
          <w:lang w:val="zh-CN"/>
        </w:rPr>
        <w:t>所在页码</w:t>
      </w:r>
    </w:p>
    <w:p>
      <w:pPr>
        <w:spacing w:line="360" w:lineRule="auto"/>
        <w:jc w:val="left"/>
        <w:rPr>
          <w:rFonts w:eastAsia="宋体"/>
          <w:color w:val="auto"/>
          <w:sz w:val="24"/>
          <w:szCs w:val="24"/>
          <w:lang w:val="zh-CN"/>
        </w:rPr>
      </w:pPr>
      <w:r>
        <w:rPr>
          <w:rFonts w:hint="eastAsia" w:eastAsia="宋体"/>
          <w:color w:val="auto"/>
          <w:sz w:val="24"/>
          <w:szCs w:val="24"/>
          <w:lang w:val="zh-CN"/>
        </w:rPr>
        <w:fldChar w:fldCharType="begin"/>
      </w:r>
      <w:r>
        <w:rPr>
          <w:rFonts w:hint="eastAsia" w:eastAsia="宋体"/>
          <w:color w:val="auto"/>
          <w:sz w:val="24"/>
          <w:szCs w:val="24"/>
          <w:lang w:val="zh-CN"/>
        </w:rPr>
        <w:instrText xml:space="preserve"> HYPERLINK \l _Toc22397 </w:instrText>
      </w:r>
      <w:r>
        <w:rPr>
          <w:rFonts w:hint="eastAsia" w:eastAsia="宋体"/>
          <w:color w:val="auto"/>
          <w:sz w:val="24"/>
          <w:szCs w:val="24"/>
          <w:lang w:val="zh-CN"/>
        </w:rPr>
        <w:fldChar w:fldCharType="separate"/>
      </w:r>
      <w:r>
        <w:rPr>
          <w:rFonts w:hint="eastAsia" w:eastAsia="宋体"/>
          <w:color w:val="auto"/>
          <w:sz w:val="24"/>
          <w:szCs w:val="24"/>
        </w:rPr>
        <w:t>17</w:t>
      </w:r>
      <w:r>
        <w:rPr>
          <w:rFonts w:hint="eastAsia" w:eastAsia="宋体"/>
          <w:color w:val="auto"/>
          <w:sz w:val="24"/>
          <w:szCs w:val="24"/>
          <w:lang w:val="zh-CN"/>
        </w:rPr>
        <w:t>、</w:t>
      </w:r>
      <w:r>
        <w:rPr>
          <w:rFonts w:hint="eastAsia"/>
          <w:color w:val="auto"/>
          <w:sz w:val="24"/>
          <w:szCs w:val="24"/>
          <w:lang w:val="zh-CN"/>
        </w:rPr>
        <w:t>项目管理机构人员配备</w:t>
      </w:r>
      <w:r>
        <w:rPr>
          <w:rFonts w:hint="eastAsia" w:eastAsia="宋体"/>
          <w:color w:val="auto"/>
          <w:sz w:val="24"/>
          <w:szCs w:val="24"/>
        </w:rPr>
        <w:t>....................................</w:t>
      </w:r>
      <w:r>
        <w:rPr>
          <w:rFonts w:hint="eastAsia"/>
          <w:color w:val="auto"/>
          <w:sz w:val="24"/>
          <w:szCs w:val="24"/>
          <w:lang w:val="zh-CN"/>
        </w:rPr>
        <w:t>所在页码</w:t>
      </w:r>
    </w:p>
    <w:p>
      <w:pPr>
        <w:spacing w:line="360" w:lineRule="auto"/>
        <w:jc w:val="left"/>
        <w:rPr>
          <w:rFonts w:eastAsia="宋体"/>
          <w:color w:val="auto"/>
          <w:sz w:val="24"/>
          <w:szCs w:val="24"/>
          <w:lang w:val="zh-CN"/>
        </w:rPr>
      </w:pPr>
      <w:r>
        <w:rPr>
          <w:rFonts w:hint="eastAsia" w:eastAsia="宋体"/>
          <w:color w:val="auto"/>
          <w:sz w:val="24"/>
          <w:szCs w:val="24"/>
        </w:rPr>
        <w:t>18、</w:t>
      </w:r>
      <w:r>
        <w:rPr>
          <w:rFonts w:hint="eastAsia" w:eastAsia="宋体"/>
          <w:color w:val="auto"/>
          <w:sz w:val="24"/>
          <w:szCs w:val="24"/>
          <w:lang w:val="zh-CN"/>
        </w:rPr>
        <w:t>中小微型企业声明函</w:t>
      </w:r>
      <w:r>
        <w:rPr>
          <w:rFonts w:hint="eastAsia" w:eastAsia="宋体"/>
          <w:color w:val="auto"/>
          <w:sz w:val="24"/>
          <w:szCs w:val="24"/>
          <w:lang w:val="zh-CN"/>
        </w:rPr>
        <w:fldChar w:fldCharType="end"/>
      </w:r>
      <w:r>
        <w:rPr>
          <w:rFonts w:hint="eastAsia" w:eastAsia="宋体"/>
          <w:color w:val="auto"/>
          <w:sz w:val="24"/>
          <w:szCs w:val="24"/>
        </w:rPr>
        <w:t>......................................</w:t>
      </w:r>
      <w:r>
        <w:rPr>
          <w:rFonts w:hint="eastAsia"/>
          <w:color w:val="auto"/>
          <w:sz w:val="24"/>
          <w:szCs w:val="24"/>
          <w:lang w:val="zh-CN"/>
        </w:rPr>
        <w:t>所在页码</w:t>
      </w:r>
    </w:p>
    <w:p>
      <w:pPr>
        <w:spacing w:line="360" w:lineRule="auto"/>
        <w:jc w:val="left"/>
        <w:rPr>
          <w:rFonts w:eastAsia="宋体"/>
          <w:color w:val="auto"/>
          <w:sz w:val="24"/>
          <w:szCs w:val="24"/>
          <w:lang w:val="zh-CN"/>
        </w:rPr>
      </w:pPr>
      <w:r>
        <w:rPr>
          <w:rFonts w:hint="eastAsia" w:eastAsia="宋体"/>
          <w:color w:val="auto"/>
          <w:sz w:val="24"/>
          <w:szCs w:val="24"/>
          <w:lang w:val="zh-CN"/>
        </w:rPr>
        <w:fldChar w:fldCharType="begin"/>
      </w:r>
      <w:r>
        <w:rPr>
          <w:rFonts w:hint="eastAsia" w:eastAsia="宋体"/>
          <w:color w:val="auto"/>
          <w:sz w:val="24"/>
          <w:szCs w:val="24"/>
          <w:lang w:val="zh-CN"/>
        </w:rPr>
        <w:instrText xml:space="preserve"> HYPERLINK \l _Toc19617 </w:instrText>
      </w:r>
      <w:r>
        <w:rPr>
          <w:rFonts w:hint="eastAsia" w:eastAsia="宋体"/>
          <w:color w:val="auto"/>
          <w:sz w:val="24"/>
          <w:szCs w:val="24"/>
          <w:lang w:val="zh-CN"/>
        </w:rPr>
        <w:fldChar w:fldCharType="separate"/>
      </w:r>
      <w:r>
        <w:rPr>
          <w:rFonts w:hint="eastAsia" w:eastAsia="宋体"/>
          <w:color w:val="auto"/>
          <w:sz w:val="24"/>
          <w:szCs w:val="24"/>
        </w:rPr>
        <w:t>19</w:t>
      </w:r>
      <w:r>
        <w:rPr>
          <w:rFonts w:hint="eastAsia" w:eastAsia="宋体"/>
          <w:color w:val="auto"/>
          <w:sz w:val="24"/>
          <w:szCs w:val="24"/>
          <w:lang w:val="zh-CN"/>
        </w:rPr>
        <w:t>、从业人员声明函</w:t>
      </w:r>
      <w:r>
        <w:rPr>
          <w:rFonts w:hint="eastAsia" w:eastAsia="宋体"/>
          <w:color w:val="auto"/>
          <w:sz w:val="24"/>
          <w:szCs w:val="24"/>
        </w:rPr>
        <w:t>..........................................</w:t>
      </w:r>
      <w:r>
        <w:rPr>
          <w:rFonts w:hint="eastAsia"/>
          <w:color w:val="auto"/>
          <w:sz w:val="24"/>
          <w:szCs w:val="24"/>
          <w:lang w:val="zh-CN"/>
        </w:rPr>
        <w:t>所在页码</w:t>
      </w:r>
    </w:p>
    <w:p>
      <w:pPr>
        <w:spacing w:line="360" w:lineRule="auto"/>
        <w:jc w:val="left"/>
        <w:rPr>
          <w:rFonts w:eastAsia="宋体"/>
          <w:color w:val="auto"/>
          <w:sz w:val="24"/>
          <w:szCs w:val="24"/>
          <w:lang w:val="zh-CN"/>
        </w:rPr>
      </w:pPr>
      <w:r>
        <w:rPr>
          <w:rFonts w:hint="eastAsia" w:eastAsia="宋体"/>
          <w:color w:val="auto"/>
          <w:sz w:val="24"/>
          <w:szCs w:val="24"/>
        </w:rPr>
        <w:t>20</w:t>
      </w:r>
      <w:r>
        <w:rPr>
          <w:rFonts w:hint="eastAsia" w:eastAsia="宋体"/>
          <w:color w:val="auto"/>
          <w:sz w:val="24"/>
          <w:szCs w:val="24"/>
          <w:lang w:val="zh-CN"/>
        </w:rPr>
        <w:t>、残疾人福利性单位声明函</w:t>
      </w:r>
      <w:r>
        <w:rPr>
          <w:rFonts w:hint="eastAsia" w:eastAsia="宋体"/>
          <w:color w:val="auto"/>
          <w:sz w:val="24"/>
          <w:szCs w:val="24"/>
          <w:lang w:val="zh-CN"/>
        </w:rPr>
        <w:fldChar w:fldCharType="end"/>
      </w:r>
      <w:r>
        <w:rPr>
          <w:rFonts w:hint="eastAsia" w:eastAsia="宋体"/>
          <w:color w:val="auto"/>
          <w:sz w:val="24"/>
          <w:szCs w:val="24"/>
        </w:rPr>
        <w:t>..................................</w:t>
      </w:r>
      <w:r>
        <w:rPr>
          <w:rFonts w:hint="eastAsia"/>
          <w:color w:val="auto"/>
          <w:sz w:val="24"/>
          <w:szCs w:val="24"/>
          <w:lang w:val="zh-CN"/>
        </w:rPr>
        <w:t>所在页码</w:t>
      </w:r>
    </w:p>
    <w:p>
      <w:pPr>
        <w:spacing w:line="360" w:lineRule="auto"/>
        <w:jc w:val="left"/>
        <w:rPr>
          <w:rFonts w:eastAsia="宋体"/>
          <w:color w:val="auto"/>
          <w:sz w:val="24"/>
          <w:szCs w:val="24"/>
          <w:lang w:val="zh-CN"/>
        </w:rPr>
      </w:pPr>
      <w:r>
        <w:fldChar w:fldCharType="begin"/>
      </w:r>
      <w:r>
        <w:instrText xml:space="preserve"> HYPERLINK \l "_Toc31467" </w:instrText>
      </w:r>
      <w:r>
        <w:fldChar w:fldCharType="separate"/>
      </w:r>
      <w:r>
        <w:rPr>
          <w:rFonts w:hint="eastAsia" w:eastAsia="宋体"/>
          <w:color w:val="auto"/>
          <w:sz w:val="24"/>
          <w:szCs w:val="24"/>
        </w:rPr>
        <w:t>21</w:t>
      </w:r>
      <w:r>
        <w:rPr>
          <w:rFonts w:hint="eastAsia" w:eastAsia="宋体"/>
          <w:color w:val="auto"/>
          <w:sz w:val="24"/>
          <w:szCs w:val="24"/>
          <w:lang w:val="zh-CN"/>
        </w:rPr>
        <w:t>、磋商供应商认为在其他方面有必要说明的事项</w:t>
      </w:r>
      <w:r>
        <w:rPr>
          <w:rFonts w:hint="eastAsia" w:eastAsia="宋体"/>
          <w:color w:val="auto"/>
          <w:sz w:val="24"/>
          <w:szCs w:val="24"/>
        </w:rPr>
        <w:t>.</w:t>
      </w:r>
      <w:r>
        <w:rPr>
          <w:rFonts w:hint="eastAsia" w:eastAsia="宋体"/>
          <w:color w:val="auto"/>
          <w:sz w:val="24"/>
          <w:szCs w:val="24"/>
        </w:rPr>
        <w:fldChar w:fldCharType="end"/>
      </w:r>
      <w:r>
        <w:rPr>
          <w:rFonts w:hint="eastAsia" w:eastAsia="宋体"/>
          <w:color w:val="auto"/>
          <w:sz w:val="24"/>
          <w:szCs w:val="24"/>
        </w:rPr>
        <w:t>...............</w:t>
      </w:r>
      <w:r>
        <w:rPr>
          <w:rFonts w:hint="eastAsia"/>
          <w:color w:val="auto"/>
          <w:sz w:val="24"/>
          <w:szCs w:val="24"/>
          <w:lang w:val="zh-CN"/>
        </w:rPr>
        <w:t>所在页码</w:t>
      </w:r>
    </w:p>
    <w:p>
      <w:pPr>
        <w:pStyle w:val="31"/>
        <w:tabs>
          <w:tab w:val="right" w:leader="dot" w:pos="8306"/>
        </w:tabs>
        <w:rPr>
          <w:rFonts w:ascii="宋体" w:hAnsi="宋体" w:cs="宋体"/>
          <w:sz w:val="24"/>
          <w:szCs w:val="22"/>
        </w:rPr>
      </w:pPr>
      <w:r>
        <w:rPr>
          <w:rFonts w:hint="eastAsia" w:ascii="宋体" w:hAnsi="宋体" w:cs="宋体"/>
          <w:sz w:val="24"/>
          <w:szCs w:val="22"/>
        </w:rPr>
        <w:t>最终报价表（单独提交）</w:t>
      </w:r>
    </w:p>
    <w:p>
      <w:pPr>
        <w:autoSpaceDE w:val="0"/>
        <w:autoSpaceDN w:val="0"/>
        <w:spacing w:line="360" w:lineRule="auto"/>
        <w:ind w:firstLine="240" w:firstLineChars="100"/>
        <w:jc w:val="left"/>
        <w:rPr>
          <w:rFonts w:eastAsia="宋体"/>
          <w:color w:val="auto"/>
          <w:sz w:val="24"/>
          <w:szCs w:val="22"/>
          <w:lang w:val="zh-CN"/>
        </w:rPr>
      </w:pPr>
    </w:p>
    <w:p>
      <w:pPr>
        <w:pStyle w:val="4"/>
        <w:numPr>
          <w:ilvl w:val="0"/>
          <w:numId w:val="0"/>
        </w:numPr>
        <w:spacing w:line="360" w:lineRule="auto"/>
        <w:ind w:left="709" w:hanging="709"/>
        <w:jc w:val="left"/>
        <w:rPr>
          <w:rFonts w:eastAsia="宋体" w:cs="宋体"/>
          <w:color w:val="auto"/>
        </w:rPr>
      </w:pPr>
      <w:r>
        <w:rPr>
          <w:rFonts w:hint="eastAsia" w:eastAsia="宋体" w:cs="宋体"/>
          <w:b/>
          <w:bCs/>
          <w:color w:val="auto"/>
        </w:rPr>
        <w:br w:type="page"/>
      </w:r>
      <w:bookmarkStart w:id="476" w:name="_Toc24100"/>
      <w:bookmarkStart w:id="477" w:name="_Toc10569"/>
      <w:bookmarkStart w:id="478" w:name="_Toc20107"/>
      <w:bookmarkStart w:id="479" w:name="_Toc32613"/>
      <w:bookmarkStart w:id="480" w:name="_Toc3281"/>
      <w:bookmarkStart w:id="481" w:name="_Toc18323"/>
      <w:r>
        <w:rPr>
          <w:rFonts w:hint="eastAsia" w:eastAsia="宋体" w:cs="宋体"/>
          <w:b/>
          <w:color w:val="auto"/>
          <w:sz w:val="32"/>
          <w:lang w:val="zh-CN"/>
        </w:rPr>
        <w:t>格式1、磋商函</w:t>
      </w:r>
      <w:bookmarkEnd w:id="476"/>
      <w:bookmarkEnd w:id="477"/>
      <w:bookmarkEnd w:id="478"/>
      <w:bookmarkEnd w:id="479"/>
      <w:bookmarkEnd w:id="480"/>
      <w:bookmarkEnd w:id="481"/>
    </w:p>
    <w:p>
      <w:pPr>
        <w:adjustRightInd w:val="0"/>
        <w:spacing w:line="360" w:lineRule="auto"/>
        <w:jc w:val="center"/>
        <w:textAlignment w:val="baseline"/>
        <w:rPr>
          <w:rFonts w:eastAsia="宋体"/>
          <w:b/>
          <w:color w:val="auto"/>
          <w:sz w:val="32"/>
          <w:szCs w:val="30"/>
        </w:rPr>
      </w:pPr>
      <w:r>
        <w:rPr>
          <w:rFonts w:hint="eastAsia" w:eastAsia="宋体"/>
          <w:b/>
          <w:color w:val="auto"/>
          <w:sz w:val="32"/>
          <w:szCs w:val="30"/>
        </w:rPr>
        <w:t>磋 商 函</w:t>
      </w:r>
    </w:p>
    <w:p>
      <w:pPr>
        <w:adjustRightInd w:val="0"/>
        <w:spacing w:line="360" w:lineRule="auto"/>
        <w:ind w:left="482" w:hanging="482" w:hangingChars="200"/>
        <w:jc w:val="left"/>
        <w:textAlignment w:val="baseline"/>
        <w:outlineLvl w:val="1"/>
        <w:rPr>
          <w:rFonts w:eastAsia="宋体"/>
          <w:b/>
          <w:color w:val="auto"/>
          <w:sz w:val="24"/>
        </w:rPr>
      </w:pPr>
      <w:bookmarkStart w:id="482" w:name="_Toc12717"/>
      <w:bookmarkStart w:id="483" w:name="_Toc27822"/>
      <w:bookmarkStart w:id="484" w:name="_Toc28620"/>
      <w:r>
        <w:rPr>
          <w:rFonts w:hint="eastAsia" w:eastAsia="宋体"/>
          <w:b/>
          <w:color w:val="auto"/>
          <w:sz w:val="24"/>
        </w:rPr>
        <w:t>致：青海中旭工程项目管理有限公司：</w:t>
      </w:r>
      <w:bookmarkEnd w:id="482"/>
      <w:bookmarkEnd w:id="483"/>
      <w:bookmarkEnd w:id="484"/>
    </w:p>
    <w:p>
      <w:pPr>
        <w:adjustRightInd w:val="0"/>
        <w:spacing w:line="360" w:lineRule="auto"/>
        <w:ind w:firstLine="480" w:firstLineChars="200"/>
        <w:jc w:val="left"/>
        <w:textAlignment w:val="baseline"/>
        <w:rPr>
          <w:rFonts w:eastAsia="宋体"/>
          <w:color w:val="auto"/>
          <w:sz w:val="24"/>
        </w:rPr>
      </w:pPr>
      <w:r>
        <w:rPr>
          <w:rFonts w:hint="eastAsia" w:eastAsia="宋体"/>
          <w:color w:val="auto"/>
          <w:sz w:val="24"/>
        </w:rPr>
        <w:t>我们收到</w:t>
      </w:r>
      <w:r>
        <w:rPr>
          <w:rFonts w:hint="eastAsia" w:eastAsia="宋体"/>
          <w:color w:val="auto"/>
          <w:sz w:val="24"/>
          <w:u w:val="single"/>
        </w:rPr>
        <w:t xml:space="preserve">（项目名称）        </w:t>
      </w:r>
      <w:r>
        <w:rPr>
          <w:rFonts w:hint="eastAsia" w:eastAsia="宋体"/>
          <w:color w:val="auto"/>
          <w:sz w:val="24"/>
        </w:rPr>
        <w:t>（青海中旭竞磋（服务）2022-029</w:t>
      </w:r>
      <w:r>
        <w:rPr>
          <w:rFonts w:hint="eastAsia" w:eastAsia="宋体"/>
          <w:color w:val="auto"/>
          <w:sz w:val="24"/>
          <w:szCs w:val="22"/>
        </w:rPr>
        <w:t>）磋</w:t>
      </w:r>
      <w:r>
        <w:rPr>
          <w:rFonts w:hint="eastAsia" w:eastAsia="宋体"/>
          <w:color w:val="auto"/>
          <w:sz w:val="24"/>
        </w:rPr>
        <w:t>商文件，经研究，法定代表人</w:t>
      </w:r>
      <w:r>
        <w:rPr>
          <w:rFonts w:hint="eastAsia" w:eastAsia="宋体"/>
          <w:color w:val="auto"/>
          <w:sz w:val="24"/>
          <w:u w:val="single"/>
        </w:rPr>
        <w:t>（姓名、职务）</w:t>
      </w:r>
      <w:r>
        <w:rPr>
          <w:rFonts w:hint="eastAsia" w:eastAsia="宋体"/>
          <w:color w:val="auto"/>
          <w:sz w:val="24"/>
        </w:rPr>
        <w:t>正式授权</w:t>
      </w:r>
      <w:r>
        <w:rPr>
          <w:rFonts w:hint="eastAsia" w:eastAsia="宋体"/>
          <w:color w:val="auto"/>
          <w:sz w:val="24"/>
          <w:u w:val="single"/>
        </w:rPr>
        <w:t>（委托代理人姓名、职务）</w:t>
      </w:r>
      <w:r>
        <w:rPr>
          <w:rFonts w:hint="eastAsia" w:eastAsia="宋体"/>
          <w:color w:val="auto"/>
          <w:sz w:val="24"/>
        </w:rPr>
        <w:t>代表磋商供应商</w:t>
      </w:r>
      <w:r>
        <w:rPr>
          <w:rFonts w:hint="eastAsia" w:eastAsia="宋体"/>
          <w:color w:val="auto"/>
          <w:sz w:val="24"/>
          <w:u w:val="single"/>
        </w:rPr>
        <w:t>（磋商供应商名称、地址）</w:t>
      </w:r>
      <w:r>
        <w:rPr>
          <w:rFonts w:hint="eastAsia" w:eastAsia="宋体"/>
          <w:color w:val="auto"/>
          <w:sz w:val="24"/>
        </w:rPr>
        <w:t>提交磋商响应文件。</w:t>
      </w:r>
    </w:p>
    <w:p>
      <w:pPr>
        <w:adjustRightInd w:val="0"/>
        <w:spacing w:line="360" w:lineRule="auto"/>
        <w:ind w:firstLine="480" w:firstLineChars="200"/>
        <w:jc w:val="left"/>
        <w:textAlignment w:val="baseline"/>
        <w:rPr>
          <w:rFonts w:eastAsia="宋体"/>
          <w:color w:val="auto"/>
          <w:sz w:val="24"/>
        </w:rPr>
      </w:pPr>
      <w:r>
        <w:rPr>
          <w:rFonts w:hint="eastAsia" w:eastAsia="宋体"/>
          <w:color w:val="auto"/>
          <w:sz w:val="24"/>
        </w:rPr>
        <w:t>据此函，签字代表宣布同意如下：</w:t>
      </w:r>
    </w:p>
    <w:p>
      <w:pPr>
        <w:adjustRightInd w:val="0"/>
        <w:spacing w:line="360" w:lineRule="auto"/>
        <w:ind w:firstLine="480" w:firstLineChars="200"/>
        <w:jc w:val="left"/>
        <w:textAlignment w:val="baseline"/>
        <w:rPr>
          <w:rFonts w:eastAsia="宋体"/>
          <w:color w:val="auto"/>
          <w:sz w:val="24"/>
        </w:rPr>
      </w:pPr>
      <w:r>
        <w:rPr>
          <w:rFonts w:hint="eastAsia" w:eastAsia="宋体"/>
          <w:color w:val="auto"/>
          <w:sz w:val="24"/>
        </w:rPr>
        <w:t>1.我方已详阅磋商文件的全部内容，包括澄清、修改条款等有关附件，承诺对其完全理解并接受。</w:t>
      </w:r>
    </w:p>
    <w:p>
      <w:pPr>
        <w:adjustRightInd w:val="0"/>
        <w:spacing w:line="360" w:lineRule="auto"/>
        <w:ind w:firstLine="480" w:firstLineChars="200"/>
        <w:jc w:val="left"/>
        <w:textAlignment w:val="baseline"/>
        <w:rPr>
          <w:rFonts w:eastAsia="宋体"/>
          <w:color w:val="auto"/>
          <w:sz w:val="24"/>
        </w:rPr>
      </w:pPr>
      <w:r>
        <w:rPr>
          <w:rFonts w:hint="eastAsia" w:eastAsia="宋体"/>
          <w:color w:val="auto"/>
          <w:sz w:val="24"/>
        </w:rPr>
        <w:t>2.磋商有效期自开标之日起日历日内有效。如果在规定的开标时间后，我方在磋商有效期内撤回磋商或成交后不签约的，磋商保证金将被贵方没收。</w:t>
      </w:r>
    </w:p>
    <w:p>
      <w:pPr>
        <w:adjustRightInd w:val="0"/>
        <w:spacing w:line="360" w:lineRule="auto"/>
        <w:ind w:firstLine="480" w:firstLineChars="200"/>
        <w:jc w:val="left"/>
        <w:textAlignment w:val="baseline"/>
        <w:rPr>
          <w:rFonts w:eastAsia="宋体"/>
          <w:color w:val="auto"/>
          <w:sz w:val="24"/>
        </w:rPr>
      </w:pPr>
      <w:r>
        <w:rPr>
          <w:rFonts w:hint="eastAsia" w:eastAsia="宋体"/>
          <w:color w:val="auto"/>
          <w:sz w:val="24"/>
        </w:rPr>
        <w:t>3.我方同意按照贵方要求提供与磋商有关的一切数据或资料，理解并接受贵方制定的评标办法。</w:t>
      </w:r>
    </w:p>
    <w:p>
      <w:pPr>
        <w:adjustRightInd w:val="0"/>
        <w:spacing w:line="360" w:lineRule="auto"/>
        <w:ind w:firstLine="480" w:firstLineChars="200"/>
        <w:jc w:val="left"/>
        <w:textAlignment w:val="baseline"/>
        <w:rPr>
          <w:rFonts w:eastAsia="宋体"/>
          <w:color w:val="auto"/>
          <w:sz w:val="24"/>
        </w:rPr>
      </w:pPr>
      <w:r>
        <w:rPr>
          <w:rFonts w:hint="eastAsia" w:eastAsia="宋体"/>
          <w:color w:val="auto"/>
          <w:sz w:val="24"/>
        </w:rPr>
        <w:t>4.与本磋商有关的一切正式往来通讯请寄：</w:t>
      </w:r>
    </w:p>
    <w:p>
      <w:pPr>
        <w:adjustRightInd w:val="0"/>
        <w:spacing w:line="360" w:lineRule="auto"/>
        <w:ind w:firstLine="480" w:firstLineChars="200"/>
        <w:jc w:val="left"/>
        <w:textAlignment w:val="baseline"/>
        <w:rPr>
          <w:rFonts w:eastAsia="宋体"/>
          <w:color w:val="auto"/>
          <w:sz w:val="24"/>
        </w:rPr>
      </w:pPr>
    </w:p>
    <w:p>
      <w:pPr>
        <w:adjustRightInd w:val="0"/>
        <w:spacing w:line="360" w:lineRule="auto"/>
        <w:ind w:firstLine="480" w:firstLineChars="200"/>
        <w:jc w:val="left"/>
        <w:textAlignment w:val="baseline"/>
        <w:rPr>
          <w:rFonts w:eastAsia="宋体"/>
          <w:color w:val="auto"/>
          <w:sz w:val="24"/>
        </w:rPr>
      </w:pPr>
      <w:r>
        <w:rPr>
          <w:rFonts w:hint="eastAsia" w:eastAsia="宋体"/>
          <w:color w:val="auto"/>
          <w:sz w:val="24"/>
        </w:rPr>
        <w:t>地址：                   邮编：</w:t>
      </w:r>
    </w:p>
    <w:p>
      <w:pPr>
        <w:pStyle w:val="9"/>
        <w:jc w:val="left"/>
        <w:rPr>
          <w:color w:val="auto"/>
        </w:rPr>
      </w:pPr>
    </w:p>
    <w:p>
      <w:pPr>
        <w:adjustRightInd w:val="0"/>
        <w:spacing w:line="360" w:lineRule="auto"/>
        <w:ind w:firstLine="480" w:firstLineChars="200"/>
        <w:jc w:val="left"/>
        <w:textAlignment w:val="baseline"/>
        <w:rPr>
          <w:rFonts w:eastAsia="宋体"/>
          <w:color w:val="auto"/>
          <w:sz w:val="24"/>
        </w:rPr>
      </w:pPr>
      <w:r>
        <w:rPr>
          <w:rFonts w:hint="eastAsia" w:eastAsia="宋体"/>
          <w:color w:val="auto"/>
          <w:sz w:val="24"/>
        </w:rPr>
        <w:t>电话：                   传真：</w:t>
      </w:r>
    </w:p>
    <w:p>
      <w:pPr>
        <w:adjustRightInd w:val="0"/>
        <w:spacing w:line="360" w:lineRule="auto"/>
        <w:jc w:val="left"/>
        <w:textAlignment w:val="baseline"/>
        <w:rPr>
          <w:rFonts w:eastAsia="宋体"/>
          <w:color w:val="auto"/>
          <w:sz w:val="24"/>
        </w:rPr>
      </w:pPr>
    </w:p>
    <w:p>
      <w:pPr>
        <w:adjustRightInd w:val="0"/>
        <w:spacing w:line="360" w:lineRule="auto"/>
        <w:ind w:firstLine="480" w:firstLineChars="200"/>
        <w:jc w:val="left"/>
        <w:textAlignment w:val="baseline"/>
        <w:rPr>
          <w:rFonts w:eastAsia="宋体"/>
          <w:color w:val="auto"/>
          <w:sz w:val="24"/>
        </w:rPr>
      </w:pPr>
      <w:r>
        <w:rPr>
          <w:rFonts w:hint="eastAsia" w:eastAsia="宋体"/>
          <w:color w:val="auto"/>
          <w:sz w:val="24"/>
        </w:rPr>
        <w:t>法定代表人姓名：         职务：</w:t>
      </w:r>
      <w:bookmarkStart w:id="485" w:name="_Toc444715736"/>
    </w:p>
    <w:p>
      <w:pPr>
        <w:tabs>
          <w:tab w:val="left" w:pos="168"/>
        </w:tabs>
        <w:adjustRightInd w:val="0"/>
        <w:spacing w:line="360" w:lineRule="auto"/>
        <w:ind w:right="480"/>
        <w:jc w:val="left"/>
        <w:textAlignment w:val="baseline"/>
        <w:rPr>
          <w:rFonts w:eastAsia="宋体"/>
          <w:bCs/>
          <w:color w:val="auto"/>
          <w:sz w:val="24"/>
          <w:szCs w:val="28"/>
        </w:rPr>
      </w:pPr>
    </w:p>
    <w:p>
      <w:pPr>
        <w:tabs>
          <w:tab w:val="left" w:pos="168"/>
        </w:tabs>
        <w:adjustRightInd w:val="0"/>
        <w:spacing w:line="360" w:lineRule="auto"/>
        <w:jc w:val="left"/>
        <w:textAlignment w:val="baseline"/>
        <w:rPr>
          <w:rFonts w:eastAsia="宋体"/>
          <w:bCs/>
          <w:color w:val="auto"/>
          <w:sz w:val="24"/>
          <w:szCs w:val="28"/>
        </w:rPr>
      </w:pPr>
    </w:p>
    <w:p>
      <w:pPr>
        <w:tabs>
          <w:tab w:val="left" w:pos="168"/>
        </w:tabs>
        <w:adjustRightInd w:val="0"/>
        <w:spacing w:line="360" w:lineRule="auto"/>
        <w:jc w:val="left"/>
        <w:textAlignment w:val="baseline"/>
        <w:rPr>
          <w:rFonts w:eastAsia="宋体"/>
          <w:bCs/>
          <w:color w:val="auto"/>
          <w:sz w:val="24"/>
          <w:szCs w:val="28"/>
        </w:rPr>
      </w:pPr>
    </w:p>
    <w:p>
      <w:pPr>
        <w:tabs>
          <w:tab w:val="left" w:pos="168"/>
        </w:tabs>
        <w:adjustRightInd w:val="0"/>
        <w:spacing w:line="360" w:lineRule="auto"/>
        <w:jc w:val="left"/>
        <w:textAlignment w:val="baseline"/>
        <w:rPr>
          <w:rFonts w:eastAsia="宋体"/>
          <w:bCs/>
          <w:color w:val="auto"/>
          <w:sz w:val="24"/>
          <w:szCs w:val="28"/>
        </w:rPr>
      </w:pPr>
    </w:p>
    <w:p>
      <w:pPr>
        <w:tabs>
          <w:tab w:val="left" w:pos="168"/>
        </w:tabs>
        <w:adjustRightInd w:val="0"/>
        <w:spacing w:line="360" w:lineRule="auto"/>
        <w:jc w:val="left"/>
        <w:textAlignment w:val="baseline"/>
        <w:rPr>
          <w:rFonts w:eastAsia="宋体"/>
          <w:bCs/>
          <w:color w:val="auto"/>
          <w:sz w:val="24"/>
          <w:szCs w:val="28"/>
        </w:rPr>
      </w:pPr>
    </w:p>
    <w:p>
      <w:pPr>
        <w:tabs>
          <w:tab w:val="left" w:pos="168"/>
        </w:tabs>
        <w:adjustRightInd w:val="0"/>
        <w:spacing w:line="360" w:lineRule="auto"/>
        <w:ind w:firstLine="5077" w:firstLineChars="2107"/>
        <w:jc w:val="left"/>
        <w:textAlignment w:val="baseline"/>
        <w:outlineLvl w:val="1"/>
        <w:rPr>
          <w:rFonts w:eastAsia="宋体"/>
          <w:b/>
          <w:color w:val="auto"/>
          <w:sz w:val="24"/>
          <w:szCs w:val="28"/>
        </w:rPr>
      </w:pPr>
      <w:bookmarkStart w:id="486" w:name="_Toc13699"/>
      <w:bookmarkStart w:id="487" w:name="_Toc8639"/>
      <w:bookmarkStart w:id="488" w:name="_Toc7354"/>
      <w:r>
        <w:rPr>
          <w:rFonts w:hint="eastAsia" w:eastAsia="宋体"/>
          <w:b/>
          <w:color w:val="auto"/>
          <w:sz w:val="24"/>
          <w:szCs w:val="28"/>
        </w:rPr>
        <w:t>供应商：                   （公章）</w:t>
      </w:r>
      <w:bookmarkEnd w:id="486"/>
      <w:bookmarkEnd w:id="487"/>
      <w:bookmarkEnd w:id="488"/>
    </w:p>
    <w:p>
      <w:pPr>
        <w:tabs>
          <w:tab w:val="left" w:pos="168"/>
        </w:tabs>
        <w:adjustRightInd w:val="0"/>
        <w:spacing w:line="360" w:lineRule="auto"/>
        <w:jc w:val="right"/>
        <w:textAlignment w:val="baseline"/>
        <w:outlineLvl w:val="1"/>
        <w:rPr>
          <w:rFonts w:eastAsia="宋体"/>
          <w:b/>
          <w:color w:val="auto"/>
          <w:sz w:val="24"/>
          <w:szCs w:val="28"/>
        </w:rPr>
      </w:pPr>
      <w:bookmarkStart w:id="489" w:name="_Toc4959"/>
      <w:bookmarkStart w:id="490" w:name="_Toc20833"/>
      <w:bookmarkStart w:id="491" w:name="_Toc16060"/>
      <w:r>
        <w:rPr>
          <w:rFonts w:hint="eastAsia" w:eastAsia="宋体"/>
          <w:b/>
          <w:color w:val="auto"/>
          <w:sz w:val="24"/>
          <w:szCs w:val="28"/>
        </w:rPr>
        <w:t>委托代理人或法定代表人：                 （签字或盖章）</w:t>
      </w:r>
      <w:bookmarkEnd w:id="489"/>
      <w:bookmarkEnd w:id="490"/>
      <w:bookmarkEnd w:id="491"/>
    </w:p>
    <w:p>
      <w:pPr>
        <w:tabs>
          <w:tab w:val="left" w:pos="168"/>
        </w:tabs>
        <w:adjustRightInd w:val="0"/>
        <w:spacing w:line="360" w:lineRule="auto"/>
        <w:ind w:firstLine="5313" w:firstLineChars="2205"/>
        <w:jc w:val="left"/>
        <w:textAlignment w:val="baseline"/>
        <w:outlineLvl w:val="1"/>
        <w:rPr>
          <w:rFonts w:eastAsia="宋体"/>
          <w:bCs/>
          <w:color w:val="auto"/>
          <w:sz w:val="24"/>
          <w:szCs w:val="28"/>
        </w:rPr>
      </w:pPr>
      <w:bookmarkStart w:id="492" w:name="_Toc31233"/>
      <w:bookmarkStart w:id="493" w:name="_Toc12349"/>
      <w:bookmarkStart w:id="494" w:name="_Toc20370"/>
      <w:r>
        <w:rPr>
          <w:rFonts w:hint="eastAsia" w:eastAsia="宋体"/>
          <w:b/>
          <w:color w:val="auto"/>
          <w:sz w:val="24"/>
          <w:szCs w:val="28"/>
        </w:rPr>
        <w:t>日期：          年   月   日</w:t>
      </w:r>
      <w:bookmarkEnd w:id="485"/>
      <w:bookmarkEnd w:id="492"/>
      <w:bookmarkEnd w:id="493"/>
      <w:bookmarkEnd w:id="494"/>
      <w:bookmarkStart w:id="495" w:name="_Toc444715737"/>
      <w:bookmarkStart w:id="496" w:name="_Toc25583"/>
    </w:p>
    <w:bookmarkEnd w:id="495"/>
    <w:bookmarkEnd w:id="496"/>
    <w:p>
      <w:pPr>
        <w:pStyle w:val="4"/>
        <w:numPr>
          <w:ilvl w:val="0"/>
          <w:numId w:val="0"/>
        </w:numPr>
        <w:spacing w:line="360" w:lineRule="auto"/>
        <w:jc w:val="left"/>
        <w:rPr>
          <w:color w:val="auto"/>
          <w:lang w:val="zh-CN"/>
        </w:rPr>
      </w:pPr>
    </w:p>
    <w:p>
      <w:pPr>
        <w:pStyle w:val="4"/>
        <w:numPr>
          <w:ilvl w:val="0"/>
          <w:numId w:val="0"/>
        </w:numPr>
        <w:spacing w:line="360" w:lineRule="auto"/>
        <w:jc w:val="left"/>
        <w:rPr>
          <w:rFonts w:eastAsia="宋体" w:cs="宋体"/>
          <w:color w:val="auto"/>
          <w:lang w:val="zh-CN"/>
        </w:rPr>
      </w:pPr>
      <w:bookmarkStart w:id="497" w:name="_Toc20432"/>
      <w:bookmarkStart w:id="498" w:name="_Toc6017"/>
      <w:bookmarkStart w:id="499" w:name="_Toc15138"/>
      <w:bookmarkStart w:id="500" w:name="_Toc2462"/>
      <w:bookmarkStart w:id="501" w:name="_Toc13946"/>
      <w:bookmarkStart w:id="502" w:name="_Toc2415"/>
      <w:r>
        <w:rPr>
          <w:rFonts w:hint="eastAsia" w:eastAsia="宋体" w:cs="宋体"/>
          <w:b/>
          <w:color w:val="auto"/>
          <w:sz w:val="32"/>
          <w:lang w:val="zh-CN"/>
        </w:rPr>
        <w:t>格式2、法定代表人证明书</w:t>
      </w:r>
      <w:bookmarkEnd w:id="497"/>
      <w:bookmarkEnd w:id="498"/>
      <w:bookmarkEnd w:id="499"/>
      <w:bookmarkEnd w:id="500"/>
      <w:bookmarkEnd w:id="501"/>
      <w:bookmarkEnd w:id="502"/>
    </w:p>
    <w:p>
      <w:pPr>
        <w:spacing w:line="360" w:lineRule="auto"/>
        <w:jc w:val="left"/>
        <w:rPr>
          <w:rFonts w:eastAsia="宋体"/>
          <w:color w:val="auto"/>
          <w:lang w:val="zh-CN"/>
        </w:rPr>
      </w:pPr>
    </w:p>
    <w:p>
      <w:pPr>
        <w:adjustRightInd w:val="0"/>
        <w:spacing w:line="360" w:lineRule="auto"/>
        <w:jc w:val="center"/>
        <w:textAlignment w:val="baseline"/>
        <w:rPr>
          <w:rFonts w:eastAsia="宋体"/>
          <w:b/>
          <w:color w:val="auto"/>
          <w:sz w:val="32"/>
          <w:szCs w:val="30"/>
        </w:rPr>
      </w:pPr>
      <w:r>
        <w:rPr>
          <w:rFonts w:hint="eastAsia" w:eastAsia="宋体"/>
          <w:b/>
          <w:color w:val="auto"/>
          <w:sz w:val="32"/>
          <w:szCs w:val="30"/>
        </w:rPr>
        <w:t>法定代表人证明书</w:t>
      </w:r>
    </w:p>
    <w:p>
      <w:pPr>
        <w:autoSpaceDE w:val="0"/>
        <w:autoSpaceDN w:val="0"/>
        <w:adjustRightInd w:val="0"/>
        <w:spacing w:line="360" w:lineRule="auto"/>
        <w:jc w:val="left"/>
        <w:outlineLvl w:val="1"/>
        <w:rPr>
          <w:rFonts w:eastAsia="宋体"/>
          <w:b/>
          <w:bCs/>
          <w:color w:val="auto"/>
          <w:sz w:val="24"/>
          <w:lang w:val="zh-CN"/>
        </w:rPr>
      </w:pPr>
      <w:bookmarkStart w:id="503" w:name="_Toc27729"/>
      <w:bookmarkStart w:id="504" w:name="_Toc4238"/>
      <w:bookmarkStart w:id="505" w:name="_Toc26286"/>
      <w:r>
        <w:rPr>
          <w:rFonts w:hint="eastAsia" w:eastAsia="宋体"/>
          <w:b/>
          <w:bCs/>
          <w:color w:val="auto"/>
          <w:sz w:val="24"/>
          <w:lang w:val="zh-CN"/>
        </w:rPr>
        <w:t>致：</w:t>
      </w:r>
      <w:bookmarkEnd w:id="503"/>
      <w:r>
        <w:rPr>
          <w:rFonts w:hint="eastAsia" w:eastAsia="宋体"/>
          <w:b/>
          <w:bCs/>
          <w:color w:val="auto"/>
          <w:sz w:val="24"/>
          <w:lang w:val="zh-CN"/>
        </w:rPr>
        <w:t>青海中旭工程项目管理有限公司</w:t>
      </w:r>
      <w:bookmarkEnd w:id="504"/>
      <w:bookmarkEnd w:id="505"/>
    </w:p>
    <w:p>
      <w:pPr>
        <w:autoSpaceDE w:val="0"/>
        <w:autoSpaceDN w:val="0"/>
        <w:adjustRightInd w:val="0"/>
        <w:spacing w:line="360" w:lineRule="auto"/>
        <w:jc w:val="left"/>
        <w:rPr>
          <w:rFonts w:eastAsia="宋体"/>
          <w:color w:val="auto"/>
          <w:sz w:val="24"/>
          <w:lang w:val="zh-CN"/>
        </w:rPr>
      </w:pPr>
    </w:p>
    <w:p>
      <w:pPr>
        <w:autoSpaceDE w:val="0"/>
        <w:autoSpaceDN w:val="0"/>
        <w:adjustRightInd w:val="0"/>
        <w:spacing w:line="360" w:lineRule="auto"/>
        <w:ind w:firstLine="480" w:firstLineChars="200"/>
        <w:jc w:val="left"/>
        <w:rPr>
          <w:rFonts w:eastAsia="宋体"/>
          <w:color w:val="auto"/>
          <w:sz w:val="24"/>
          <w:lang w:val="zh-CN"/>
        </w:rPr>
      </w:pPr>
      <w:r>
        <w:rPr>
          <w:rFonts w:hint="eastAsia" w:eastAsia="宋体"/>
          <w:color w:val="auto"/>
          <w:sz w:val="24"/>
          <w:u w:val="single"/>
          <w:lang w:val="zh-CN"/>
        </w:rPr>
        <w:t xml:space="preserve">（法定代表人姓名）  </w:t>
      </w:r>
      <w:r>
        <w:rPr>
          <w:rFonts w:hint="eastAsia" w:eastAsia="宋体"/>
          <w:color w:val="auto"/>
          <w:sz w:val="24"/>
          <w:lang w:val="zh-CN"/>
        </w:rPr>
        <w:t>现任我单位职务，为法定代表人，特此证明。</w:t>
      </w:r>
    </w:p>
    <w:p>
      <w:pPr>
        <w:autoSpaceDE w:val="0"/>
        <w:autoSpaceDN w:val="0"/>
        <w:adjustRightInd w:val="0"/>
        <w:spacing w:line="360" w:lineRule="auto"/>
        <w:jc w:val="left"/>
        <w:rPr>
          <w:rFonts w:eastAsia="宋体"/>
          <w:color w:val="auto"/>
          <w:sz w:val="24"/>
          <w:lang w:val="zh-CN"/>
        </w:rPr>
      </w:pPr>
    </w:p>
    <w:p>
      <w:pPr>
        <w:autoSpaceDE w:val="0"/>
        <w:autoSpaceDN w:val="0"/>
        <w:adjustRightInd w:val="0"/>
        <w:spacing w:line="360" w:lineRule="auto"/>
        <w:jc w:val="left"/>
        <w:rPr>
          <w:rFonts w:eastAsia="宋体"/>
          <w:color w:val="auto"/>
          <w:sz w:val="24"/>
          <w:lang w:val="zh-CN"/>
        </w:rPr>
      </w:pPr>
      <w:r>
        <w:rPr>
          <w:rFonts w:hint="eastAsia" w:eastAsia="宋体"/>
          <w:color w:val="auto"/>
          <w:sz w:val="24"/>
          <w:lang w:val="zh-CN"/>
        </w:rPr>
        <w:t xml:space="preserve">法定代表人基本情况： </w:t>
      </w:r>
    </w:p>
    <w:p>
      <w:pPr>
        <w:autoSpaceDE w:val="0"/>
        <w:autoSpaceDN w:val="0"/>
        <w:adjustRightInd w:val="0"/>
        <w:spacing w:line="360" w:lineRule="auto"/>
        <w:jc w:val="left"/>
        <w:rPr>
          <w:rFonts w:eastAsia="宋体"/>
          <w:color w:val="auto"/>
          <w:sz w:val="24"/>
          <w:lang w:val="zh-CN"/>
        </w:rPr>
      </w:pPr>
    </w:p>
    <w:p>
      <w:pPr>
        <w:autoSpaceDE w:val="0"/>
        <w:autoSpaceDN w:val="0"/>
        <w:adjustRightInd w:val="0"/>
        <w:spacing w:line="360" w:lineRule="auto"/>
        <w:jc w:val="left"/>
        <w:rPr>
          <w:rFonts w:eastAsia="宋体"/>
          <w:color w:val="auto"/>
          <w:sz w:val="24"/>
          <w:u w:val="single"/>
          <w:lang w:val="zh-CN"/>
        </w:rPr>
      </w:pPr>
      <w:r>
        <w:rPr>
          <w:rFonts w:hint="eastAsia" w:eastAsia="宋体"/>
          <w:color w:val="auto"/>
          <w:sz w:val="24"/>
          <w:lang w:val="zh-CN"/>
        </w:rPr>
        <w:t>性别：      年龄：       民族：</w:t>
      </w:r>
    </w:p>
    <w:p>
      <w:pPr>
        <w:autoSpaceDE w:val="0"/>
        <w:autoSpaceDN w:val="0"/>
        <w:adjustRightInd w:val="0"/>
        <w:spacing w:line="360" w:lineRule="auto"/>
        <w:jc w:val="left"/>
        <w:rPr>
          <w:rFonts w:eastAsia="宋体"/>
          <w:color w:val="auto"/>
          <w:sz w:val="24"/>
          <w:lang w:val="zh-CN"/>
        </w:rPr>
      </w:pPr>
    </w:p>
    <w:p>
      <w:pPr>
        <w:autoSpaceDE w:val="0"/>
        <w:autoSpaceDN w:val="0"/>
        <w:adjustRightInd w:val="0"/>
        <w:spacing w:line="360" w:lineRule="auto"/>
        <w:jc w:val="left"/>
        <w:rPr>
          <w:rFonts w:eastAsia="宋体"/>
          <w:color w:val="auto"/>
          <w:sz w:val="24"/>
          <w:u w:val="single"/>
          <w:lang w:val="zh-CN"/>
        </w:rPr>
      </w:pPr>
      <w:r>
        <w:rPr>
          <w:rFonts w:hint="eastAsia" w:eastAsia="宋体"/>
          <w:color w:val="auto"/>
          <w:sz w:val="24"/>
          <w:lang w:val="zh-CN"/>
        </w:rPr>
        <w:t>地址：</w:t>
      </w:r>
    </w:p>
    <w:p>
      <w:pPr>
        <w:autoSpaceDE w:val="0"/>
        <w:autoSpaceDN w:val="0"/>
        <w:adjustRightInd w:val="0"/>
        <w:spacing w:line="360" w:lineRule="auto"/>
        <w:jc w:val="left"/>
        <w:rPr>
          <w:rFonts w:eastAsia="宋体"/>
          <w:color w:val="auto"/>
          <w:sz w:val="24"/>
          <w:lang w:val="zh-CN"/>
        </w:rPr>
      </w:pPr>
    </w:p>
    <w:p>
      <w:pPr>
        <w:autoSpaceDE w:val="0"/>
        <w:autoSpaceDN w:val="0"/>
        <w:adjustRightInd w:val="0"/>
        <w:spacing w:line="360" w:lineRule="auto"/>
        <w:jc w:val="left"/>
        <w:rPr>
          <w:rFonts w:eastAsia="宋体"/>
          <w:color w:val="auto"/>
          <w:sz w:val="24"/>
          <w:lang w:val="zh-CN"/>
        </w:rPr>
      </w:pPr>
      <w:r>
        <w:rPr>
          <w:rFonts w:hint="eastAsia" w:eastAsia="宋体"/>
          <w:color w:val="auto"/>
          <w:sz w:val="24"/>
          <w:lang w:val="zh-CN"/>
        </w:rPr>
        <w:t>身份证号码：</w:t>
      </w:r>
    </w:p>
    <w:p>
      <w:pPr>
        <w:autoSpaceDE w:val="0"/>
        <w:autoSpaceDN w:val="0"/>
        <w:adjustRightInd w:val="0"/>
        <w:spacing w:line="360" w:lineRule="auto"/>
        <w:jc w:val="left"/>
        <w:rPr>
          <w:rFonts w:eastAsia="宋体"/>
          <w:color w:val="auto"/>
          <w:sz w:val="24"/>
          <w:lang w:val="zh-CN"/>
        </w:rPr>
      </w:pPr>
    </w:p>
    <w:p>
      <w:pPr>
        <w:autoSpaceDE w:val="0"/>
        <w:autoSpaceDN w:val="0"/>
        <w:adjustRightInd w:val="0"/>
        <w:spacing w:line="360" w:lineRule="auto"/>
        <w:jc w:val="left"/>
        <w:rPr>
          <w:rFonts w:eastAsia="宋体"/>
          <w:color w:val="auto"/>
          <w:sz w:val="24"/>
          <w:lang w:val="zh-CN"/>
        </w:rPr>
      </w:pPr>
      <w:r>
        <w:rPr>
          <w:rFonts w:hint="eastAsia" w:eastAsia="宋体"/>
          <w:color w:val="auto"/>
          <w:sz w:val="24"/>
          <w:lang w:val="zh-CN"/>
        </w:rPr>
        <w:t>附：法定代表人第二代身份证双面扫描（或复印）件（复印件须由法定代表人签字）</w:t>
      </w:r>
    </w:p>
    <w:p>
      <w:pPr>
        <w:autoSpaceDE w:val="0"/>
        <w:autoSpaceDN w:val="0"/>
        <w:adjustRightInd w:val="0"/>
        <w:spacing w:line="360" w:lineRule="auto"/>
        <w:jc w:val="left"/>
        <w:rPr>
          <w:rFonts w:eastAsia="宋体"/>
          <w:color w:val="auto"/>
          <w:sz w:val="24"/>
          <w:lang w:val="zh-CN"/>
        </w:rPr>
      </w:pPr>
    </w:p>
    <w:p>
      <w:pPr>
        <w:autoSpaceDE w:val="0"/>
        <w:autoSpaceDN w:val="0"/>
        <w:adjustRightInd w:val="0"/>
        <w:spacing w:line="360" w:lineRule="auto"/>
        <w:jc w:val="left"/>
        <w:rPr>
          <w:rFonts w:eastAsia="宋体"/>
          <w:color w:val="auto"/>
          <w:sz w:val="24"/>
          <w:lang w:val="zh-CN"/>
        </w:rPr>
      </w:pPr>
    </w:p>
    <w:p>
      <w:pPr>
        <w:autoSpaceDE w:val="0"/>
        <w:autoSpaceDN w:val="0"/>
        <w:adjustRightInd w:val="0"/>
        <w:spacing w:line="360" w:lineRule="auto"/>
        <w:jc w:val="left"/>
        <w:rPr>
          <w:rFonts w:eastAsia="宋体"/>
          <w:color w:val="auto"/>
          <w:sz w:val="24"/>
          <w:lang w:val="zh-CN"/>
        </w:rPr>
      </w:pPr>
    </w:p>
    <w:p>
      <w:pPr>
        <w:tabs>
          <w:tab w:val="left" w:pos="168"/>
        </w:tabs>
        <w:adjustRightInd w:val="0"/>
        <w:spacing w:line="360" w:lineRule="auto"/>
        <w:jc w:val="left"/>
        <w:textAlignment w:val="baseline"/>
        <w:rPr>
          <w:rFonts w:eastAsia="宋体"/>
          <w:bCs/>
          <w:color w:val="auto"/>
          <w:sz w:val="28"/>
          <w:szCs w:val="28"/>
        </w:rPr>
      </w:pPr>
      <w:bookmarkStart w:id="506" w:name="_Toc16858"/>
      <w:bookmarkStart w:id="507" w:name="_Toc444715738"/>
    </w:p>
    <w:p>
      <w:pPr>
        <w:tabs>
          <w:tab w:val="left" w:pos="168"/>
        </w:tabs>
        <w:adjustRightInd w:val="0"/>
        <w:spacing w:line="360" w:lineRule="auto"/>
        <w:jc w:val="left"/>
        <w:textAlignment w:val="baseline"/>
        <w:rPr>
          <w:rFonts w:eastAsia="宋体"/>
          <w:bCs/>
          <w:color w:val="auto"/>
          <w:sz w:val="24"/>
          <w:szCs w:val="28"/>
        </w:rPr>
      </w:pPr>
    </w:p>
    <w:p>
      <w:pPr>
        <w:tabs>
          <w:tab w:val="left" w:pos="168"/>
        </w:tabs>
        <w:adjustRightInd w:val="0"/>
        <w:spacing w:line="360" w:lineRule="auto"/>
        <w:ind w:firstLine="4958" w:firstLineChars="2058"/>
        <w:jc w:val="left"/>
        <w:textAlignment w:val="baseline"/>
        <w:outlineLvl w:val="1"/>
        <w:rPr>
          <w:rFonts w:eastAsia="宋体"/>
          <w:b/>
          <w:color w:val="auto"/>
          <w:sz w:val="24"/>
          <w:szCs w:val="28"/>
        </w:rPr>
      </w:pPr>
      <w:bookmarkStart w:id="508" w:name="_Toc26743"/>
      <w:bookmarkStart w:id="509" w:name="_Toc22038"/>
      <w:bookmarkStart w:id="510" w:name="_Toc12876"/>
      <w:r>
        <w:rPr>
          <w:rFonts w:hint="eastAsia" w:eastAsia="宋体"/>
          <w:b/>
          <w:color w:val="auto"/>
          <w:sz w:val="24"/>
          <w:szCs w:val="28"/>
        </w:rPr>
        <w:t>供应商：                   （公章）</w:t>
      </w:r>
      <w:bookmarkEnd w:id="508"/>
      <w:bookmarkEnd w:id="509"/>
      <w:bookmarkEnd w:id="510"/>
    </w:p>
    <w:p>
      <w:pPr>
        <w:tabs>
          <w:tab w:val="left" w:pos="168"/>
        </w:tabs>
        <w:adjustRightInd w:val="0"/>
        <w:spacing w:line="360" w:lineRule="auto"/>
        <w:jc w:val="right"/>
        <w:textAlignment w:val="baseline"/>
        <w:outlineLvl w:val="1"/>
        <w:rPr>
          <w:rFonts w:eastAsia="宋体"/>
          <w:b/>
          <w:color w:val="auto"/>
          <w:sz w:val="24"/>
          <w:szCs w:val="28"/>
        </w:rPr>
      </w:pPr>
      <w:bookmarkStart w:id="511" w:name="_Toc2073"/>
      <w:bookmarkStart w:id="512" w:name="_Toc8734"/>
      <w:bookmarkStart w:id="513" w:name="_Toc26643"/>
      <w:r>
        <w:rPr>
          <w:rFonts w:hint="eastAsia" w:eastAsia="宋体"/>
          <w:b/>
          <w:color w:val="auto"/>
          <w:sz w:val="24"/>
          <w:szCs w:val="28"/>
        </w:rPr>
        <w:t>法定代表人：                 （签字或盖章）</w:t>
      </w:r>
      <w:bookmarkEnd w:id="511"/>
      <w:bookmarkEnd w:id="512"/>
      <w:bookmarkEnd w:id="513"/>
    </w:p>
    <w:p>
      <w:pPr>
        <w:tabs>
          <w:tab w:val="left" w:pos="168"/>
        </w:tabs>
        <w:adjustRightInd w:val="0"/>
        <w:spacing w:line="360" w:lineRule="auto"/>
        <w:ind w:firstLine="5313" w:firstLineChars="2205"/>
        <w:jc w:val="left"/>
        <w:textAlignment w:val="baseline"/>
        <w:outlineLvl w:val="1"/>
        <w:rPr>
          <w:rFonts w:eastAsia="宋体"/>
          <w:b/>
          <w:color w:val="auto"/>
          <w:sz w:val="24"/>
          <w:szCs w:val="28"/>
        </w:rPr>
      </w:pPr>
      <w:bookmarkStart w:id="514" w:name="_Toc28841"/>
      <w:bookmarkStart w:id="515" w:name="_Toc23122"/>
      <w:bookmarkStart w:id="516" w:name="_Toc23688"/>
      <w:r>
        <w:rPr>
          <w:rFonts w:hint="eastAsia" w:eastAsia="宋体"/>
          <w:b/>
          <w:color w:val="auto"/>
          <w:sz w:val="24"/>
          <w:szCs w:val="28"/>
        </w:rPr>
        <w:t>日期：          年   月   日</w:t>
      </w:r>
      <w:bookmarkEnd w:id="514"/>
      <w:bookmarkEnd w:id="515"/>
      <w:bookmarkEnd w:id="516"/>
    </w:p>
    <w:p>
      <w:pPr>
        <w:pStyle w:val="4"/>
        <w:numPr>
          <w:ilvl w:val="0"/>
          <w:numId w:val="0"/>
        </w:numPr>
        <w:spacing w:line="360" w:lineRule="auto"/>
        <w:ind w:left="709" w:hanging="709"/>
        <w:jc w:val="left"/>
        <w:rPr>
          <w:rFonts w:eastAsia="宋体" w:cs="宋体"/>
          <w:b/>
          <w:color w:val="auto"/>
          <w:sz w:val="32"/>
          <w:lang w:val="zh-CN"/>
        </w:rPr>
      </w:pPr>
      <w:r>
        <w:rPr>
          <w:rFonts w:hint="eastAsia" w:eastAsia="宋体" w:cs="宋体"/>
          <w:bCs/>
          <w:color w:val="auto"/>
          <w:szCs w:val="28"/>
        </w:rPr>
        <w:br w:type="page"/>
      </w:r>
      <w:bookmarkStart w:id="517" w:name="_Toc23471"/>
      <w:bookmarkStart w:id="518" w:name="_Toc17779"/>
      <w:bookmarkStart w:id="519" w:name="_Toc27402"/>
      <w:bookmarkStart w:id="520" w:name="_Toc3382"/>
      <w:bookmarkStart w:id="521" w:name="_Toc13962"/>
      <w:bookmarkStart w:id="522" w:name="_Toc10327"/>
      <w:r>
        <w:rPr>
          <w:rFonts w:hint="eastAsia" w:eastAsia="宋体" w:cs="宋体"/>
          <w:b/>
          <w:color w:val="auto"/>
          <w:sz w:val="32"/>
          <w:lang w:val="zh-CN"/>
        </w:rPr>
        <w:t>格式3、法定代表人授权书</w:t>
      </w:r>
      <w:bookmarkEnd w:id="506"/>
      <w:bookmarkEnd w:id="507"/>
      <w:bookmarkEnd w:id="517"/>
      <w:bookmarkEnd w:id="518"/>
      <w:bookmarkEnd w:id="519"/>
      <w:bookmarkEnd w:id="520"/>
      <w:bookmarkEnd w:id="521"/>
      <w:bookmarkEnd w:id="522"/>
    </w:p>
    <w:p>
      <w:pPr>
        <w:spacing w:line="360" w:lineRule="auto"/>
        <w:jc w:val="left"/>
        <w:rPr>
          <w:rFonts w:eastAsia="宋体"/>
          <w:color w:val="auto"/>
        </w:rPr>
      </w:pPr>
    </w:p>
    <w:p>
      <w:pPr>
        <w:adjustRightInd w:val="0"/>
        <w:spacing w:line="360" w:lineRule="auto"/>
        <w:jc w:val="center"/>
        <w:textAlignment w:val="baseline"/>
        <w:rPr>
          <w:rFonts w:eastAsia="宋体"/>
          <w:b/>
          <w:color w:val="auto"/>
          <w:sz w:val="32"/>
          <w:szCs w:val="30"/>
        </w:rPr>
      </w:pPr>
      <w:r>
        <w:rPr>
          <w:rFonts w:hint="eastAsia" w:eastAsia="宋体"/>
          <w:b/>
          <w:color w:val="auto"/>
          <w:sz w:val="32"/>
          <w:szCs w:val="30"/>
        </w:rPr>
        <w:t>法定代表人授权书</w:t>
      </w:r>
    </w:p>
    <w:p>
      <w:pPr>
        <w:pStyle w:val="19"/>
        <w:spacing w:line="360" w:lineRule="auto"/>
        <w:rPr>
          <w:rFonts w:ascii="宋体" w:hAnsi="宋体" w:eastAsia="宋体" w:cs="宋体"/>
          <w:color w:val="auto"/>
          <w:lang w:val="zh-CN"/>
        </w:rPr>
      </w:pPr>
    </w:p>
    <w:p>
      <w:pPr>
        <w:spacing w:line="360" w:lineRule="auto"/>
        <w:jc w:val="left"/>
        <w:outlineLvl w:val="1"/>
        <w:rPr>
          <w:rFonts w:eastAsia="宋体"/>
          <w:b/>
          <w:bCs/>
          <w:color w:val="auto"/>
          <w:sz w:val="24"/>
        </w:rPr>
      </w:pPr>
      <w:bookmarkStart w:id="523" w:name="_Toc7816"/>
      <w:bookmarkStart w:id="524" w:name="_Toc3420"/>
      <w:bookmarkStart w:id="525" w:name="_Toc24424"/>
      <w:r>
        <w:rPr>
          <w:rFonts w:hint="eastAsia" w:eastAsia="宋体"/>
          <w:b/>
          <w:bCs/>
          <w:color w:val="auto"/>
          <w:sz w:val="24"/>
        </w:rPr>
        <w:t>致：</w:t>
      </w:r>
      <w:bookmarkEnd w:id="523"/>
      <w:r>
        <w:rPr>
          <w:rFonts w:hint="eastAsia" w:eastAsia="宋体"/>
          <w:b/>
          <w:bCs/>
          <w:color w:val="auto"/>
          <w:sz w:val="24"/>
        </w:rPr>
        <w:t>青海中旭工程项目管理有限公司</w:t>
      </w:r>
      <w:bookmarkEnd w:id="524"/>
      <w:bookmarkEnd w:id="525"/>
    </w:p>
    <w:p>
      <w:pPr>
        <w:spacing w:line="360" w:lineRule="auto"/>
        <w:jc w:val="left"/>
        <w:rPr>
          <w:rFonts w:eastAsia="宋体"/>
          <w:color w:val="auto"/>
          <w:sz w:val="24"/>
          <w:u w:val="single"/>
        </w:rPr>
      </w:pPr>
    </w:p>
    <w:p>
      <w:pPr>
        <w:spacing w:line="360" w:lineRule="auto"/>
        <w:ind w:firstLine="480" w:firstLineChars="200"/>
        <w:jc w:val="left"/>
        <w:rPr>
          <w:rFonts w:eastAsia="宋体"/>
          <w:color w:val="auto"/>
          <w:sz w:val="24"/>
        </w:rPr>
      </w:pPr>
      <w:r>
        <w:rPr>
          <w:rFonts w:hint="eastAsia" w:eastAsia="宋体"/>
          <w:color w:val="auto"/>
          <w:sz w:val="24"/>
          <w:u w:val="single"/>
        </w:rPr>
        <w:t xml:space="preserve">  （供应商名称）  </w:t>
      </w:r>
      <w:r>
        <w:rPr>
          <w:rFonts w:hint="eastAsia" w:eastAsia="宋体"/>
          <w:color w:val="auto"/>
          <w:sz w:val="24"/>
        </w:rPr>
        <w:t>系中华人民共和国合法企业，法定地址。</w:t>
      </w:r>
    </w:p>
    <w:p>
      <w:pPr>
        <w:spacing w:line="360" w:lineRule="auto"/>
        <w:jc w:val="left"/>
        <w:rPr>
          <w:rFonts w:eastAsia="宋体"/>
          <w:color w:val="auto"/>
          <w:sz w:val="24"/>
          <w:szCs w:val="28"/>
        </w:rPr>
      </w:pPr>
      <w:r>
        <w:rPr>
          <w:rFonts w:hint="eastAsia" w:eastAsia="宋体"/>
          <w:color w:val="auto"/>
          <w:sz w:val="24"/>
          <w:u w:val="single"/>
        </w:rPr>
        <w:t>（法定代表人姓名）</w:t>
      </w:r>
      <w:r>
        <w:rPr>
          <w:rFonts w:hint="eastAsia" w:eastAsia="宋体"/>
          <w:color w:val="auto"/>
          <w:sz w:val="24"/>
        </w:rPr>
        <w:t>特授权</w:t>
      </w:r>
      <w:r>
        <w:rPr>
          <w:rFonts w:hint="eastAsia" w:eastAsia="宋体"/>
          <w:color w:val="auto"/>
          <w:sz w:val="24"/>
          <w:u w:val="single"/>
        </w:rPr>
        <w:t>（被授权人姓名）</w:t>
      </w:r>
      <w:r>
        <w:rPr>
          <w:rFonts w:hint="eastAsia" w:eastAsia="宋体"/>
          <w:color w:val="auto"/>
          <w:sz w:val="24"/>
        </w:rPr>
        <w:t>代表我单位全权办理</w:t>
      </w:r>
      <w:r>
        <w:rPr>
          <w:rFonts w:hint="eastAsia" w:eastAsia="宋体"/>
          <w:color w:val="auto"/>
          <w:sz w:val="24"/>
          <w:u w:val="single"/>
        </w:rPr>
        <w:t xml:space="preserve">           项</w:t>
      </w:r>
      <w:r>
        <w:rPr>
          <w:rFonts w:hint="eastAsia" w:eastAsia="宋体"/>
          <w:color w:val="auto"/>
          <w:sz w:val="24"/>
          <w:szCs w:val="28"/>
          <w:u w:val="single"/>
        </w:rPr>
        <w:t>目</w:t>
      </w:r>
      <w:r>
        <w:rPr>
          <w:rFonts w:hint="eastAsia" w:eastAsia="宋体"/>
          <w:color w:val="auto"/>
          <w:sz w:val="24"/>
          <w:szCs w:val="28"/>
        </w:rPr>
        <w:t>的磋商、答疑等具体工作，并签署全部有关的文件、协议及合同。</w:t>
      </w:r>
    </w:p>
    <w:p>
      <w:pPr>
        <w:spacing w:line="360" w:lineRule="auto"/>
        <w:ind w:firstLine="480" w:firstLineChars="200"/>
        <w:jc w:val="left"/>
        <w:rPr>
          <w:rFonts w:eastAsia="宋体"/>
          <w:color w:val="auto"/>
          <w:sz w:val="24"/>
          <w:szCs w:val="28"/>
        </w:rPr>
      </w:pPr>
      <w:r>
        <w:rPr>
          <w:rFonts w:hint="eastAsia" w:eastAsia="宋体"/>
          <w:color w:val="auto"/>
          <w:sz w:val="24"/>
          <w:szCs w:val="28"/>
        </w:rPr>
        <w:t>我单位对被授权人的签名负全部责任。</w:t>
      </w:r>
    </w:p>
    <w:p>
      <w:pPr>
        <w:spacing w:line="360" w:lineRule="auto"/>
        <w:ind w:firstLine="480" w:firstLineChars="200"/>
        <w:jc w:val="left"/>
        <w:rPr>
          <w:rFonts w:eastAsia="宋体"/>
          <w:color w:val="auto"/>
          <w:sz w:val="24"/>
        </w:rPr>
      </w:pPr>
      <w:r>
        <w:rPr>
          <w:rFonts w:hint="eastAsia" w:eastAsia="宋体"/>
          <w:color w:val="auto"/>
          <w:sz w:val="24"/>
          <w:szCs w:val="28"/>
          <w:lang w:val="zh-CN"/>
        </w:rPr>
        <w:t>授权期限：自</w:t>
      </w:r>
      <w:r>
        <w:rPr>
          <w:rFonts w:hint="eastAsia" w:eastAsia="宋体"/>
          <w:color w:val="auto"/>
          <w:sz w:val="24"/>
          <w:szCs w:val="28"/>
        </w:rPr>
        <w:t xml:space="preserve">    年    月   日起至   年     月    日止（授权期限必须满足磋商有效期的要求）。</w:t>
      </w:r>
    </w:p>
    <w:p>
      <w:pPr>
        <w:spacing w:line="360" w:lineRule="auto"/>
        <w:jc w:val="left"/>
        <w:rPr>
          <w:rFonts w:eastAsia="宋体"/>
          <w:color w:val="auto"/>
          <w:sz w:val="24"/>
          <w:u w:val="single"/>
        </w:rPr>
      </w:pPr>
      <w:r>
        <w:rPr>
          <w:rFonts w:hint="eastAsia" w:eastAsia="宋体"/>
          <w:color w:val="auto"/>
          <w:sz w:val="24"/>
        </w:rPr>
        <w:t>被授权人联系电话：</w:t>
      </w:r>
    </w:p>
    <w:p>
      <w:pPr>
        <w:spacing w:line="360" w:lineRule="auto"/>
        <w:jc w:val="left"/>
        <w:rPr>
          <w:rFonts w:eastAsia="宋体"/>
          <w:color w:val="auto"/>
          <w:sz w:val="24"/>
          <w:u w:val="single"/>
        </w:rPr>
      </w:pPr>
      <w:r>
        <w:rPr>
          <w:rFonts w:hint="eastAsia" w:eastAsia="宋体"/>
          <w:color w:val="auto"/>
          <w:sz w:val="24"/>
        </w:rPr>
        <w:t>被授权人（委托代理人）签名：                授权人（法定代表人）签名：</w:t>
      </w:r>
    </w:p>
    <w:p>
      <w:pPr>
        <w:spacing w:line="360" w:lineRule="auto"/>
        <w:jc w:val="left"/>
        <w:rPr>
          <w:rFonts w:eastAsia="宋体"/>
          <w:color w:val="auto"/>
          <w:sz w:val="24"/>
          <w:u w:val="single"/>
        </w:rPr>
      </w:pPr>
      <w:r>
        <w:rPr>
          <w:rFonts w:hint="eastAsia" w:eastAsia="宋体"/>
          <w:color w:val="auto"/>
          <w:sz w:val="24"/>
        </w:rPr>
        <w:t>职务：                                      职务：</w:t>
      </w:r>
    </w:p>
    <w:p>
      <w:pPr>
        <w:spacing w:line="360" w:lineRule="auto"/>
        <w:jc w:val="left"/>
        <w:rPr>
          <w:rFonts w:eastAsia="宋体"/>
          <w:color w:val="auto"/>
          <w:sz w:val="24"/>
        </w:rPr>
      </w:pPr>
      <w:r>
        <w:rPr>
          <w:rFonts w:hint="eastAsia" w:eastAsia="宋体"/>
          <w:color w:val="auto"/>
          <w:sz w:val="24"/>
        </w:rPr>
        <w:t>附：被授权人身份证正、反面扫描（或复印）件</w:t>
      </w:r>
    </w:p>
    <w:p>
      <w:pPr>
        <w:tabs>
          <w:tab w:val="left" w:pos="168"/>
        </w:tabs>
        <w:adjustRightInd w:val="0"/>
        <w:spacing w:line="360" w:lineRule="auto"/>
        <w:jc w:val="left"/>
        <w:textAlignment w:val="baseline"/>
        <w:rPr>
          <w:rFonts w:eastAsia="宋体"/>
          <w:bCs/>
          <w:color w:val="auto"/>
          <w:sz w:val="28"/>
          <w:szCs w:val="28"/>
        </w:rPr>
      </w:pPr>
    </w:p>
    <w:p>
      <w:pPr>
        <w:tabs>
          <w:tab w:val="left" w:pos="168"/>
        </w:tabs>
        <w:adjustRightInd w:val="0"/>
        <w:spacing w:line="360" w:lineRule="auto"/>
        <w:jc w:val="left"/>
        <w:textAlignment w:val="baseline"/>
        <w:rPr>
          <w:rFonts w:eastAsia="宋体"/>
          <w:bCs/>
          <w:color w:val="auto"/>
          <w:sz w:val="28"/>
          <w:szCs w:val="28"/>
        </w:rPr>
      </w:pPr>
    </w:p>
    <w:p>
      <w:pPr>
        <w:tabs>
          <w:tab w:val="left" w:pos="168"/>
        </w:tabs>
        <w:adjustRightInd w:val="0"/>
        <w:spacing w:line="360" w:lineRule="auto"/>
        <w:jc w:val="left"/>
        <w:textAlignment w:val="baseline"/>
        <w:rPr>
          <w:rFonts w:eastAsia="宋体"/>
          <w:bCs/>
          <w:color w:val="auto"/>
          <w:sz w:val="24"/>
          <w:szCs w:val="28"/>
        </w:rPr>
      </w:pPr>
    </w:p>
    <w:p>
      <w:pPr>
        <w:tabs>
          <w:tab w:val="left" w:pos="168"/>
        </w:tabs>
        <w:adjustRightInd w:val="0"/>
        <w:spacing w:line="360" w:lineRule="auto"/>
        <w:ind w:firstLine="4958" w:firstLineChars="2058"/>
        <w:jc w:val="left"/>
        <w:textAlignment w:val="baseline"/>
        <w:outlineLvl w:val="1"/>
        <w:rPr>
          <w:rFonts w:eastAsia="宋体"/>
          <w:b/>
          <w:color w:val="auto"/>
          <w:sz w:val="24"/>
          <w:szCs w:val="28"/>
        </w:rPr>
      </w:pPr>
      <w:bookmarkStart w:id="526" w:name="_Toc31737"/>
      <w:bookmarkStart w:id="527" w:name="_Toc26776"/>
      <w:bookmarkStart w:id="528" w:name="_Toc20653"/>
      <w:r>
        <w:rPr>
          <w:rFonts w:hint="eastAsia" w:eastAsia="宋体"/>
          <w:b/>
          <w:color w:val="auto"/>
          <w:sz w:val="24"/>
          <w:szCs w:val="28"/>
        </w:rPr>
        <w:t>供应商：                   （公章）</w:t>
      </w:r>
      <w:bookmarkEnd w:id="526"/>
      <w:bookmarkEnd w:id="527"/>
      <w:bookmarkEnd w:id="528"/>
    </w:p>
    <w:p>
      <w:pPr>
        <w:tabs>
          <w:tab w:val="left" w:pos="168"/>
        </w:tabs>
        <w:adjustRightInd w:val="0"/>
        <w:spacing w:line="360" w:lineRule="auto"/>
        <w:jc w:val="right"/>
        <w:textAlignment w:val="baseline"/>
        <w:outlineLvl w:val="1"/>
        <w:rPr>
          <w:rFonts w:eastAsia="宋体"/>
          <w:b/>
          <w:color w:val="auto"/>
          <w:sz w:val="24"/>
          <w:szCs w:val="28"/>
        </w:rPr>
      </w:pPr>
      <w:bookmarkStart w:id="529" w:name="_Toc22350"/>
      <w:bookmarkStart w:id="530" w:name="_Toc30314"/>
      <w:bookmarkStart w:id="531" w:name="_Toc10198"/>
      <w:r>
        <w:rPr>
          <w:rFonts w:hint="eastAsia" w:eastAsia="宋体"/>
          <w:b/>
          <w:color w:val="auto"/>
          <w:sz w:val="24"/>
          <w:szCs w:val="28"/>
        </w:rPr>
        <w:t>法定代表人：                 （签字或盖章）</w:t>
      </w:r>
      <w:bookmarkEnd w:id="529"/>
      <w:bookmarkEnd w:id="530"/>
      <w:bookmarkEnd w:id="531"/>
    </w:p>
    <w:p>
      <w:pPr>
        <w:tabs>
          <w:tab w:val="left" w:pos="168"/>
        </w:tabs>
        <w:adjustRightInd w:val="0"/>
        <w:spacing w:line="360" w:lineRule="auto"/>
        <w:ind w:firstLine="5190" w:firstLineChars="2154"/>
        <w:jc w:val="left"/>
        <w:textAlignment w:val="baseline"/>
        <w:outlineLvl w:val="1"/>
        <w:rPr>
          <w:rFonts w:eastAsia="宋体"/>
          <w:b/>
          <w:color w:val="auto"/>
          <w:sz w:val="24"/>
          <w:szCs w:val="28"/>
        </w:rPr>
      </w:pPr>
      <w:bookmarkStart w:id="532" w:name="_Toc6635"/>
      <w:bookmarkStart w:id="533" w:name="_Toc172"/>
      <w:bookmarkStart w:id="534" w:name="_Toc26594"/>
      <w:r>
        <w:rPr>
          <w:rFonts w:hint="eastAsia" w:eastAsia="宋体"/>
          <w:b/>
          <w:color w:val="auto"/>
          <w:sz w:val="24"/>
          <w:szCs w:val="28"/>
        </w:rPr>
        <w:t>日期：          年   月   日</w:t>
      </w:r>
      <w:bookmarkEnd w:id="532"/>
      <w:bookmarkEnd w:id="533"/>
      <w:bookmarkEnd w:id="534"/>
    </w:p>
    <w:p>
      <w:pPr>
        <w:pStyle w:val="4"/>
        <w:numPr>
          <w:ilvl w:val="0"/>
          <w:numId w:val="0"/>
        </w:numPr>
        <w:spacing w:line="360" w:lineRule="auto"/>
        <w:ind w:left="709" w:hanging="709"/>
        <w:jc w:val="left"/>
        <w:rPr>
          <w:rFonts w:eastAsia="宋体" w:cs="宋体"/>
          <w:b/>
          <w:color w:val="auto"/>
          <w:sz w:val="32"/>
          <w:lang w:val="zh-CN"/>
        </w:rPr>
      </w:pPr>
      <w:r>
        <w:rPr>
          <w:rFonts w:hint="eastAsia" w:eastAsia="宋体" w:cs="宋体"/>
          <w:bCs/>
          <w:color w:val="auto"/>
          <w:sz w:val="24"/>
        </w:rPr>
        <w:br w:type="page"/>
      </w:r>
      <w:bookmarkStart w:id="535" w:name="_Toc17370"/>
      <w:bookmarkStart w:id="536" w:name="_Toc16675"/>
      <w:bookmarkStart w:id="537" w:name="_Toc1409"/>
      <w:bookmarkStart w:id="538" w:name="_Toc27116"/>
      <w:bookmarkStart w:id="539" w:name="_Toc20434"/>
      <w:bookmarkStart w:id="540" w:name="_Toc14487"/>
      <w:r>
        <w:rPr>
          <w:rFonts w:hint="eastAsia" w:eastAsia="宋体" w:cs="宋体"/>
          <w:b/>
          <w:color w:val="auto"/>
          <w:sz w:val="32"/>
          <w:lang w:val="zh-CN"/>
        </w:rPr>
        <w:t>格式4、磋商供应商承诺书</w:t>
      </w:r>
      <w:bookmarkEnd w:id="535"/>
      <w:bookmarkEnd w:id="536"/>
      <w:bookmarkEnd w:id="537"/>
      <w:bookmarkEnd w:id="538"/>
      <w:bookmarkEnd w:id="539"/>
      <w:bookmarkEnd w:id="540"/>
    </w:p>
    <w:p>
      <w:pPr>
        <w:spacing w:line="360" w:lineRule="auto"/>
        <w:jc w:val="left"/>
        <w:rPr>
          <w:rFonts w:eastAsia="宋体"/>
          <w:color w:val="auto"/>
          <w:lang w:val="zh-CN"/>
        </w:rPr>
      </w:pPr>
    </w:p>
    <w:p>
      <w:pPr>
        <w:adjustRightInd w:val="0"/>
        <w:spacing w:line="360" w:lineRule="auto"/>
        <w:jc w:val="center"/>
        <w:textAlignment w:val="baseline"/>
        <w:rPr>
          <w:rFonts w:eastAsia="宋体"/>
          <w:b/>
          <w:color w:val="auto"/>
          <w:sz w:val="32"/>
          <w:szCs w:val="30"/>
        </w:rPr>
      </w:pPr>
      <w:r>
        <w:rPr>
          <w:rFonts w:hint="eastAsia" w:eastAsia="宋体"/>
          <w:b/>
          <w:color w:val="auto"/>
          <w:sz w:val="32"/>
          <w:szCs w:val="30"/>
        </w:rPr>
        <w:t>磋商供应商承诺书</w:t>
      </w:r>
    </w:p>
    <w:p>
      <w:pPr>
        <w:pStyle w:val="19"/>
        <w:spacing w:line="360" w:lineRule="auto"/>
        <w:rPr>
          <w:rFonts w:ascii="宋体" w:hAnsi="宋体" w:eastAsia="宋体" w:cs="宋体"/>
          <w:color w:val="auto"/>
          <w:lang w:val="zh-CN"/>
        </w:rPr>
      </w:pPr>
    </w:p>
    <w:p>
      <w:pPr>
        <w:spacing w:line="360" w:lineRule="auto"/>
        <w:jc w:val="left"/>
        <w:outlineLvl w:val="1"/>
        <w:rPr>
          <w:rFonts w:eastAsia="宋体"/>
          <w:color w:val="auto"/>
        </w:rPr>
      </w:pPr>
      <w:bookmarkStart w:id="541" w:name="_Toc17320"/>
      <w:bookmarkStart w:id="542" w:name="_Toc18574"/>
      <w:bookmarkStart w:id="543" w:name="_Toc23374"/>
      <w:r>
        <w:rPr>
          <w:rFonts w:hint="eastAsia" w:eastAsia="宋体"/>
          <w:b/>
          <w:bCs/>
          <w:color w:val="auto"/>
          <w:sz w:val="24"/>
          <w:szCs w:val="28"/>
        </w:rPr>
        <w:t>致：</w:t>
      </w:r>
      <w:bookmarkEnd w:id="541"/>
      <w:r>
        <w:rPr>
          <w:rFonts w:hint="eastAsia" w:eastAsia="宋体"/>
          <w:b/>
          <w:bCs/>
          <w:color w:val="auto"/>
          <w:sz w:val="24"/>
          <w:szCs w:val="28"/>
        </w:rPr>
        <w:t>青海中旭工程项目管理有限公司</w:t>
      </w:r>
      <w:bookmarkEnd w:id="542"/>
      <w:bookmarkEnd w:id="543"/>
    </w:p>
    <w:p>
      <w:pPr>
        <w:spacing w:line="360" w:lineRule="auto"/>
        <w:ind w:firstLine="480" w:firstLineChars="200"/>
        <w:jc w:val="left"/>
        <w:rPr>
          <w:rFonts w:eastAsia="宋体"/>
          <w:color w:val="auto"/>
          <w:sz w:val="24"/>
          <w:szCs w:val="28"/>
        </w:rPr>
      </w:pPr>
      <w:r>
        <w:rPr>
          <w:rFonts w:hint="eastAsia" w:eastAsia="宋体"/>
          <w:color w:val="auto"/>
          <w:sz w:val="24"/>
          <w:szCs w:val="28"/>
        </w:rPr>
        <w:t>关于贵方</w:t>
      </w:r>
      <w:r>
        <w:rPr>
          <w:rFonts w:hint="eastAsia" w:eastAsia="宋体"/>
          <w:color w:val="auto"/>
          <w:sz w:val="24"/>
          <w:szCs w:val="28"/>
          <w:u w:val="single"/>
        </w:rPr>
        <w:t>2022年   月   日          (项目名称)</w:t>
      </w:r>
      <w:r>
        <w:rPr>
          <w:rFonts w:hint="eastAsia" w:eastAsia="宋体"/>
          <w:color w:val="auto"/>
          <w:sz w:val="24"/>
          <w:szCs w:val="28"/>
        </w:rPr>
        <w:t>，本签字人愿意参加磋商，提供磋商文件第六部分采购需求的所有服务，并证实提交的所有资料是准确的和真实的。同时，我代表</w:t>
      </w:r>
      <w:r>
        <w:rPr>
          <w:rFonts w:hint="eastAsia" w:eastAsia="宋体"/>
          <w:color w:val="auto"/>
          <w:sz w:val="24"/>
          <w:szCs w:val="28"/>
          <w:u w:val="single"/>
        </w:rPr>
        <w:t>（供应商名称）</w:t>
      </w:r>
      <w:r>
        <w:rPr>
          <w:rFonts w:hint="eastAsia" w:eastAsia="宋体"/>
          <w:color w:val="auto"/>
          <w:sz w:val="24"/>
          <w:szCs w:val="28"/>
        </w:rPr>
        <w:t>，在此作如下承诺：</w:t>
      </w:r>
    </w:p>
    <w:p>
      <w:pPr>
        <w:spacing w:line="360" w:lineRule="auto"/>
        <w:ind w:firstLine="480" w:firstLineChars="200"/>
        <w:jc w:val="left"/>
        <w:rPr>
          <w:rFonts w:eastAsia="宋体"/>
          <w:color w:val="auto"/>
          <w:sz w:val="24"/>
          <w:szCs w:val="28"/>
        </w:rPr>
      </w:pPr>
      <w:r>
        <w:rPr>
          <w:rFonts w:hint="eastAsia" w:eastAsia="宋体"/>
          <w:color w:val="auto"/>
          <w:sz w:val="24"/>
          <w:szCs w:val="28"/>
        </w:rPr>
        <w:t>1、完全理解和接受磋商文件的一切规定和要求；</w:t>
      </w:r>
    </w:p>
    <w:p>
      <w:pPr>
        <w:spacing w:line="360" w:lineRule="auto"/>
        <w:ind w:firstLine="480" w:firstLineChars="200"/>
        <w:jc w:val="left"/>
        <w:rPr>
          <w:rFonts w:eastAsia="宋体"/>
          <w:color w:val="auto"/>
          <w:sz w:val="24"/>
          <w:szCs w:val="28"/>
        </w:rPr>
      </w:pPr>
      <w:r>
        <w:rPr>
          <w:rFonts w:hint="eastAsia" w:eastAsia="宋体"/>
          <w:color w:val="auto"/>
          <w:sz w:val="24"/>
          <w:szCs w:val="28"/>
        </w:rPr>
        <w:t>2、若成交，我方将按照磋商文件的具体规定与采购单位签订合同，并且严格履行合同义务，按时提供优质的服务。如果在合同执行过程中，发现有任何问题，我方一定尽快提供实施相应补救措施或方案，并承担相应的经济责任；</w:t>
      </w:r>
    </w:p>
    <w:p>
      <w:pPr>
        <w:spacing w:line="360" w:lineRule="auto"/>
        <w:ind w:firstLine="480" w:firstLineChars="200"/>
        <w:jc w:val="left"/>
        <w:rPr>
          <w:rFonts w:eastAsia="宋体"/>
          <w:color w:val="auto"/>
          <w:sz w:val="24"/>
          <w:szCs w:val="28"/>
        </w:rPr>
      </w:pPr>
      <w:r>
        <w:rPr>
          <w:rFonts w:hint="eastAsia" w:eastAsia="宋体"/>
          <w:color w:val="auto"/>
          <w:sz w:val="24"/>
          <w:szCs w:val="28"/>
        </w:rPr>
        <w:t>3、在整个磋商过程中我方若有违规行为，贵方可按磋商文件之规定给予惩罚，我方完全接受；</w:t>
      </w:r>
    </w:p>
    <w:p>
      <w:pPr>
        <w:spacing w:line="360" w:lineRule="auto"/>
        <w:ind w:firstLine="480" w:firstLineChars="200"/>
        <w:jc w:val="left"/>
        <w:rPr>
          <w:rFonts w:eastAsia="宋体"/>
          <w:color w:val="auto"/>
          <w:sz w:val="24"/>
          <w:szCs w:val="28"/>
        </w:rPr>
      </w:pPr>
      <w:r>
        <w:rPr>
          <w:rFonts w:hint="eastAsia" w:eastAsia="宋体"/>
          <w:color w:val="auto"/>
          <w:sz w:val="24"/>
          <w:szCs w:val="28"/>
        </w:rPr>
        <w:t>4、若成交，本承诺将成为合同不可分割的一部分，与合同具有同等的法律效力。</w:t>
      </w:r>
    </w:p>
    <w:p>
      <w:pPr>
        <w:tabs>
          <w:tab w:val="left" w:pos="168"/>
        </w:tabs>
        <w:adjustRightInd w:val="0"/>
        <w:spacing w:line="360" w:lineRule="auto"/>
        <w:ind w:firstLine="560" w:firstLineChars="200"/>
        <w:jc w:val="left"/>
        <w:textAlignment w:val="baseline"/>
        <w:rPr>
          <w:rFonts w:eastAsia="宋体"/>
          <w:bCs/>
          <w:color w:val="auto"/>
          <w:sz w:val="28"/>
          <w:szCs w:val="28"/>
        </w:rPr>
      </w:pPr>
    </w:p>
    <w:p>
      <w:pPr>
        <w:tabs>
          <w:tab w:val="left" w:pos="168"/>
        </w:tabs>
        <w:adjustRightInd w:val="0"/>
        <w:spacing w:line="360" w:lineRule="auto"/>
        <w:jc w:val="left"/>
        <w:textAlignment w:val="baseline"/>
        <w:rPr>
          <w:rFonts w:eastAsia="宋体"/>
          <w:bCs/>
          <w:color w:val="auto"/>
          <w:sz w:val="28"/>
          <w:szCs w:val="28"/>
        </w:rPr>
      </w:pPr>
    </w:p>
    <w:p>
      <w:pPr>
        <w:tabs>
          <w:tab w:val="left" w:pos="168"/>
        </w:tabs>
        <w:adjustRightInd w:val="0"/>
        <w:spacing w:line="360" w:lineRule="auto"/>
        <w:ind w:firstLine="560" w:firstLineChars="200"/>
        <w:jc w:val="left"/>
        <w:textAlignment w:val="baseline"/>
        <w:rPr>
          <w:rFonts w:eastAsia="宋体"/>
          <w:bCs/>
          <w:color w:val="auto"/>
          <w:sz w:val="28"/>
          <w:szCs w:val="28"/>
        </w:rPr>
      </w:pPr>
    </w:p>
    <w:p>
      <w:pPr>
        <w:tabs>
          <w:tab w:val="left" w:pos="168"/>
        </w:tabs>
        <w:adjustRightInd w:val="0"/>
        <w:spacing w:line="360" w:lineRule="auto"/>
        <w:ind w:firstLine="560" w:firstLineChars="200"/>
        <w:jc w:val="left"/>
        <w:textAlignment w:val="baseline"/>
        <w:rPr>
          <w:rFonts w:eastAsia="宋体"/>
          <w:bCs/>
          <w:color w:val="auto"/>
          <w:sz w:val="28"/>
          <w:szCs w:val="28"/>
        </w:rPr>
      </w:pPr>
    </w:p>
    <w:p>
      <w:pPr>
        <w:tabs>
          <w:tab w:val="left" w:pos="168"/>
        </w:tabs>
        <w:adjustRightInd w:val="0"/>
        <w:spacing w:line="360" w:lineRule="auto"/>
        <w:jc w:val="left"/>
        <w:textAlignment w:val="baseline"/>
        <w:rPr>
          <w:rFonts w:eastAsia="宋体"/>
          <w:bCs/>
          <w:color w:val="auto"/>
          <w:sz w:val="24"/>
          <w:szCs w:val="28"/>
        </w:rPr>
      </w:pPr>
    </w:p>
    <w:p>
      <w:pPr>
        <w:tabs>
          <w:tab w:val="left" w:pos="168"/>
        </w:tabs>
        <w:adjustRightInd w:val="0"/>
        <w:spacing w:line="360" w:lineRule="auto"/>
        <w:ind w:firstLine="4958" w:firstLineChars="2058"/>
        <w:jc w:val="left"/>
        <w:textAlignment w:val="baseline"/>
        <w:outlineLvl w:val="1"/>
        <w:rPr>
          <w:rFonts w:eastAsia="宋体"/>
          <w:b/>
          <w:color w:val="auto"/>
          <w:sz w:val="24"/>
          <w:szCs w:val="28"/>
        </w:rPr>
      </w:pPr>
      <w:bookmarkStart w:id="544" w:name="_Toc21455"/>
      <w:bookmarkStart w:id="545" w:name="_Toc29929"/>
      <w:bookmarkStart w:id="546" w:name="_Toc23552"/>
      <w:r>
        <w:rPr>
          <w:rFonts w:hint="eastAsia" w:eastAsia="宋体"/>
          <w:b/>
          <w:color w:val="auto"/>
          <w:sz w:val="24"/>
          <w:szCs w:val="28"/>
        </w:rPr>
        <w:t>供应商：                   （公章）</w:t>
      </w:r>
      <w:bookmarkEnd w:id="544"/>
      <w:bookmarkEnd w:id="545"/>
      <w:bookmarkEnd w:id="546"/>
    </w:p>
    <w:p>
      <w:pPr>
        <w:tabs>
          <w:tab w:val="left" w:pos="168"/>
        </w:tabs>
        <w:adjustRightInd w:val="0"/>
        <w:spacing w:line="360" w:lineRule="auto"/>
        <w:jc w:val="right"/>
        <w:textAlignment w:val="baseline"/>
        <w:outlineLvl w:val="1"/>
        <w:rPr>
          <w:rFonts w:eastAsia="宋体"/>
          <w:b/>
          <w:color w:val="auto"/>
          <w:sz w:val="24"/>
          <w:szCs w:val="28"/>
        </w:rPr>
      </w:pPr>
      <w:bookmarkStart w:id="547" w:name="_Toc4789"/>
      <w:bookmarkStart w:id="548" w:name="_Toc22570"/>
      <w:bookmarkStart w:id="549" w:name="_Toc10979"/>
      <w:r>
        <w:rPr>
          <w:rFonts w:hint="eastAsia" w:eastAsia="宋体"/>
          <w:b/>
          <w:color w:val="auto"/>
          <w:sz w:val="24"/>
          <w:szCs w:val="28"/>
        </w:rPr>
        <w:t>委托代理人或法定代表人：                 （签字或盖章）</w:t>
      </w:r>
      <w:bookmarkEnd w:id="547"/>
      <w:bookmarkEnd w:id="548"/>
      <w:bookmarkEnd w:id="549"/>
    </w:p>
    <w:p>
      <w:pPr>
        <w:tabs>
          <w:tab w:val="left" w:pos="168"/>
        </w:tabs>
        <w:adjustRightInd w:val="0"/>
        <w:spacing w:line="360" w:lineRule="auto"/>
        <w:ind w:firstLine="5190" w:firstLineChars="2154"/>
        <w:jc w:val="left"/>
        <w:textAlignment w:val="baseline"/>
        <w:outlineLvl w:val="1"/>
        <w:rPr>
          <w:rFonts w:eastAsia="宋体"/>
          <w:b/>
          <w:color w:val="auto"/>
          <w:sz w:val="24"/>
          <w:szCs w:val="28"/>
        </w:rPr>
      </w:pPr>
      <w:bookmarkStart w:id="550" w:name="_Toc29148"/>
      <w:bookmarkStart w:id="551" w:name="_Toc1682"/>
      <w:bookmarkStart w:id="552" w:name="_Toc11345"/>
      <w:r>
        <w:rPr>
          <w:rFonts w:hint="eastAsia" w:eastAsia="宋体"/>
          <w:b/>
          <w:color w:val="auto"/>
          <w:sz w:val="24"/>
          <w:szCs w:val="28"/>
        </w:rPr>
        <w:t>日期：          年   月   日</w:t>
      </w:r>
      <w:bookmarkEnd w:id="550"/>
      <w:bookmarkEnd w:id="551"/>
      <w:bookmarkEnd w:id="552"/>
    </w:p>
    <w:p>
      <w:pPr>
        <w:tabs>
          <w:tab w:val="left" w:pos="168"/>
        </w:tabs>
        <w:adjustRightInd w:val="0"/>
        <w:spacing w:line="360" w:lineRule="auto"/>
        <w:jc w:val="left"/>
        <w:textAlignment w:val="baseline"/>
        <w:rPr>
          <w:rFonts w:eastAsia="宋体"/>
          <w:bCs/>
          <w:color w:val="auto"/>
          <w:sz w:val="24"/>
          <w:szCs w:val="28"/>
        </w:rPr>
      </w:pPr>
    </w:p>
    <w:p>
      <w:pPr>
        <w:pStyle w:val="4"/>
        <w:numPr>
          <w:ilvl w:val="0"/>
          <w:numId w:val="0"/>
        </w:numPr>
        <w:spacing w:line="360" w:lineRule="auto"/>
        <w:ind w:left="709" w:hanging="709"/>
        <w:jc w:val="left"/>
        <w:rPr>
          <w:rFonts w:eastAsia="宋体" w:cs="宋体"/>
          <w:b/>
          <w:color w:val="auto"/>
          <w:sz w:val="32"/>
          <w:lang w:val="zh-CN"/>
        </w:rPr>
      </w:pPr>
      <w:r>
        <w:rPr>
          <w:rFonts w:hint="eastAsia" w:eastAsia="宋体" w:cs="宋体"/>
          <w:bCs/>
          <w:color w:val="auto"/>
          <w:sz w:val="24"/>
        </w:rPr>
        <w:br w:type="page"/>
      </w:r>
      <w:bookmarkStart w:id="553" w:name="_Toc23913"/>
      <w:bookmarkStart w:id="554" w:name="_Toc6915"/>
      <w:bookmarkStart w:id="555" w:name="_Toc31417"/>
      <w:bookmarkStart w:id="556" w:name="_Toc14531"/>
      <w:bookmarkStart w:id="557" w:name="_Toc9516"/>
      <w:bookmarkStart w:id="558" w:name="_Toc25171"/>
      <w:r>
        <w:rPr>
          <w:rFonts w:hint="eastAsia" w:eastAsia="宋体" w:cs="宋体"/>
          <w:b/>
          <w:color w:val="auto"/>
          <w:sz w:val="32"/>
          <w:lang w:val="zh-CN"/>
        </w:rPr>
        <w:t>格式5、供应商诚信承诺书</w:t>
      </w:r>
      <w:bookmarkEnd w:id="553"/>
      <w:bookmarkEnd w:id="554"/>
      <w:bookmarkEnd w:id="555"/>
      <w:bookmarkEnd w:id="556"/>
      <w:bookmarkEnd w:id="557"/>
      <w:bookmarkEnd w:id="558"/>
    </w:p>
    <w:p>
      <w:pPr>
        <w:spacing w:line="360" w:lineRule="auto"/>
        <w:jc w:val="left"/>
        <w:rPr>
          <w:rFonts w:eastAsia="宋体"/>
          <w:color w:val="auto"/>
          <w:lang w:val="zh-CN"/>
        </w:rPr>
      </w:pPr>
    </w:p>
    <w:p>
      <w:pPr>
        <w:adjustRightInd w:val="0"/>
        <w:spacing w:line="360" w:lineRule="auto"/>
        <w:jc w:val="center"/>
        <w:textAlignment w:val="baseline"/>
        <w:rPr>
          <w:rFonts w:eastAsia="宋体"/>
          <w:b/>
          <w:color w:val="auto"/>
          <w:sz w:val="32"/>
          <w:szCs w:val="30"/>
        </w:rPr>
      </w:pPr>
      <w:r>
        <w:rPr>
          <w:rFonts w:hint="eastAsia" w:eastAsia="宋体"/>
          <w:b/>
          <w:color w:val="auto"/>
          <w:sz w:val="32"/>
          <w:szCs w:val="30"/>
        </w:rPr>
        <w:t>供应商诚信承诺书</w:t>
      </w:r>
    </w:p>
    <w:p>
      <w:pPr>
        <w:autoSpaceDE w:val="0"/>
        <w:autoSpaceDN w:val="0"/>
        <w:adjustRightInd w:val="0"/>
        <w:spacing w:line="360" w:lineRule="auto"/>
        <w:jc w:val="left"/>
        <w:rPr>
          <w:rFonts w:eastAsia="宋体"/>
          <w:color w:val="auto"/>
          <w:sz w:val="24"/>
          <w:lang w:val="zh-CN"/>
        </w:rPr>
      </w:pPr>
    </w:p>
    <w:p>
      <w:pPr>
        <w:autoSpaceDE w:val="0"/>
        <w:autoSpaceDN w:val="0"/>
        <w:adjustRightInd w:val="0"/>
        <w:spacing w:line="360" w:lineRule="auto"/>
        <w:jc w:val="left"/>
        <w:outlineLvl w:val="1"/>
        <w:rPr>
          <w:rFonts w:eastAsia="宋体"/>
          <w:b/>
          <w:bCs/>
          <w:color w:val="auto"/>
          <w:sz w:val="24"/>
          <w:lang w:val="zh-CN"/>
        </w:rPr>
      </w:pPr>
      <w:bookmarkStart w:id="559" w:name="_Toc13069"/>
      <w:bookmarkStart w:id="560" w:name="_Toc9051"/>
      <w:bookmarkStart w:id="561" w:name="_Toc18745"/>
      <w:r>
        <w:rPr>
          <w:rFonts w:hint="eastAsia" w:eastAsia="宋体"/>
          <w:b/>
          <w:bCs/>
          <w:color w:val="auto"/>
          <w:sz w:val="24"/>
          <w:lang w:val="zh-CN"/>
        </w:rPr>
        <w:t>致：</w:t>
      </w:r>
      <w:bookmarkEnd w:id="559"/>
      <w:r>
        <w:rPr>
          <w:rFonts w:hint="eastAsia" w:eastAsia="宋体"/>
          <w:b/>
          <w:bCs/>
          <w:color w:val="auto"/>
          <w:sz w:val="24"/>
          <w:lang w:val="zh-CN"/>
        </w:rPr>
        <w:t>青海中旭工程项目管理有限公司</w:t>
      </w:r>
      <w:bookmarkEnd w:id="560"/>
      <w:bookmarkEnd w:id="561"/>
    </w:p>
    <w:p>
      <w:pPr>
        <w:autoSpaceDE w:val="0"/>
        <w:autoSpaceDN w:val="0"/>
        <w:adjustRightInd w:val="0"/>
        <w:spacing w:line="360" w:lineRule="auto"/>
        <w:jc w:val="left"/>
        <w:rPr>
          <w:rFonts w:eastAsia="宋体"/>
          <w:color w:val="auto"/>
          <w:sz w:val="24"/>
          <w:lang w:val="zh-CN"/>
        </w:rPr>
      </w:pPr>
    </w:p>
    <w:p>
      <w:pPr>
        <w:autoSpaceDE w:val="0"/>
        <w:autoSpaceDN w:val="0"/>
        <w:adjustRightInd w:val="0"/>
        <w:spacing w:line="360" w:lineRule="auto"/>
        <w:ind w:firstLine="480"/>
        <w:jc w:val="left"/>
        <w:rPr>
          <w:rFonts w:eastAsia="宋体"/>
          <w:color w:val="auto"/>
          <w:sz w:val="24"/>
          <w:lang w:val="zh-CN"/>
        </w:rPr>
      </w:pPr>
      <w:r>
        <w:rPr>
          <w:rFonts w:hint="eastAsia" w:eastAsia="宋体"/>
          <w:color w:val="auto"/>
          <w:sz w:val="24"/>
          <w:lang w:val="zh-CN"/>
        </w:rPr>
        <w:t>为了诚实、客观、有序地参与青海省政府采购活动，愿就以下内容做出承诺：</w:t>
      </w:r>
    </w:p>
    <w:p>
      <w:pPr>
        <w:autoSpaceDE w:val="0"/>
        <w:autoSpaceDN w:val="0"/>
        <w:adjustRightInd w:val="0"/>
        <w:spacing w:line="360" w:lineRule="auto"/>
        <w:ind w:firstLine="480"/>
        <w:jc w:val="left"/>
        <w:rPr>
          <w:rFonts w:eastAsia="宋体"/>
          <w:color w:val="auto"/>
          <w:sz w:val="24"/>
          <w:lang w:val="zh-CN"/>
        </w:rPr>
      </w:pPr>
      <w:r>
        <w:rPr>
          <w:rFonts w:hint="eastAsia" w:eastAsia="宋体"/>
          <w:color w:val="auto"/>
          <w:sz w:val="24"/>
          <w:lang w:val="zh-CN"/>
        </w:rPr>
        <w:t>一、自觉遵守各项法律、法规、规章、制度以及社会公德，维护廉洁环境，与同场竞争的其他供应商平等参加政府采购活动。</w:t>
      </w:r>
    </w:p>
    <w:p>
      <w:pPr>
        <w:autoSpaceDE w:val="0"/>
        <w:autoSpaceDN w:val="0"/>
        <w:adjustRightInd w:val="0"/>
        <w:spacing w:line="360" w:lineRule="auto"/>
        <w:ind w:firstLine="480"/>
        <w:jc w:val="left"/>
        <w:rPr>
          <w:rFonts w:eastAsia="宋体"/>
          <w:color w:val="auto"/>
          <w:sz w:val="24"/>
          <w:lang w:val="zh-CN"/>
        </w:rPr>
      </w:pPr>
      <w:r>
        <w:rPr>
          <w:rFonts w:hint="eastAsia" w:eastAsia="宋体"/>
          <w:color w:val="auto"/>
          <w:sz w:val="24"/>
          <w:lang w:val="zh-CN"/>
        </w:rPr>
        <w:t>二、参加采购代理机构组织的政府采购活动时，严格按照磋商文件的规定和要求提供所需的相关材料，并对所提供的各类资料的真实性负责，不虚假应标，不虚列业绩。</w:t>
      </w:r>
    </w:p>
    <w:p>
      <w:pPr>
        <w:autoSpaceDE w:val="0"/>
        <w:autoSpaceDN w:val="0"/>
        <w:adjustRightInd w:val="0"/>
        <w:spacing w:line="360" w:lineRule="auto"/>
        <w:ind w:firstLine="480"/>
        <w:jc w:val="left"/>
        <w:rPr>
          <w:rFonts w:eastAsia="宋体"/>
          <w:color w:val="auto"/>
          <w:sz w:val="24"/>
          <w:lang w:val="zh-CN"/>
        </w:rPr>
      </w:pPr>
      <w:r>
        <w:rPr>
          <w:rFonts w:hint="eastAsia" w:eastAsia="宋体"/>
          <w:color w:val="auto"/>
          <w:sz w:val="24"/>
          <w:lang w:val="zh-CN"/>
        </w:rPr>
        <w:t>三、尊重参与政府采购活动各相关方的合法行为，接受政府采购活动依法形成的意见、结果。</w:t>
      </w:r>
    </w:p>
    <w:p>
      <w:pPr>
        <w:autoSpaceDE w:val="0"/>
        <w:autoSpaceDN w:val="0"/>
        <w:adjustRightInd w:val="0"/>
        <w:spacing w:line="360" w:lineRule="auto"/>
        <w:ind w:firstLine="480"/>
        <w:jc w:val="left"/>
        <w:rPr>
          <w:rFonts w:eastAsia="宋体"/>
          <w:color w:val="auto"/>
          <w:sz w:val="24"/>
          <w:lang w:val="zh-CN"/>
        </w:rPr>
      </w:pPr>
      <w:r>
        <w:rPr>
          <w:rFonts w:hint="eastAsia" w:eastAsia="宋体"/>
          <w:color w:val="auto"/>
          <w:sz w:val="24"/>
          <w:lang w:val="zh-CN"/>
        </w:rPr>
        <w:t>四、依法参加政府采购活动，不围标、串标，维护市场秩序，不提供“三无”产品、以次充好。</w:t>
      </w:r>
    </w:p>
    <w:p>
      <w:pPr>
        <w:autoSpaceDE w:val="0"/>
        <w:autoSpaceDN w:val="0"/>
        <w:adjustRightInd w:val="0"/>
        <w:spacing w:line="360" w:lineRule="auto"/>
        <w:ind w:firstLine="480"/>
        <w:jc w:val="left"/>
        <w:rPr>
          <w:rFonts w:eastAsia="宋体"/>
          <w:color w:val="auto"/>
          <w:sz w:val="24"/>
          <w:lang w:val="zh-CN"/>
        </w:rPr>
      </w:pPr>
      <w:r>
        <w:rPr>
          <w:rFonts w:hint="eastAsia" w:eastAsia="宋体"/>
          <w:color w:val="auto"/>
          <w:sz w:val="24"/>
          <w:lang w:val="zh-CN"/>
        </w:rPr>
        <w:t>五、积极推动政府采购活动健康开展，对采购活动有疑问、异议时，按法律规定的程序实名反映情况，不恶意中伤、无事生非，以和谐、平等的心态参加政府采购活动。</w:t>
      </w:r>
    </w:p>
    <w:p>
      <w:pPr>
        <w:autoSpaceDE w:val="0"/>
        <w:autoSpaceDN w:val="0"/>
        <w:adjustRightInd w:val="0"/>
        <w:spacing w:line="360" w:lineRule="auto"/>
        <w:ind w:firstLine="480"/>
        <w:jc w:val="left"/>
        <w:rPr>
          <w:rFonts w:eastAsia="宋体"/>
          <w:color w:val="auto"/>
          <w:sz w:val="24"/>
          <w:lang w:val="zh-CN"/>
        </w:rPr>
      </w:pPr>
      <w:r>
        <w:rPr>
          <w:rFonts w:hint="eastAsia" w:eastAsia="宋体"/>
          <w:color w:val="auto"/>
          <w:sz w:val="24"/>
          <w:lang w:val="zh-CN"/>
        </w:rPr>
        <w:t>六、认真履行成交人应承担的责任和义务，全面执行采购合同规定的各项内容，保质保量地按时提供采购物品。</w:t>
      </w:r>
    </w:p>
    <w:p>
      <w:pPr>
        <w:autoSpaceDE w:val="0"/>
        <w:autoSpaceDN w:val="0"/>
        <w:adjustRightInd w:val="0"/>
        <w:spacing w:line="360" w:lineRule="auto"/>
        <w:ind w:firstLine="480" w:firstLineChars="200"/>
        <w:jc w:val="left"/>
        <w:rPr>
          <w:rFonts w:eastAsia="宋体"/>
          <w:color w:val="auto"/>
          <w:sz w:val="24"/>
          <w:lang w:val="zh-CN"/>
        </w:rPr>
      </w:pPr>
      <w:r>
        <w:rPr>
          <w:rFonts w:hint="eastAsia" w:eastAsia="宋体"/>
          <w:color w:val="auto"/>
          <w:sz w:val="24"/>
          <w:lang w:val="zh-CN"/>
        </w:rPr>
        <w:t>若本企业（单位）发生有悖于上述承诺的行为，愿意接受《中华人民共和国政府采购法》和《政府采购法实施条例》中对供应商的相关处理。</w:t>
      </w:r>
    </w:p>
    <w:p>
      <w:pPr>
        <w:autoSpaceDE w:val="0"/>
        <w:autoSpaceDN w:val="0"/>
        <w:adjustRightInd w:val="0"/>
        <w:spacing w:line="360" w:lineRule="auto"/>
        <w:ind w:firstLine="480" w:firstLineChars="200"/>
        <w:jc w:val="left"/>
        <w:rPr>
          <w:rFonts w:eastAsia="宋体"/>
          <w:bCs/>
          <w:color w:val="auto"/>
          <w:sz w:val="28"/>
          <w:szCs w:val="28"/>
        </w:rPr>
      </w:pPr>
      <w:r>
        <w:rPr>
          <w:rFonts w:hint="eastAsia" w:eastAsia="宋体"/>
          <w:color w:val="auto"/>
          <w:sz w:val="24"/>
          <w:lang w:val="zh-CN"/>
        </w:rPr>
        <w:t>本承诺是采购项目磋商文件的组成部分。</w:t>
      </w:r>
      <w:bookmarkStart w:id="562" w:name="_Toc444715739"/>
      <w:bookmarkStart w:id="563" w:name="_Toc17097"/>
    </w:p>
    <w:p>
      <w:pPr>
        <w:tabs>
          <w:tab w:val="left" w:pos="168"/>
        </w:tabs>
        <w:adjustRightInd w:val="0"/>
        <w:spacing w:line="360" w:lineRule="auto"/>
        <w:jc w:val="left"/>
        <w:textAlignment w:val="baseline"/>
        <w:rPr>
          <w:rFonts w:eastAsia="宋体"/>
          <w:bCs/>
          <w:color w:val="auto"/>
          <w:sz w:val="24"/>
          <w:szCs w:val="28"/>
        </w:rPr>
      </w:pPr>
    </w:p>
    <w:p>
      <w:pPr>
        <w:tabs>
          <w:tab w:val="left" w:pos="168"/>
        </w:tabs>
        <w:adjustRightInd w:val="0"/>
        <w:spacing w:line="360" w:lineRule="auto"/>
        <w:ind w:firstLine="4958" w:firstLineChars="2058"/>
        <w:jc w:val="left"/>
        <w:textAlignment w:val="baseline"/>
        <w:outlineLvl w:val="1"/>
        <w:rPr>
          <w:rFonts w:eastAsia="宋体"/>
          <w:b/>
          <w:color w:val="auto"/>
          <w:sz w:val="24"/>
          <w:szCs w:val="28"/>
        </w:rPr>
      </w:pPr>
      <w:bookmarkStart w:id="564" w:name="_Toc3930"/>
      <w:bookmarkStart w:id="565" w:name="_Toc9608"/>
      <w:bookmarkStart w:id="566" w:name="_Toc2584"/>
      <w:r>
        <w:rPr>
          <w:rFonts w:hint="eastAsia" w:eastAsia="宋体"/>
          <w:b/>
          <w:color w:val="auto"/>
          <w:sz w:val="24"/>
          <w:szCs w:val="28"/>
        </w:rPr>
        <w:t>供应商：                   （公章）</w:t>
      </w:r>
      <w:bookmarkEnd w:id="564"/>
      <w:bookmarkEnd w:id="565"/>
      <w:bookmarkEnd w:id="566"/>
    </w:p>
    <w:p>
      <w:pPr>
        <w:tabs>
          <w:tab w:val="left" w:pos="168"/>
        </w:tabs>
        <w:adjustRightInd w:val="0"/>
        <w:spacing w:line="360" w:lineRule="auto"/>
        <w:jc w:val="right"/>
        <w:textAlignment w:val="baseline"/>
        <w:outlineLvl w:val="1"/>
        <w:rPr>
          <w:rFonts w:eastAsia="宋体"/>
          <w:b/>
          <w:color w:val="auto"/>
          <w:sz w:val="24"/>
          <w:szCs w:val="28"/>
        </w:rPr>
      </w:pPr>
      <w:bookmarkStart w:id="567" w:name="_Toc24501"/>
      <w:bookmarkStart w:id="568" w:name="_Toc28646"/>
      <w:bookmarkStart w:id="569" w:name="_Toc8036"/>
      <w:r>
        <w:rPr>
          <w:rFonts w:hint="eastAsia" w:eastAsia="宋体"/>
          <w:b/>
          <w:color w:val="auto"/>
          <w:sz w:val="24"/>
          <w:szCs w:val="28"/>
        </w:rPr>
        <w:t>委托代理人或法定代表人：                 （签字或盖章）</w:t>
      </w:r>
      <w:bookmarkEnd w:id="567"/>
      <w:bookmarkEnd w:id="568"/>
      <w:bookmarkEnd w:id="569"/>
    </w:p>
    <w:p>
      <w:pPr>
        <w:tabs>
          <w:tab w:val="left" w:pos="168"/>
        </w:tabs>
        <w:adjustRightInd w:val="0"/>
        <w:spacing w:line="360" w:lineRule="auto"/>
        <w:ind w:firstLine="5190" w:firstLineChars="2154"/>
        <w:jc w:val="left"/>
        <w:textAlignment w:val="baseline"/>
        <w:outlineLvl w:val="1"/>
        <w:rPr>
          <w:rFonts w:eastAsia="宋体"/>
          <w:bCs/>
          <w:color w:val="auto"/>
          <w:sz w:val="24"/>
          <w:szCs w:val="28"/>
        </w:rPr>
      </w:pPr>
      <w:bookmarkStart w:id="570" w:name="_Toc2262"/>
      <w:bookmarkStart w:id="571" w:name="_Toc166"/>
      <w:bookmarkStart w:id="572" w:name="_Toc2065"/>
      <w:r>
        <w:rPr>
          <w:rFonts w:hint="eastAsia" w:eastAsia="宋体"/>
          <w:b/>
          <w:color w:val="auto"/>
          <w:sz w:val="24"/>
          <w:szCs w:val="28"/>
        </w:rPr>
        <w:t>日期：          年   月   日</w:t>
      </w:r>
      <w:bookmarkEnd w:id="570"/>
      <w:bookmarkEnd w:id="571"/>
      <w:bookmarkEnd w:id="572"/>
    </w:p>
    <w:p>
      <w:pPr>
        <w:pStyle w:val="4"/>
        <w:numPr>
          <w:ilvl w:val="0"/>
          <w:numId w:val="0"/>
        </w:numPr>
        <w:spacing w:line="360" w:lineRule="auto"/>
        <w:ind w:left="709" w:hanging="709"/>
        <w:jc w:val="left"/>
        <w:rPr>
          <w:rFonts w:eastAsia="宋体" w:cs="宋体"/>
          <w:color w:val="auto"/>
          <w:lang w:val="zh-CN"/>
        </w:rPr>
      </w:pPr>
      <w:r>
        <w:rPr>
          <w:rFonts w:hint="eastAsia" w:eastAsia="宋体" w:cs="宋体"/>
          <w:bCs/>
          <w:color w:val="auto"/>
          <w:sz w:val="24"/>
        </w:rPr>
        <w:br w:type="page"/>
      </w:r>
      <w:bookmarkStart w:id="573" w:name="_Toc28522"/>
      <w:bookmarkStart w:id="574" w:name="_Toc25627"/>
      <w:bookmarkStart w:id="575" w:name="_Toc21529"/>
      <w:bookmarkStart w:id="576" w:name="_Toc10018"/>
      <w:bookmarkStart w:id="577" w:name="_Toc16481"/>
      <w:bookmarkStart w:id="578" w:name="_Toc13355"/>
      <w:r>
        <w:rPr>
          <w:rFonts w:hint="eastAsia" w:eastAsia="宋体" w:cs="宋体"/>
          <w:b/>
          <w:color w:val="auto"/>
          <w:sz w:val="32"/>
          <w:lang w:val="zh-CN"/>
        </w:rPr>
        <w:t>格式6、资格证明材料</w:t>
      </w:r>
      <w:bookmarkEnd w:id="562"/>
      <w:bookmarkEnd w:id="563"/>
      <w:bookmarkEnd w:id="573"/>
      <w:bookmarkEnd w:id="574"/>
      <w:bookmarkEnd w:id="575"/>
      <w:bookmarkEnd w:id="576"/>
      <w:bookmarkEnd w:id="577"/>
      <w:bookmarkEnd w:id="578"/>
    </w:p>
    <w:p>
      <w:pPr>
        <w:spacing w:line="360" w:lineRule="auto"/>
        <w:jc w:val="left"/>
        <w:rPr>
          <w:rFonts w:eastAsia="宋体"/>
          <w:color w:val="auto"/>
          <w:lang w:val="zh-CN"/>
        </w:rPr>
      </w:pPr>
    </w:p>
    <w:p>
      <w:pPr>
        <w:adjustRightInd w:val="0"/>
        <w:spacing w:line="360" w:lineRule="auto"/>
        <w:jc w:val="center"/>
        <w:textAlignment w:val="baseline"/>
        <w:rPr>
          <w:rFonts w:eastAsia="宋体"/>
          <w:b/>
          <w:color w:val="auto"/>
          <w:sz w:val="32"/>
          <w:szCs w:val="30"/>
        </w:rPr>
      </w:pPr>
      <w:r>
        <w:rPr>
          <w:rFonts w:hint="eastAsia" w:eastAsia="宋体"/>
          <w:b/>
          <w:color w:val="auto"/>
          <w:sz w:val="32"/>
          <w:szCs w:val="30"/>
        </w:rPr>
        <w:t>资格证明材料</w:t>
      </w:r>
    </w:p>
    <w:p>
      <w:pPr>
        <w:spacing w:line="360" w:lineRule="auto"/>
        <w:ind w:firstLine="424" w:firstLineChars="177"/>
        <w:jc w:val="left"/>
        <w:rPr>
          <w:rFonts w:eastAsia="宋体"/>
          <w:color w:val="auto"/>
          <w:sz w:val="24"/>
        </w:rPr>
      </w:pPr>
      <w:r>
        <w:rPr>
          <w:rFonts w:hint="eastAsia" w:eastAsia="宋体"/>
          <w:color w:val="auto"/>
          <w:sz w:val="24"/>
        </w:rPr>
        <w:t>资格证明材料包括：</w:t>
      </w:r>
    </w:p>
    <w:p>
      <w:pPr>
        <w:pStyle w:val="41"/>
        <w:spacing w:line="360" w:lineRule="auto"/>
        <w:ind w:left="845" w:firstLine="0" w:firstLineChars="0"/>
        <w:jc w:val="left"/>
        <w:rPr>
          <w:rFonts w:ascii="宋体" w:hAnsi="宋体" w:eastAsia="宋体" w:cs="宋体"/>
          <w:color w:val="auto"/>
          <w:sz w:val="24"/>
          <w:szCs w:val="22"/>
          <w:lang w:val="zh-CN"/>
        </w:rPr>
      </w:pPr>
      <w:bookmarkStart w:id="579" w:name="_Toc20673"/>
      <w:bookmarkStart w:id="580" w:name="_Toc444715740"/>
      <w:r>
        <w:rPr>
          <w:rFonts w:hint="eastAsia" w:ascii="宋体" w:hAnsi="宋体" w:eastAsia="宋体" w:cs="宋体"/>
          <w:color w:val="auto"/>
          <w:sz w:val="24"/>
          <w:szCs w:val="22"/>
          <w:lang w:val="zh-CN"/>
        </w:rPr>
        <w:t>（</w:t>
      </w:r>
      <w:r>
        <w:rPr>
          <w:rFonts w:hint="eastAsia" w:ascii="宋体" w:hAnsi="宋体" w:eastAsia="宋体" w:cs="宋体"/>
          <w:color w:val="auto"/>
          <w:sz w:val="24"/>
          <w:szCs w:val="22"/>
        </w:rPr>
        <w:t>1</w:t>
      </w:r>
      <w:r>
        <w:rPr>
          <w:rFonts w:hint="eastAsia" w:ascii="宋体" w:hAnsi="宋体" w:eastAsia="宋体" w:cs="宋体"/>
          <w:color w:val="auto"/>
          <w:sz w:val="24"/>
          <w:szCs w:val="22"/>
          <w:lang w:val="zh-CN"/>
        </w:rPr>
        <w:t>）提供有效的营业执照、税务登记证、机构代码证或三证（五证）合一统一社会代码证及其他资格证明文件（扫描或复印件）；</w:t>
      </w:r>
    </w:p>
    <w:p>
      <w:pPr>
        <w:pStyle w:val="41"/>
        <w:spacing w:line="360" w:lineRule="auto"/>
        <w:ind w:left="845" w:firstLine="0" w:firstLineChars="0"/>
        <w:jc w:val="left"/>
        <w:rPr>
          <w:rFonts w:ascii="宋体" w:hAnsi="宋体" w:eastAsia="宋体" w:cs="宋体"/>
          <w:color w:val="auto"/>
          <w:sz w:val="24"/>
          <w:szCs w:val="22"/>
          <w:lang w:val="zh-CN"/>
        </w:rPr>
      </w:pPr>
      <w:r>
        <w:rPr>
          <w:rFonts w:hint="eastAsia" w:ascii="宋体" w:hAnsi="宋体" w:eastAsia="宋体" w:cs="宋体"/>
          <w:color w:val="auto"/>
          <w:sz w:val="24"/>
          <w:szCs w:val="22"/>
          <w:lang w:val="zh-CN"/>
        </w:rPr>
        <w:t>（2）磋商文件规定的有关资格证书、许可证书、认证等；</w:t>
      </w:r>
    </w:p>
    <w:p>
      <w:pPr>
        <w:pStyle w:val="41"/>
        <w:spacing w:line="360" w:lineRule="auto"/>
        <w:ind w:left="845" w:firstLine="0" w:firstLineChars="0"/>
        <w:jc w:val="left"/>
        <w:rPr>
          <w:rFonts w:ascii="宋体" w:hAnsi="宋体" w:eastAsia="宋体" w:cs="宋体"/>
          <w:color w:val="auto"/>
          <w:sz w:val="24"/>
          <w:szCs w:val="22"/>
          <w:lang w:val="zh-CN"/>
        </w:rPr>
      </w:pPr>
      <w:r>
        <w:rPr>
          <w:rFonts w:hint="eastAsia" w:ascii="宋体" w:hAnsi="宋体" w:eastAsia="宋体" w:cs="宋体"/>
          <w:color w:val="auto"/>
          <w:sz w:val="24"/>
          <w:szCs w:val="22"/>
          <w:lang w:val="zh-CN"/>
        </w:rPr>
        <w:t>（3）供应商认为有必要提供的其他资格证明文件。</w:t>
      </w:r>
    </w:p>
    <w:p>
      <w:pPr>
        <w:pStyle w:val="41"/>
        <w:spacing w:line="360" w:lineRule="auto"/>
        <w:ind w:left="845" w:firstLine="0" w:firstLineChars="0"/>
        <w:jc w:val="left"/>
        <w:rPr>
          <w:rFonts w:ascii="宋体" w:hAnsi="宋体" w:eastAsia="宋体" w:cs="宋体"/>
          <w:color w:val="auto"/>
          <w:sz w:val="24"/>
          <w:szCs w:val="22"/>
          <w:lang w:val="zh-CN"/>
        </w:rPr>
      </w:pPr>
    </w:p>
    <w:p>
      <w:pPr>
        <w:pStyle w:val="4"/>
        <w:numPr>
          <w:ilvl w:val="0"/>
          <w:numId w:val="0"/>
        </w:numPr>
        <w:spacing w:line="360" w:lineRule="auto"/>
        <w:ind w:left="709" w:hanging="709"/>
        <w:jc w:val="left"/>
        <w:rPr>
          <w:rFonts w:eastAsia="宋体" w:cs="宋体"/>
          <w:b/>
          <w:color w:val="auto"/>
          <w:sz w:val="32"/>
          <w:lang w:val="zh-CN"/>
        </w:rPr>
      </w:pPr>
    </w:p>
    <w:p>
      <w:pPr>
        <w:pStyle w:val="4"/>
        <w:numPr>
          <w:ilvl w:val="0"/>
          <w:numId w:val="0"/>
        </w:numPr>
        <w:spacing w:line="360" w:lineRule="auto"/>
        <w:ind w:left="709" w:hanging="709"/>
        <w:jc w:val="left"/>
        <w:rPr>
          <w:rFonts w:eastAsia="宋体" w:cs="宋体"/>
          <w:b/>
          <w:color w:val="auto"/>
          <w:sz w:val="32"/>
          <w:lang w:val="zh-CN"/>
        </w:rPr>
      </w:pPr>
    </w:p>
    <w:p>
      <w:pPr>
        <w:pStyle w:val="4"/>
        <w:numPr>
          <w:ilvl w:val="0"/>
          <w:numId w:val="0"/>
        </w:numPr>
        <w:spacing w:line="360" w:lineRule="auto"/>
        <w:ind w:left="709" w:hanging="709"/>
        <w:jc w:val="left"/>
        <w:rPr>
          <w:rFonts w:eastAsia="宋体" w:cs="宋体"/>
          <w:b/>
          <w:color w:val="auto"/>
          <w:sz w:val="32"/>
          <w:lang w:val="zh-CN"/>
        </w:rPr>
      </w:pPr>
    </w:p>
    <w:p>
      <w:pPr>
        <w:pStyle w:val="4"/>
        <w:numPr>
          <w:ilvl w:val="0"/>
          <w:numId w:val="0"/>
        </w:numPr>
        <w:spacing w:line="360" w:lineRule="auto"/>
        <w:ind w:left="709" w:hanging="709"/>
        <w:jc w:val="left"/>
        <w:rPr>
          <w:rFonts w:eastAsia="宋体" w:cs="宋体"/>
          <w:b/>
          <w:color w:val="auto"/>
          <w:sz w:val="32"/>
          <w:lang w:val="zh-CN"/>
        </w:rPr>
      </w:pPr>
    </w:p>
    <w:p>
      <w:pPr>
        <w:pStyle w:val="4"/>
        <w:numPr>
          <w:ilvl w:val="0"/>
          <w:numId w:val="0"/>
        </w:numPr>
        <w:spacing w:line="360" w:lineRule="auto"/>
        <w:ind w:left="709" w:hanging="709"/>
        <w:jc w:val="left"/>
        <w:rPr>
          <w:rFonts w:eastAsia="宋体" w:cs="宋体"/>
          <w:b/>
          <w:color w:val="auto"/>
          <w:sz w:val="32"/>
          <w:lang w:val="zh-CN"/>
        </w:rPr>
      </w:pPr>
    </w:p>
    <w:p>
      <w:pPr>
        <w:pStyle w:val="4"/>
        <w:numPr>
          <w:ilvl w:val="0"/>
          <w:numId w:val="0"/>
        </w:numPr>
        <w:spacing w:line="360" w:lineRule="auto"/>
        <w:ind w:left="709" w:hanging="709"/>
        <w:jc w:val="left"/>
        <w:rPr>
          <w:rFonts w:eastAsia="宋体" w:cs="宋体"/>
          <w:b/>
          <w:color w:val="auto"/>
          <w:sz w:val="32"/>
          <w:lang w:val="zh-CN"/>
        </w:rPr>
      </w:pPr>
    </w:p>
    <w:p>
      <w:pPr>
        <w:pStyle w:val="4"/>
        <w:numPr>
          <w:ilvl w:val="0"/>
          <w:numId w:val="0"/>
        </w:numPr>
        <w:spacing w:line="360" w:lineRule="auto"/>
        <w:ind w:left="709" w:hanging="709"/>
        <w:jc w:val="left"/>
        <w:rPr>
          <w:rFonts w:eastAsia="宋体" w:cs="宋体"/>
          <w:b/>
          <w:color w:val="auto"/>
          <w:sz w:val="32"/>
          <w:lang w:val="zh-CN"/>
        </w:rPr>
      </w:pPr>
    </w:p>
    <w:p>
      <w:pPr>
        <w:spacing w:line="360" w:lineRule="auto"/>
        <w:jc w:val="left"/>
        <w:rPr>
          <w:rFonts w:eastAsia="宋体"/>
          <w:b/>
          <w:color w:val="auto"/>
          <w:sz w:val="32"/>
          <w:lang w:val="zh-CN"/>
        </w:rPr>
      </w:pPr>
    </w:p>
    <w:p>
      <w:pPr>
        <w:pStyle w:val="19"/>
        <w:spacing w:line="360" w:lineRule="auto"/>
        <w:rPr>
          <w:rFonts w:ascii="宋体" w:hAnsi="宋体" w:eastAsia="宋体" w:cs="宋体"/>
          <w:b/>
          <w:color w:val="auto"/>
          <w:sz w:val="32"/>
          <w:lang w:val="zh-CN"/>
        </w:rPr>
      </w:pPr>
    </w:p>
    <w:p>
      <w:pPr>
        <w:pStyle w:val="19"/>
        <w:spacing w:line="360" w:lineRule="auto"/>
        <w:rPr>
          <w:rFonts w:ascii="宋体" w:hAnsi="宋体" w:eastAsia="宋体" w:cs="宋体"/>
          <w:b/>
          <w:color w:val="auto"/>
          <w:sz w:val="32"/>
          <w:lang w:val="zh-CN"/>
        </w:rPr>
      </w:pPr>
    </w:p>
    <w:p>
      <w:pPr>
        <w:pStyle w:val="19"/>
        <w:spacing w:line="360" w:lineRule="auto"/>
        <w:rPr>
          <w:rFonts w:ascii="宋体" w:hAnsi="宋体" w:eastAsia="宋体" w:cs="宋体"/>
          <w:b/>
          <w:color w:val="auto"/>
          <w:sz w:val="32"/>
          <w:lang w:val="zh-CN"/>
        </w:rPr>
      </w:pPr>
    </w:p>
    <w:p>
      <w:pPr>
        <w:pStyle w:val="19"/>
        <w:spacing w:line="360" w:lineRule="auto"/>
        <w:rPr>
          <w:rFonts w:ascii="宋体" w:hAnsi="宋体" w:eastAsia="宋体" w:cs="宋体"/>
          <w:b/>
          <w:color w:val="auto"/>
          <w:sz w:val="32"/>
          <w:lang w:val="zh-CN"/>
        </w:rPr>
      </w:pPr>
    </w:p>
    <w:p>
      <w:pPr>
        <w:pStyle w:val="19"/>
        <w:spacing w:line="360" w:lineRule="auto"/>
        <w:rPr>
          <w:rFonts w:ascii="宋体" w:hAnsi="宋体" w:eastAsia="宋体" w:cs="宋体"/>
          <w:b/>
          <w:color w:val="auto"/>
          <w:sz w:val="32"/>
          <w:lang w:val="zh-CN"/>
        </w:rPr>
      </w:pPr>
    </w:p>
    <w:p>
      <w:pPr>
        <w:pStyle w:val="19"/>
        <w:spacing w:line="360" w:lineRule="auto"/>
        <w:rPr>
          <w:rFonts w:ascii="宋体" w:hAnsi="宋体" w:eastAsia="宋体" w:cs="宋体"/>
          <w:b/>
          <w:color w:val="auto"/>
          <w:sz w:val="32"/>
          <w:lang w:val="zh-CN"/>
        </w:rPr>
      </w:pPr>
    </w:p>
    <w:p>
      <w:pPr>
        <w:spacing w:line="360" w:lineRule="auto"/>
        <w:jc w:val="left"/>
        <w:rPr>
          <w:rFonts w:eastAsia="宋体"/>
          <w:color w:val="auto"/>
          <w:lang w:val="zh-CN"/>
        </w:rPr>
      </w:pPr>
    </w:p>
    <w:p>
      <w:pPr>
        <w:pStyle w:val="4"/>
        <w:numPr>
          <w:ilvl w:val="0"/>
          <w:numId w:val="0"/>
        </w:numPr>
        <w:spacing w:line="360" w:lineRule="auto"/>
        <w:ind w:left="709" w:hanging="709"/>
        <w:jc w:val="left"/>
        <w:rPr>
          <w:rFonts w:eastAsia="宋体" w:cs="宋体"/>
          <w:color w:val="auto"/>
          <w:lang w:val="zh-CN"/>
        </w:rPr>
      </w:pPr>
      <w:bookmarkStart w:id="581" w:name="_Toc9458"/>
      <w:bookmarkStart w:id="582" w:name="_Toc2974"/>
      <w:bookmarkStart w:id="583" w:name="_Toc1564"/>
      <w:r>
        <w:rPr>
          <w:rFonts w:hint="eastAsia" w:eastAsia="宋体" w:cs="宋体"/>
          <w:b/>
          <w:color w:val="auto"/>
          <w:sz w:val="32"/>
          <w:lang w:val="zh-CN"/>
        </w:rPr>
        <w:br w:type="page"/>
      </w:r>
      <w:bookmarkStart w:id="584" w:name="_Toc5169"/>
      <w:bookmarkStart w:id="585" w:name="_Toc16860"/>
      <w:bookmarkStart w:id="586" w:name="_Toc30088"/>
      <w:r>
        <w:rPr>
          <w:rFonts w:hint="eastAsia" w:eastAsia="宋体" w:cs="宋体"/>
          <w:b/>
          <w:color w:val="auto"/>
          <w:sz w:val="32"/>
          <w:lang w:val="zh-CN"/>
        </w:rPr>
        <w:t>格式7、财务状况、缴纳税收和社会保障资金证明</w:t>
      </w:r>
      <w:bookmarkEnd w:id="581"/>
      <w:bookmarkEnd w:id="582"/>
      <w:bookmarkEnd w:id="583"/>
      <w:bookmarkEnd w:id="584"/>
      <w:bookmarkEnd w:id="585"/>
      <w:bookmarkEnd w:id="586"/>
    </w:p>
    <w:p>
      <w:pPr>
        <w:spacing w:line="360" w:lineRule="auto"/>
        <w:jc w:val="left"/>
        <w:rPr>
          <w:rFonts w:eastAsia="宋体"/>
          <w:color w:val="auto"/>
          <w:lang w:val="zh-CN"/>
        </w:rPr>
      </w:pPr>
    </w:p>
    <w:p>
      <w:pPr>
        <w:adjustRightInd w:val="0"/>
        <w:spacing w:line="360" w:lineRule="auto"/>
        <w:jc w:val="center"/>
        <w:textAlignment w:val="baseline"/>
        <w:rPr>
          <w:rFonts w:eastAsia="宋体"/>
          <w:b/>
          <w:bCs/>
          <w:color w:val="auto"/>
          <w:sz w:val="32"/>
          <w:szCs w:val="30"/>
          <w:lang w:val="zh-CN"/>
        </w:rPr>
      </w:pPr>
      <w:r>
        <w:rPr>
          <w:rFonts w:hint="eastAsia" w:eastAsia="宋体"/>
          <w:b/>
          <w:color w:val="auto"/>
          <w:sz w:val="32"/>
          <w:szCs w:val="30"/>
        </w:rPr>
        <w:t>财务状况、缴纳税收和社会保障资金证明</w:t>
      </w:r>
    </w:p>
    <w:p>
      <w:pPr>
        <w:autoSpaceDE w:val="0"/>
        <w:autoSpaceDN w:val="0"/>
        <w:spacing w:line="360" w:lineRule="auto"/>
        <w:jc w:val="left"/>
        <w:rPr>
          <w:rFonts w:eastAsia="宋体"/>
          <w:color w:val="auto"/>
          <w:sz w:val="24"/>
          <w:lang w:val="zh-CN"/>
        </w:rPr>
      </w:pPr>
    </w:p>
    <w:p>
      <w:pPr>
        <w:spacing w:line="360" w:lineRule="auto"/>
        <w:ind w:firstLine="480" w:firstLineChars="200"/>
        <w:jc w:val="left"/>
        <w:rPr>
          <w:rFonts w:eastAsia="宋体"/>
          <w:color w:val="auto"/>
          <w:sz w:val="24"/>
        </w:rPr>
      </w:pPr>
      <w:r>
        <w:rPr>
          <w:rFonts w:hint="eastAsia" w:eastAsia="宋体"/>
          <w:color w:val="auto"/>
          <w:sz w:val="24"/>
        </w:rPr>
        <w:t>按照磋商文件第2.2款（1）中规定提供以下相关材料。</w:t>
      </w:r>
    </w:p>
    <w:p>
      <w:pPr>
        <w:pStyle w:val="41"/>
        <w:numPr>
          <w:ilvl w:val="1"/>
          <w:numId w:val="5"/>
        </w:numPr>
        <w:spacing w:line="360" w:lineRule="auto"/>
        <w:ind w:left="1205" w:hanging="360" w:firstLineChars="0"/>
        <w:jc w:val="left"/>
        <w:rPr>
          <w:rFonts w:ascii="宋体" w:hAnsi="宋体" w:eastAsia="宋体" w:cs="宋体"/>
          <w:color w:val="auto"/>
          <w:sz w:val="24"/>
        </w:rPr>
      </w:pPr>
      <w:r>
        <w:rPr>
          <w:rFonts w:hint="eastAsia" w:ascii="宋体" w:hAnsi="宋体" w:eastAsia="宋体" w:cs="宋体"/>
          <w:color w:val="auto"/>
          <w:sz w:val="24"/>
          <w:lang w:val="zh-CN"/>
        </w:rPr>
        <w:t>磋商供应商基本开户银行近三个月内出具的资信证明或经第三方机构出具的</w:t>
      </w:r>
      <w:r>
        <w:rPr>
          <w:rFonts w:hint="eastAsia" w:ascii="宋体" w:hAnsi="宋体" w:eastAsia="宋体" w:cs="宋体"/>
          <w:color w:val="auto"/>
          <w:sz w:val="24"/>
        </w:rPr>
        <w:t>2021年度完整的</w:t>
      </w:r>
      <w:r>
        <w:rPr>
          <w:rFonts w:hint="eastAsia" w:ascii="宋体" w:hAnsi="宋体" w:eastAsia="宋体" w:cs="宋体"/>
          <w:color w:val="auto"/>
          <w:sz w:val="24"/>
          <w:lang w:val="zh-CN"/>
        </w:rPr>
        <w:t>财务状况审计报告（扫描或复印件应全面、完整、清晰），包括资产负债表、现金流量表、利润表和财务（会计）报表附注</w:t>
      </w:r>
      <w:r>
        <w:rPr>
          <w:rFonts w:hint="eastAsia" w:ascii="宋体" w:hAnsi="宋体" w:eastAsia="宋体" w:cs="宋体"/>
          <w:color w:val="auto"/>
          <w:sz w:val="24"/>
        </w:rPr>
        <w:t>,</w:t>
      </w:r>
      <w:r>
        <w:rPr>
          <w:rFonts w:hint="eastAsia" w:ascii="宋体" w:hAnsi="宋体" w:eastAsia="宋体" w:cs="宋体"/>
          <w:color w:val="auto"/>
          <w:sz w:val="24"/>
          <w:lang w:val="zh-CN"/>
        </w:rPr>
        <w:t>并提供第三方机构的营业执照、执业证书。</w:t>
      </w:r>
    </w:p>
    <w:p>
      <w:pPr>
        <w:pStyle w:val="41"/>
        <w:numPr>
          <w:ilvl w:val="1"/>
          <w:numId w:val="5"/>
        </w:numPr>
        <w:spacing w:line="360" w:lineRule="auto"/>
        <w:ind w:left="1205" w:hanging="360" w:firstLineChars="0"/>
        <w:jc w:val="left"/>
        <w:rPr>
          <w:rFonts w:ascii="宋体" w:hAnsi="宋体" w:eastAsia="宋体" w:cs="宋体"/>
          <w:color w:val="auto"/>
          <w:sz w:val="24"/>
        </w:rPr>
      </w:pPr>
      <w:r>
        <w:rPr>
          <w:rFonts w:hint="eastAsia" w:ascii="宋体" w:hAnsi="宋体" w:eastAsia="宋体" w:cs="宋体"/>
          <w:color w:val="auto"/>
          <w:sz w:val="24"/>
        </w:rPr>
        <w:t>近半年内任意3</w:t>
      </w:r>
      <w:r>
        <w:rPr>
          <w:rFonts w:hint="eastAsia" w:ascii="宋体" w:hAnsi="宋体" w:eastAsia="宋体" w:cs="宋体"/>
          <w:color w:val="auto"/>
          <w:sz w:val="24"/>
          <w:lang w:val="zh-CN"/>
        </w:rPr>
        <w:t>个月的依法缴纳税收和社会保障资金记录的证明材料；依法免税或不需要缴纳社会保障资金的磋商供应商须提供相应文件证明其依法免税或不需要缴纳社会保障资金。</w:t>
      </w:r>
    </w:p>
    <w:p>
      <w:pPr>
        <w:pStyle w:val="41"/>
        <w:numPr>
          <w:ilvl w:val="1"/>
          <w:numId w:val="5"/>
        </w:numPr>
        <w:spacing w:line="360" w:lineRule="auto"/>
        <w:ind w:left="1205" w:hanging="360" w:firstLineChars="0"/>
        <w:jc w:val="left"/>
        <w:rPr>
          <w:rFonts w:ascii="宋体" w:hAnsi="宋体" w:eastAsia="宋体" w:cs="宋体"/>
          <w:color w:val="auto"/>
          <w:sz w:val="24"/>
        </w:rPr>
      </w:pPr>
      <w:r>
        <w:rPr>
          <w:rFonts w:hint="eastAsia" w:ascii="宋体" w:hAnsi="宋体" w:eastAsia="宋体" w:cs="宋体"/>
          <w:color w:val="auto"/>
          <w:sz w:val="24"/>
        </w:rPr>
        <w:t>扫描（或复印）件应全面、完整、清晰。</w:t>
      </w:r>
    </w:p>
    <w:p>
      <w:pPr>
        <w:pStyle w:val="4"/>
        <w:numPr>
          <w:ilvl w:val="0"/>
          <w:numId w:val="0"/>
        </w:numPr>
        <w:spacing w:line="360" w:lineRule="auto"/>
        <w:ind w:left="709" w:hanging="709"/>
        <w:jc w:val="left"/>
        <w:rPr>
          <w:rFonts w:eastAsia="宋体" w:cs="宋体"/>
          <w:color w:val="auto"/>
          <w:lang w:val="zh-CN"/>
        </w:rPr>
      </w:pPr>
      <w:r>
        <w:rPr>
          <w:rFonts w:hint="eastAsia" w:eastAsia="宋体" w:cs="宋体"/>
          <w:b/>
          <w:color w:val="auto"/>
          <w:sz w:val="32"/>
          <w:lang w:val="zh-CN"/>
        </w:rPr>
        <w:br w:type="page"/>
      </w:r>
      <w:bookmarkStart w:id="587" w:name="_Toc31188"/>
      <w:bookmarkStart w:id="588" w:name="_Toc15071"/>
      <w:bookmarkStart w:id="589" w:name="_Toc25588"/>
      <w:bookmarkStart w:id="590" w:name="_Toc30256"/>
      <w:bookmarkStart w:id="591" w:name="_Toc25575"/>
      <w:bookmarkStart w:id="592" w:name="_Toc30532"/>
      <w:r>
        <w:rPr>
          <w:rFonts w:hint="eastAsia" w:eastAsia="宋体" w:cs="宋体"/>
          <w:b/>
          <w:color w:val="auto"/>
          <w:sz w:val="32"/>
          <w:lang w:val="zh-CN"/>
        </w:rPr>
        <w:t>格式8、具备履行合同所必须的设备和专业技术能力证明</w:t>
      </w:r>
      <w:bookmarkEnd w:id="587"/>
      <w:bookmarkEnd w:id="588"/>
      <w:bookmarkEnd w:id="589"/>
      <w:bookmarkEnd w:id="590"/>
      <w:bookmarkEnd w:id="591"/>
      <w:bookmarkEnd w:id="592"/>
    </w:p>
    <w:p>
      <w:pPr>
        <w:autoSpaceDE w:val="0"/>
        <w:autoSpaceDN w:val="0"/>
        <w:adjustRightInd w:val="0"/>
        <w:spacing w:line="360" w:lineRule="auto"/>
        <w:jc w:val="left"/>
        <w:rPr>
          <w:rFonts w:eastAsia="宋体"/>
          <w:color w:val="auto"/>
          <w:sz w:val="24"/>
          <w:lang w:val="zh-CN"/>
        </w:rPr>
      </w:pPr>
    </w:p>
    <w:p>
      <w:pPr>
        <w:adjustRightInd w:val="0"/>
        <w:spacing w:line="360" w:lineRule="auto"/>
        <w:jc w:val="center"/>
        <w:textAlignment w:val="baseline"/>
        <w:rPr>
          <w:rFonts w:eastAsia="宋体"/>
          <w:b/>
          <w:bCs/>
          <w:color w:val="auto"/>
          <w:sz w:val="32"/>
          <w:szCs w:val="30"/>
          <w:lang w:val="zh-CN"/>
        </w:rPr>
      </w:pPr>
      <w:r>
        <w:rPr>
          <w:rFonts w:hint="eastAsia" w:eastAsia="宋体"/>
          <w:b/>
          <w:color w:val="auto"/>
          <w:sz w:val="32"/>
          <w:szCs w:val="30"/>
        </w:rPr>
        <w:t>具备履行合同所必须的设备和专业技术能力证明</w:t>
      </w:r>
    </w:p>
    <w:p>
      <w:pPr>
        <w:pStyle w:val="4"/>
        <w:numPr>
          <w:ilvl w:val="0"/>
          <w:numId w:val="0"/>
        </w:numPr>
        <w:spacing w:line="360" w:lineRule="auto"/>
        <w:ind w:left="353" w:leftChars="168" w:firstLine="480" w:firstLineChars="200"/>
        <w:jc w:val="left"/>
        <w:rPr>
          <w:rFonts w:eastAsia="宋体" w:cs="宋体"/>
          <w:color w:val="auto"/>
          <w:sz w:val="24"/>
        </w:rPr>
      </w:pPr>
    </w:p>
    <w:p>
      <w:pPr>
        <w:autoSpaceDE w:val="0"/>
        <w:autoSpaceDN w:val="0"/>
        <w:spacing w:line="360" w:lineRule="auto"/>
        <w:ind w:firstLine="480"/>
        <w:jc w:val="left"/>
        <w:rPr>
          <w:color w:val="auto"/>
          <w:sz w:val="24"/>
          <w:szCs w:val="24"/>
          <w:lang w:val="zh-CN"/>
        </w:rPr>
      </w:pPr>
      <w:r>
        <w:rPr>
          <w:rFonts w:hint="eastAsia"/>
          <w:color w:val="auto"/>
          <w:sz w:val="24"/>
          <w:szCs w:val="24"/>
          <w:lang w:val="zh-CN"/>
        </w:rPr>
        <w:t>为保证本项目合同的顺利履行，供应商必须具备履行合同的设备和专业技术能力，须提供必须具备履行合同的设备和专业技术能力的承诺函（格式自拟），相关人员的执业证书或用工合同等证明材料。</w:t>
      </w:r>
    </w:p>
    <w:p>
      <w:pPr>
        <w:pStyle w:val="42"/>
        <w:ind w:firstLine="803" w:firstLineChars="250"/>
        <w:jc w:val="left"/>
        <w:rPr>
          <w:rFonts w:ascii="宋体" w:hAnsi="宋体" w:eastAsia="宋体" w:cs="宋体"/>
          <w:b/>
          <w:sz w:val="32"/>
          <w:lang w:val="zh-CN"/>
        </w:rPr>
      </w:pPr>
    </w:p>
    <w:p>
      <w:pPr>
        <w:pStyle w:val="42"/>
        <w:ind w:firstLine="803" w:firstLineChars="250"/>
        <w:jc w:val="left"/>
        <w:rPr>
          <w:rFonts w:ascii="宋体" w:hAnsi="宋体" w:eastAsia="宋体" w:cs="宋体"/>
          <w:b/>
          <w:sz w:val="32"/>
          <w:lang w:val="zh-CN"/>
        </w:rPr>
      </w:pPr>
    </w:p>
    <w:p>
      <w:pPr>
        <w:pStyle w:val="42"/>
        <w:ind w:firstLine="803" w:firstLineChars="250"/>
        <w:jc w:val="left"/>
        <w:rPr>
          <w:rFonts w:ascii="宋体" w:hAnsi="宋体" w:eastAsia="宋体" w:cs="宋体"/>
          <w:b/>
          <w:sz w:val="32"/>
          <w:lang w:val="zh-CN"/>
        </w:rPr>
      </w:pPr>
    </w:p>
    <w:p>
      <w:pPr>
        <w:pStyle w:val="42"/>
        <w:ind w:firstLine="803" w:firstLineChars="250"/>
        <w:jc w:val="left"/>
        <w:rPr>
          <w:rFonts w:ascii="宋体" w:hAnsi="宋体" w:eastAsia="宋体" w:cs="宋体"/>
          <w:b/>
          <w:sz w:val="32"/>
          <w:lang w:val="zh-CN"/>
        </w:rPr>
      </w:pPr>
    </w:p>
    <w:p>
      <w:pPr>
        <w:pStyle w:val="42"/>
        <w:ind w:firstLine="803" w:firstLineChars="250"/>
        <w:jc w:val="left"/>
        <w:rPr>
          <w:rFonts w:ascii="宋体" w:hAnsi="宋体" w:eastAsia="宋体" w:cs="宋体"/>
          <w:b/>
          <w:sz w:val="32"/>
          <w:lang w:val="zh-CN"/>
        </w:rPr>
      </w:pPr>
    </w:p>
    <w:p>
      <w:pPr>
        <w:pStyle w:val="42"/>
        <w:ind w:firstLine="803" w:firstLineChars="250"/>
        <w:jc w:val="left"/>
        <w:rPr>
          <w:rFonts w:ascii="宋体" w:hAnsi="宋体" w:eastAsia="宋体" w:cs="宋体"/>
          <w:b/>
          <w:sz w:val="32"/>
          <w:lang w:val="zh-CN"/>
        </w:rPr>
      </w:pPr>
    </w:p>
    <w:p>
      <w:pPr>
        <w:pStyle w:val="42"/>
        <w:ind w:firstLine="803" w:firstLineChars="250"/>
        <w:jc w:val="left"/>
        <w:rPr>
          <w:rFonts w:ascii="宋体" w:hAnsi="宋体" w:eastAsia="宋体" w:cs="宋体"/>
          <w:b/>
          <w:sz w:val="32"/>
          <w:lang w:val="zh-CN"/>
        </w:rPr>
      </w:pPr>
    </w:p>
    <w:p>
      <w:pPr>
        <w:pStyle w:val="42"/>
        <w:ind w:firstLine="803" w:firstLineChars="250"/>
        <w:jc w:val="left"/>
        <w:rPr>
          <w:rFonts w:ascii="宋体" w:hAnsi="宋体" w:eastAsia="宋体" w:cs="宋体"/>
          <w:b/>
          <w:sz w:val="32"/>
          <w:lang w:val="zh-CN"/>
        </w:rPr>
      </w:pPr>
    </w:p>
    <w:p>
      <w:pPr>
        <w:pStyle w:val="42"/>
        <w:ind w:firstLine="803" w:firstLineChars="250"/>
        <w:jc w:val="left"/>
        <w:rPr>
          <w:rFonts w:ascii="宋体" w:hAnsi="宋体" w:eastAsia="宋体" w:cs="宋体"/>
          <w:b/>
          <w:sz w:val="32"/>
          <w:lang w:val="zh-CN"/>
        </w:rPr>
      </w:pPr>
    </w:p>
    <w:p>
      <w:pPr>
        <w:pStyle w:val="42"/>
        <w:ind w:firstLine="803" w:firstLineChars="250"/>
        <w:jc w:val="left"/>
        <w:rPr>
          <w:rFonts w:ascii="宋体" w:hAnsi="宋体" w:eastAsia="宋体" w:cs="宋体"/>
          <w:b/>
          <w:sz w:val="32"/>
          <w:lang w:val="zh-CN"/>
        </w:rPr>
      </w:pPr>
    </w:p>
    <w:p>
      <w:pPr>
        <w:pStyle w:val="42"/>
        <w:ind w:firstLine="803" w:firstLineChars="250"/>
        <w:jc w:val="left"/>
        <w:rPr>
          <w:rFonts w:ascii="宋体" w:hAnsi="宋体" w:eastAsia="宋体" w:cs="宋体"/>
          <w:b/>
          <w:sz w:val="32"/>
          <w:lang w:val="zh-CN"/>
        </w:rPr>
      </w:pPr>
    </w:p>
    <w:p>
      <w:pPr>
        <w:pStyle w:val="42"/>
        <w:ind w:firstLine="803" w:firstLineChars="250"/>
        <w:jc w:val="left"/>
        <w:rPr>
          <w:rFonts w:ascii="宋体" w:hAnsi="宋体" w:eastAsia="宋体" w:cs="宋体"/>
          <w:b/>
          <w:sz w:val="32"/>
          <w:lang w:val="zh-CN"/>
        </w:rPr>
      </w:pPr>
    </w:p>
    <w:p>
      <w:pPr>
        <w:pStyle w:val="42"/>
        <w:ind w:firstLine="803" w:firstLineChars="250"/>
        <w:jc w:val="left"/>
        <w:rPr>
          <w:rFonts w:ascii="宋体" w:hAnsi="宋体" w:eastAsia="宋体" w:cs="宋体"/>
          <w:b/>
          <w:sz w:val="32"/>
          <w:lang w:val="zh-CN"/>
        </w:rPr>
      </w:pPr>
    </w:p>
    <w:p>
      <w:pPr>
        <w:pStyle w:val="42"/>
        <w:ind w:firstLine="803" w:firstLineChars="250"/>
        <w:jc w:val="left"/>
        <w:rPr>
          <w:rFonts w:ascii="宋体" w:hAnsi="宋体" w:eastAsia="宋体" w:cs="宋体"/>
          <w:b/>
          <w:sz w:val="32"/>
          <w:lang w:val="zh-CN"/>
        </w:rPr>
      </w:pPr>
    </w:p>
    <w:p>
      <w:pPr>
        <w:pStyle w:val="42"/>
        <w:ind w:firstLine="803" w:firstLineChars="250"/>
        <w:jc w:val="left"/>
        <w:rPr>
          <w:rFonts w:ascii="宋体" w:hAnsi="宋体" w:eastAsia="宋体" w:cs="宋体"/>
          <w:b/>
          <w:sz w:val="32"/>
          <w:lang w:val="zh-CN"/>
        </w:rPr>
      </w:pPr>
    </w:p>
    <w:p>
      <w:pPr>
        <w:pStyle w:val="42"/>
        <w:ind w:firstLine="803" w:firstLineChars="250"/>
        <w:jc w:val="left"/>
        <w:rPr>
          <w:rFonts w:ascii="宋体" w:hAnsi="宋体" w:eastAsia="宋体" w:cs="宋体"/>
          <w:b/>
          <w:sz w:val="32"/>
          <w:lang w:val="zh-CN"/>
        </w:rPr>
      </w:pPr>
    </w:p>
    <w:p>
      <w:pPr>
        <w:pStyle w:val="42"/>
        <w:ind w:firstLine="803" w:firstLineChars="250"/>
        <w:jc w:val="left"/>
        <w:rPr>
          <w:rFonts w:ascii="宋体" w:hAnsi="宋体" w:eastAsia="宋体" w:cs="宋体"/>
          <w:b/>
          <w:sz w:val="32"/>
          <w:lang w:val="zh-CN"/>
        </w:rPr>
      </w:pPr>
    </w:p>
    <w:p>
      <w:pPr>
        <w:pStyle w:val="42"/>
        <w:jc w:val="left"/>
        <w:outlineLvl w:val="1"/>
        <w:rPr>
          <w:rFonts w:ascii="宋体" w:hAnsi="宋体" w:eastAsia="宋体" w:cs="宋体"/>
          <w:b/>
          <w:kern w:val="0"/>
          <w:sz w:val="32"/>
          <w:szCs w:val="22"/>
          <w:lang w:val="zh-CN"/>
        </w:rPr>
      </w:pPr>
      <w:bookmarkStart w:id="593" w:name="_Toc12522"/>
      <w:bookmarkStart w:id="594" w:name="_Toc31965"/>
      <w:bookmarkStart w:id="595" w:name="_Toc24929"/>
      <w:r>
        <w:rPr>
          <w:rFonts w:hint="eastAsia" w:ascii="宋体" w:hAnsi="宋体" w:eastAsia="宋体" w:cs="宋体"/>
          <w:b/>
          <w:kern w:val="0"/>
          <w:sz w:val="32"/>
          <w:szCs w:val="22"/>
          <w:lang w:val="zh-CN"/>
        </w:rPr>
        <w:t>格式</w:t>
      </w:r>
      <w:bookmarkEnd w:id="579"/>
      <w:bookmarkEnd w:id="580"/>
      <w:r>
        <w:rPr>
          <w:rFonts w:hint="eastAsia" w:ascii="宋体" w:hAnsi="宋体" w:eastAsia="宋体" w:cs="宋体"/>
          <w:b/>
          <w:kern w:val="0"/>
          <w:sz w:val="32"/>
          <w:szCs w:val="22"/>
          <w:lang w:val="zh-CN"/>
        </w:rPr>
        <w:t>9、磋商保证金证明</w:t>
      </w:r>
      <w:bookmarkEnd w:id="593"/>
      <w:bookmarkEnd w:id="594"/>
      <w:bookmarkEnd w:id="595"/>
    </w:p>
    <w:p>
      <w:pPr>
        <w:spacing w:line="360" w:lineRule="auto"/>
        <w:jc w:val="left"/>
        <w:rPr>
          <w:rFonts w:eastAsia="宋体"/>
          <w:color w:val="auto"/>
          <w:sz w:val="22"/>
          <w:lang w:val="zh-CN"/>
        </w:rPr>
      </w:pPr>
    </w:p>
    <w:p>
      <w:pPr>
        <w:adjustRightInd w:val="0"/>
        <w:spacing w:line="360" w:lineRule="auto"/>
        <w:jc w:val="center"/>
        <w:textAlignment w:val="baseline"/>
        <w:rPr>
          <w:rFonts w:eastAsia="宋体"/>
          <w:b/>
          <w:color w:val="auto"/>
          <w:sz w:val="32"/>
          <w:szCs w:val="30"/>
        </w:rPr>
      </w:pPr>
      <w:r>
        <w:rPr>
          <w:rFonts w:hint="eastAsia" w:eastAsia="宋体"/>
          <w:b/>
          <w:color w:val="auto"/>
          <w:sz w:val="32"/>
          <w:szCs w:val="30"/>
        </w:rPr>
        <w:t>磋商保证金证明</w:t>
      </w:r>
    </w:p>
    <w:p>
      <w:pPr>
        <w:autoSpaceDE w:val="0"/>
        <w:autoSpaceDN w:val="0"/>
        <w:adjustRightInd w:val="0"/>
        <w:spacing w:line="360" w:lineRule="auto"/>
        <w:jc w:val="left"/>
        <w:rPr>
          <w:rFonts w:eastAsia="宋体"/>
          <w:b/>
          <w:bCs/>
          <w:color w:val="auto"/>
          <w:sz w:val="24"/>
          <w:szCs w:val="28"/>
          <w:lang w:val="zh-CN"/>
        </w:rPr>
      </w:pPr>
      <w:bookmarkStart w:id="596" w:name="_Toc325726048"/>
      <w:bookmarkEnd w:id="596"/>
    </w:p>
    <w:p>
      <w:pPr>
        <w:autoSpaceDE w:val="0"/>
        <w:autoSpaceDN w:val="0"/>
        <w:adjustRightInd w:val="0"/>
        <w:spacing w:line="360" w:lineRule="auto"/>
        <w:jc w:val="left"/>
        <w:outlineLvl w:val="1"/>
        <w:rPr>
          <w:rFonts w:eastAsia="宋体"/>
          <w:b/>
          <w:bCs/>
          <w:color w:val="auto"/>
          <w:sz w:val="22"/>
          <w:lang w:val="zh-CN"/>
        </w:rPr>
      </w:pPr>
      <w:bookmarkStart w:id="597" w:name="_Toc18285"/>
      <w:bookmarkStart w:id="598" w:name="_Toc28238"/>
      <w:bookmarkStart w:id="599" w:name="_Toc13468"/>
      <w:r>
        <w:rPr>
          <w:rFonts w:hint="eastAsia" w:eastAsia="宋体"/>
          <w:b/>
          <w:bCs/>
          <w:color w:val="auto"/>
          <w:sz w:val="24"/>
          <w:szCs w:val="28"/>
          <w:lang w:val="zh-CN"/>
        </w:rPr>
        <w:t>致：</w:t>
      </w:r>
      <w:bookmarkEnd w:id="597"/>
      <w:r>
        <w:rPr>
          <w:rFonts w:hint="eastAsia" w:eastAsia="宋体"/>
          <w:b/>
          <w:bCs/>
          <w:color w:val="auto"/>
          <w:sz w:val="24"/>
          <w:szCs w:val="28"/>
          <w:lang w:val="zh-CN"/>
        </w:rPr>
        <w:t>青海中旭工程项目管理有限公司</w:t>
      </w:r>
      <w:bookmarkEnd w:id="598"/>
      <w:bookmarkEnd w:id="599"/>
    </w:p>
    <w:p>
      <w:pPr>
        <w:autoSpaceDE w:val="0"/>
        <w:autoSpaceDN w:val="0"/>
        <w:adjustRightInd w:val="0"/>
        <w:spacing w:line="360" w:lineRule="auto"/>
        <w:jc w:val="left"/>
        <w:rPr>
          <w:rFonts w:eastAsia="宋体"/>
          <w:b/>
          <w:bCs/>
          <w:color w:val="auto"/>
          <w:sz w:val="24"/>
          <w:lang w:val="zh-CN"/>
        </w:rPr>
      </w:pPr>
    </w:p>
    <w:p>
      <w:pPr>
        <w:autoSpaceDE w:val="0"/>
        <w:autoSpaceDN w:val="0"/>
        <w:adjustRightInd w:val="0"/>
        <w:spacing w:line="360" w:lineRule="auto"/>
        <w:ind w:firstLine="360"/>
        <w:jc w:val="left"/>
        <w:rPr>
          <w:rFonts w:eastAsia="宋体"/>
          <w:color w:val="auto"/>
          <w:sz w:val="24"/>
          <w:lang w:val="zh-CN"/>
        </w:rPr>
      </w:pPr>
      <w:r>
        <w:rPr>
          <w:rFonts w:hint="eastAsia" w:eastAsia="宋体"/>
          <w:color w:val="auto"/>
          <w:sz w:val="24"/>
          <w:lang w:val="zh-CN"/>
        </w:rPr>
        <w:t>我方为</w:t>
      </w:r>
      <w:r>
        <w:rPr>
          <w:rFonts w:hint="eastAsia" w:eastAsia="宋体"/>
          <w:color w:val="auto"/>
          <w:sz w:val="24"/>
          <w:u w:val="single"/>
          <w:lang w:val="zh-CN"/>
        </w:rPr>
        <w:t>（项目名称）项目</w:t>
      </w:r>
      <w:r>
        <w:rPr>
          <w:rFonts w:hint="eastAsia" w:eastAsia="宋体"/>
          <w:color w:val="auto"/>
          <w:sz w:val="24"/>
          <w:lang w:val="zh-CN"/>
        </w:rPr>
        <w:t>（采购编号为：）递交保证金人民币（大写：人民币元）已于年月日以基本户转账方式汇入你方账户。</w:t>
      </w:r>
    </w:p>
    <w:p>
      <w:pPr>
        <w:autoSpaceDE w:val="0"/>
        <w:autoSpaceDN w:val="0"/>
        <w:adjustRightInd w:val="0"/>
        <w:spacing w:line="360" w:lineRule="auto"/>
        <w:ind w:firstLine="480" w:firstLineChars="200"/>
        <w:jc w:val="left"/>
        <w:rPr>
          <w:rFonts w:eastAsia="宋体"/>
          <w:bCs/>
          <w:color w:val="auto"/>
          <w:sz w:val="24"/>
          <w:lang w:val="zh-CN"/>
        </w:rPr>
      </w:pPr>
      <w:r>
        <w:rPr>
          <w:rFonts w:hint="eastAsia" w:eastAsia="宋体"/>
          <w:bCs/>
          <w:color w:val="auto"/>
          <w:sz w:val="24"/>
          <w:lang w:val="zh-CN"/>
        </w:rPr>
        <w:t>附件：保证金交款证明及开户许可证复印件（加盖磋商供应商公章）</w:t>
      </w:r>
    </w:p>
    <w:p>
      <w:pPr>
        <w:autoSpaceDE w:val="0"/>
        <w:autoSpaceDN w:val="0"/>
        <w:adjustRightInd w:val="0"/>
        <w:spacing w:line="360" w:lineRule="auto"/>
        <w:ind w:firstLine="480" w:firstLineChars="200"/>
        <w:jc w:val="left"/>
        <w:rPr>
          <w:rFonts w:eastAsia="宋体"/>
          <w:color w:val="auto"/>
          <w:sz w:val="24"/>
          <w:lang w:val="zh-CN"/>
        </w:rPr>
      </w:pPr>
      <w:r>
        <w:rPr>
          <w:rFonts w:hint="eastAsia" w:eastAsia="宋体"/>
          <w:color w:val="auto"/>
          <w:sz w:val="24"/>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adjustRightInd w:val="0"/>
        <w:spacing w:line="360" w:lineRule="auto"/>
        <w:ind w:firstLine="360"/>
        <w:jc w:val="left"/>
        <w:rPr>
          <w:rFonts w:eastAsia="宋体"/>
          <w:color w:val="auto"/>
          <w:sz w:val="24"/>
          <w:lang w:val="zh-CN"/>
        </w:rPr>
      </w:pPr>
      <w:r>
        <w:rPr>
          <w:rFonts w:hint="eastAsia" w:eastAsia="宋体"/>
          <w:color w:val="auto"/>
          <w:sz w:val="24"/>
          <w:lang w:val="zh-CN"/>
        </w:rPr>
        <w:t>户    名：</w:t>
      </w:r>
    </w:p>
    <w:p>
      <w:pPr>
        <w:autoSpaceDE w:val="0"/>
        <w:autoSpaceDN w:val="0"/>
        <w:adjustRightInd w:val="0"/>
        <w:spacing w:line="360" w:lineRule="auto"/>
        <w:ind w:firstLine="360"/>
        <w:jc w:val="left"/>
        <w:rPr>
          <w:rFonts w:eastAsia="宋体"/>
          <w:color w:val="auto"/>
          <w:sz w:val="24"/>
          <w:lang w:val="zh-CN"/>
        </w:rPr>
      </w:pPr>
      <w:r>
        <w:rPr>
          <w:rFonts w:hint="eastAsia" w:eastAsia="宋体"/>
          <w:color w:val="auto"/>
          <w:sz w:val="24"/>
          <w:lang w:val="zh-CN"/>
        </w:rPr>
        <w:t>开户银行：</w:t>
      </w:r>
    </w:p>
    <w:p>
      <w:pPr>
        <w:autoSpaceDE w:val="0"/>
        <w:autoSpaceDN w:val="0"/>
        <w:adjustRightInd w:val="0"/>
        <w:spacing w:line="360" w:lineRule="auto"/>
        <w:ind w:firstLine="360"/>
        <w:jc w:val="left"/>
        <w:rPr>
          <w:rFonts w:eastAsia="宋体"/>
          <w:color w:val="auto"/>
          <w:sz w:val="24"/>
          <w:lang w:val="zh-CN"/>
        </w:rPr>
      </w:pPr>
      <w:r>
        <w:rPr>
          <w:rFonts w:hint="eastAsia" w:eastAsia="宋体"/>
          <w:color w:val="auto"/>
          <w:sz w:val="24"/>
          <w:lang w:val="zh-CN"/>
        </w:rPr>
        <w:t>开户帐号：</w:t>
      </w:r>
    </w:p>
    <w:p>
      <w:pPr>
        <w:autoSpaceDE w:val="0"/>
        <w:autoSpaceDN w:val="0"/>
        <w:adjustRightInd w:val="0"/>
        <w:spacing w:line="360" w:lineRule="auto"/>
        <w:jc w:val="left"/>
        <w:rPr>
          <w:rFonts w:eastAsia="宋体"/>
          <w:color w:val="auto"/>
          <w:sz w:val="24"/>
          <w:lang w:val="zh-CN"/>
        </w:rPr>
      </w:pPr>
    </w:p>
    <w:p>
      <w:pPr>
        <w:autoSpaceDE w:val="0"/>
        <w:autoSpaceDN w:val="0"/>
        <w:adjustRightInd w:val="0"/>
        <w:spacing w:line="360" w:lineRule="auto"/>
        <w:jc w:val="left"/>
        <w:rPr>
          <w:rFonts w:eastAsia="宋体"/>
          <w:color w:val="auto"/>
          <w:sz w:val="24"/>
          <w:lang w:val="zh-CN"/>
        </w:rPr>
      </w:pPr>
    </w:p>
    <w:p>
      <w:pPr>
        <w:autoSpaceDE w:val="0"/>
        <w:autoSpaceDN w:val="0"/>
        <w:adjustRightInd w:val="0"/>
        <w:spacing w:line="360" w:lineRule="auto"/>
        <w:jc w:val="left"/>
        <w:rPr>
          <w:rFonts w:eastAsia="宋体"/>
          <w:color w:val="auto"/>
          <w:sz w:val="24"/>
          <w:lang w:val="zh-CN"/>
        </w:rPr>
      </w:pPr>
    </w:p>
    <w:p>
      <w:pPr>
        <w:tabs>
          <w:tab w:val="left" w:pos="168"/>
        </w:tabs>
        <w:adjustRightInd w:val="0"/>
        <w:spacing w:line="360" w:lineRule="auto"/>
        <w:jc w:val="left"/>
        <w:textAlignment w:val="baseline"/>
        <w:rPr>
          <w:rFonts w:eastAsia="宋体"/>
          <w:bCs/>
          <w:color w:val="auto"/>
          <w:sz w:val="24"/>
          <w:szCs w:val="28"/>
        </w:rPr>
      </w:pPr>
    </w:p>
    <w:p>
      <w:pPr>
        <w:tabs>
          <w:tab w:val="left" w:pos="168"/>
        </w:tabs>
        <w:adjustRightInd w:val="0"/>
        <w:spacing w:line="360" w:lineRule="auto"/>
        <w:ind w:firstLine="4958" w:firstLineChars="2058"/>
        <w:jc w:val="left"/>
        <w:textAlignment w:val="baseline"/>
        <w:outlineLvl w:val="1"/>
        <w:rPr>
          <w:rFonts w:eastAsia="宋体"/>
          <w:b/>
          <w:color w:val="auto"/>
          <w:sz w:val="24"/>
          <w:szCs w:val="28"/>
        </w:rPr>
      </w:pPr>
      <w:bookmarkStart w:id="600" w:name="_Toc4107"/>
      <w:bookmarkStart w:id="601" w:name="_Toc701"/>
      <w:bookmarkStart w:id="602" w:name="_Toc26362"/>
      <w:r>
        <w:rPr>
          <w:rFonts w:hint="eastAsia" w:eastAsia="宋体"/>
          <w:b/>
          <w:color w:val="auto"/>
          <w:sz w:val="24"/>
          <w:szCs w:val="28"/>
        </w:rPr>
        <w:t>供应商：                   （公章）</w:t>
      </w:r>
      <w:bookmarkEnd w:id="600"/>
      <w:bookmarkEnd w:id="601"/>
      <w:bookmarkEnd w:id="602"/>
    </w:p>
    <w:p>
      <w:pPr>
        <w:tabs>
          <w:tab w:val="left" w:pos="168"/>
        </w:tabs>
        <w:adjustRightInd w:val="0"/>
        <w:spacing w:line="360" w:lineRule="auto"/>
        <w:jc w:val="right"/>
        <w:textAlignment w:val="baseline"/>
        <w:outlineLvl w:val="1"/>
        <w:rPr>
          <w:rFonts w:eastAsia="宋体"/>
          <w:b/>
          <w:color w:val="auto"/>
          <w:sz w:val="24"/>
          <w:szCs w:val="28"/>
        </w:rPr>
      </w:pPr>
      <w:bookmarkStart w:id="603" w:name="_Toc8209"/>
      <w:bookmarkStart w:id="604" w:name="_Toc8411"/>
      <w:bookmarkStart w:id="605" w:name="_Toc20403"/>
      <w:r>
        <w:rPr>
          <w:rFonts w:hint="eastAsia" w:eastAsia="宋体"/>
          <w:b/>
          <w:color w:val="auto"/>
          <w:sz w:val="24"/>
          <w:szCs w:val="28"/>
        </w:rPr>
        <w:t>委托代理人或法定代表人：                 （签字或盖章）</w:t>
      </w:r>
      <w:bookmarkEnd w:id="603"/>
      <w:bookmarkEnd w:id="604"/>
      <w:bookmarkEnd w:id="605"/>
    </w:p>
    <w:p>
      <w:pPr>
        <w:tabs>
          <w:tab w:val="left" w:pos="168"/>
        </w:tabs>
        <w:adjustRightInd w:val="0"/>
        <w:spacing w:line="360" w:lineRule="auto"/>
        <w:ind w:firstLine="5190" w:firstLineChars="2154"/>
        <w:jc w:val="left"/>
        <w:textAlignment w:val="baseline"/>
        <w:outlineLvl w:val="1"/>
        <w:rPr>
          <w:rFonts w:eastAsia="宋体"/>
          <w:b/>
          <w:color w:val="auto"/>
          <w:sz w:val="24"/>
          <w:szCs w:val="28"/>
        </w:rPr>
      </w:pPr>
      <w:bookmarkStart w:id="606" w:name="_Toc18217"/>
      <w:bookmarkStart w:id="607" w:name="_Toc31056"/>
      <w:bookmarkStart w:id="608" w:name="_Toc16640"/>
      <w:r>
        <w:rPr>
          <w:rFonts w:hint="eastAsia" w:eastAsia="宋体"/>
          <w:b/>
          <w:color w:val="auto"/>
          <w:sz w:val="24"/>
          <w:szCs w:val="28"/>
        </w:rPr>
        <w:t>日期：          年   月   日</w:t>
      </w:r>
      <w:bookmarkEnd w:id="606"/>
      <w:bookmarkEnd w:id="607"/>
      <w:bookmarkEnd w:id="608"/>
    </w:p>
    <w:p>
      <w:pPr>
        <w:tabs>
          <w:tab w:val="left" w:pos="168"/>
        </w:tabs>
        <w:adjustRightInd w:val="0"/>
        <w:spacing w:line="360" w:lineRule="auto"/>
        <w:jc w:val="left"/>
        <w:textAlignment w:val="baseline"/>
        <w:rPr>
          <w:rFonts w:eastAsia="宋体"/>
          <w:bCs/>
          <w:color w:val="auto"/>
          <w:sz w:val="24"/>
          <w:szCs w:val="28"/>
        </w:rPr>
      </w:pPr>
    </w:p>
    <w:p>
      <w:pPr>
        <w:spacing w:line="360" w:lineRule="auto"/>
        <w:jc w:val="left"/>
        <w:rPr>
          <w:rFonts w:eastAsia="宋体"/>
          <w:color w:val="auto"/>
          <w:lang w:val="zh-CN"/>
        </w:rPr>
      </w:pPr>
    </w:p>
    <w:p>
      <w:pPr>
        <w:pStyle w:val="4"/>
        <w:numPr>
          <w:ilvl w:val="0"/>
          <w:numId w:val="0"/>
        </w:numPr>
        <w:spacing w:line="360" w:lineRule="auto"/>
        <w:ind w:left="709" w:hanging="709"/>
        <w:jc w:val="left"/>
        <w:rPr>
          <w:rFonts w:eastAsia="宋体" w:cs="宋体"/>
          <w:color w:val="auto"/>
        </w:rPr>
      </w:pPr>
      <w:r>
        <w:rPr>
          <w:rFonts w:hint="eastAsia" w:eastAsia="宋体" w:cs="宋体"/>
          <w:color w:val="auto"/>
          <w:sz w:val="24"/>
          <w:lang w:val="zh-CN"/>
        </w:rPr>
        <w:br w:type="page"/>
      </w:r>
      <w:bookmarkStart w:id="609" w:name="_Toc428180589"/>
      <w:bookmarkStart w:id="610" w:name="_Toc18663"/>
      <w:bookmarkStart w:id="611" w:name="_Toc12108"/>
      <w:bookmarkStart w:id="612" w:name="_Toc26551"/>
      <w:bookmarkStart w:id="613" w:name="_Toc11963"/>
      <w:bookmarkStart w:id="614" w:name="_Toc21450"/>
      <w:bookmarkStart w:id="615" w:name="_Toc29954"/>
      <w:bookmarkStart w:id="616" w:name="_Toc10388"/>
      <w:bookmarkStart w:id="617" w:name="_Toc444715741"/>
      <w:r>
        <w:rPr>
          <w:rFonts w:hint="eastAsia" w:eastAsia="宋体" w:cs="宋体"/>
          <w:b/>
          <w:color w:val="auto"/>
          <w:sz w:val="32"/>
          <w:lang w:val="zh-CN"/>
        </w:rPr>
        <w:t>格式10、无重大违法记录声明</w:t>
      </w:r>
      <w:bookmarkEnd w:id="609"/>
      <w:bookmarkEnd w:id="610"/>
      <w:bookmarkEnd w:id="611"/>
      <w:bookmarkEnd w:id="612"/>
      <w:bookmarkEnd w:id="613"/>
      <w:bookmarkEnd w:id="614"/>
      <w:bookmarkEnd w:id="615"/>
      <w:bookmarkEnd w:id="616"/>
      <w:bookmarkEnd w:id="617"/>
    </w:p>
    <w:p>
      <w:pPr>
        <w:autoSpaceDE w:val="0"/>
        <w:autoSpaceDN w:val="0"/>
        <w:adjustRightInd w:val="0"/>
        <w:spacing w:line="360" w:lineRule="auto"/>
        <w:jc w:val="left"/>
        <w:rPr>
          <w:rFonts w:eastAsia="宋体"/>
          <w:color w:val="auto"/>
          <w:sz w:val="24"/>
          <w:lang w:val="zh-CN"/>
        </w:rPr>
      </w:pPr>
    </w:p>
    <w:p>
      <w:pPr>
        <w:adjustRightInd w:val="0"/>
        <w:spacing w:line="360" w:lineRule="auto"/>
        <w:jc w:val="center"/>
        <w:textAlignment w:val="baseline"/>
        <w:rPr>
          <w:rFonts w:eastAsia="宋体"/>
          <w:b/>
          <w:color w:val="auto"/>
          <w:sz w:val="32"/>
          <w:szCs w:val="30"/>
        </w:rPr>
      </w:pPr>
      <w:r>
        <w:rPr>
          <w:rFonts w:hint="eastAsia" w:eastAsia="宋体"/>
          <w:b/>
          <w:color w:val="auto"/>
          <w:sz w:val="32"/>
          <w:szCs w:val="30"/>
        </w:rPr>
        <w:t>无重大违法记录声明</w:t>
      </w:r>
    </w:p>
    <w:p>
      <w:pPr>
        <w:autoSpaceDE w:val="0"/>
        <w:autoSpaceDN w:val="0"/>
        <w:adjustRightInd w:val="0"/>
        <w:spacing w:line="360" w:lineRule="auto"/>
        <w:jc w:val="left"/>
        <w:rPr>
          <w:rFonts w:eastAsia="宋体"/>
          <w:color w:val="auto"/>
          <w:sz w:val="24"/>
          <w:szCs w:val="24"/>
          <w:lang w:val="zh-CN"/>
        </w:rPr>
      </w:pPr>
    </w:p>
    <w:p>
      <w:pPr>
        <w:spacing w:line="360" w:lineRule="auto"/>
        <w:jc w:val="left"/>
        <w:outlineLvl w:val="1"/>
        <w:rPr>
          <w:rFonts w:eastAsia="宋体"/>
          <w:color w:val="auto"/>
          <w:sz w:val="24"/>
          <w:szCs w:val="24"/>
        </w:rPr>
      </w:pPr>
      <w:bookmarkStart w:id="618" w:name="_Toc22778"/>
      <w:bookmarkStart w:id="619" w:name="_Toc23999"/>
      <w:bookmarkStart w:id="620" w:name="_Toc14108"/>
      <w:r>
        <w:rPr>
          <w:rFonts w:hint="eastAsia" w:eastAsia="宋体"/>
          <w:b/>
          <w:bCs/>
          <w:color w:val="auto"/>
          <w:sz w:val="24"/>
          <w:szCs w:val="24"/>
          <w:lang w:val="zh-CN"/>
        </w:rPr>
        <w:t>致：</w:t>
      </w:r>
      <w:bookmarkEnd w:id="618"/>
      <w:r>
        <w:rPr>
          <w:rFonts w:hint="eastAsia" w:eastAsia="宋体"/>
          <w:b/>
          <w:bCs/>
          <w:color w:val="auto"/>
          <w:sz w:val="24"/>
          <w:szCs w:val="24"/>
          <w:lang w:val="zh-CN"/>
        </w:rPr>
        <w:t>青海中旭工程项目管理有限公司</w:t>
      </w:r>
      <w:bookmarkEnd w:id="619"/>
      <w:bookmarkEnd w:id="620"/>
    </w:p>
    <w:p>
      <w:pPr>
        <w:spacing w:line="360" w:lineRule="auto"/>
        <w:ind w:firstLine="424" w:firstLineChars="177"/>
        <w:jc w:val="left"/>
        <w:rPr>
          <w:rFonts w:eastAsia="宋体"/>
          <w:color w:val="auto"/>
          <w:sz w:val="24"/>
        </w:rPr>
      </w:pPr>
      <w:r>
        <w:rPr>
          <w:rFonts w:hint="eastAsia" w:eastAsia="宋体"/>
          <w:color w:val="auto"/>
          <w:sz w:val="24"/>
        </w:rPr>
        <w:t>（供应商名称）郑重声明，我方参加本项目竞磋活动前三年内无重大违法活动记录，符合《中华人民共和国政府采购法》规定的供应商资格条件。我方对此声明负全部法律责任。</w:t>
      </w:r>
    </w:p>
    <w:p>
      <w:pPr>
        <w:spacing w:line="360" w:lineRule="auto"/>
        <w:ind w:firstLine="424" w:firstLineChars="177"/>
        <w:jc w:val="left"/>
        <w:rPr>
          <w:rFonts w:eastAsia="宋体"/>
          <w:color w:val="auto"/>
          <w:sz w:val="24"/>
        </w:rPr>
      </w:pPr>
    </w:p>
    <w:p>
      <w:pPr>
        <w:spacing w:line="360" w:lineRule="auto"/>
        <w:ind w:firstLine="424" w:firstLineChars="177"/>
        <w:jc w:val="left"/>
        <w:rPr>
          <w:rFonts w:eastAsia="宋体"/>
          <w:color w:val="auto"/>
          <w:sz w:val="24"/>
        </w:rPr>
      </w:pPr>
    </w:p>
    <w:p>
      <w:pPr>
        <w:spacing w:line="360" w:lineRule="auto"/>
        <w:ind w:firstLine="424" w:firstLineChars="177"/>
        <w:jc w:val="left"/>
        <w:rPr>
          <w:rFonts w:eastAsia="宋体"/>
          <w:color w:val="auto"/>
          <w:sz w:val="24"/>
        </w:rPr>
      </w:pPr>
      <w:r>
        <w:rPr>
          <w:rFonts w:hint="eastAsia" w:eastAsia="宋体"/>
          <w:color w:val="auto"/>
          <w:sz w:val="24"/>
        </w:rPr>
        <w:t>特此声明。</w:t>
      </w:r>
    </w:p>
    <w:p>
      <w:pPr>
        <w:spacing w:line="360" w:lineRule="auto"/>
        <w:ind w:firstLine="424" w:firstLineChars="177"/>
        <w:jc w:val="left"/>
        <w:rPr>
          <w:rFonts w:eastAsia="宋体"/>
          <w:color w:val="auto"/>
          <w:sz w:val="24"/>
        </w:rPr>
      </w:pPr>
    </w:p>
    <w:p>
      <w:pPr>
        <w:spacing w:line="360" w:lineRule="auto"/>
        <w:ind w:firstLine="424" w:firstLineChars="177"/>
        <w:jc w:val="left"/>
        <w:rPr>
          <w:rFonts w:eastAsia="宋体"/>
          <w:color w:val="auto"/>
          <w:sz w:val="24"/>
        </w:rPr>
      </w:pPr>
    </w:p>
    <w:p>
      <w:pPr>
        <w:spacing w:line="360" w:lineRule="auto"/>
        <w:ind w:firstLine="424" w:firstLineChars="177"/>
        <w:jc w:val="left"/>
        <w:rPr>
          <w:rFonts w:eastAsia="宋体"/>
          <w:color w:val="auto"/>
          <w:sz w:val="24"/>
        </w:rPr>
      </w:pPr>
    </w:p>
    <w:p>
      <w:pPr>
        <w:spacing w:line="360" w:lineRule="auto"/>
        <w:jc w:val="left"/>
        <w:rPr>
          <w:rFonts w:eastAsia="宋体"/>
          <w:color w:val="auto"/>
          <w:sz w:val="24"/>
        </w:rPr>
      </w:pPr>
    </w:p>
    <w:p>
      <w:pPr>
        <w:spacing w:line="360" w:lineRule="auto"/>
        <w:ind w:firstLine="424" w:firstLineChars="177"/>
        <w:jc w:val="left"/>
        <w:rPr>
          <w:rFonts w:eastAsia="宋体"/>
          <w:color w:val="auto"/>
          <w:sz w:val="24"/>
        </w:rPr>
      </w:pPr>
    </w:p>
    <w:p>
      <w:pPr>
        <w:spacing w:line="360" w:lineRule="auto"/>
        <w:ind w:firstLine="424" w:firstLineChars="177"/>
        <w:jc w:val="left"/>
        <w:rPr>
          <w:rFonts w:eastAsia="宋体"/>
          <w:color w:val="auto"/>
          <w:sz w:val="24"/>
        </w:rPr>
      </w:pPr>
    </w:p>
    <w:p>
      <w:pPr>
        <w:tabs>
          <w:tab w:val="left" w:pos="168"/>
        </w:tabs>
        <w:adjustRightInd w:val="0"/>
        <w:spacing w:line="360" w:lineRule="auto"/>
        <w:jc w:val="left"/>
        <w:textAlignment w:val="baseline"/>
        <w:rPr>
          <w:rFonts w:eastAsia="宋体"/>
          <w:bCs/>
          <w:color w:val="auto"/>
          <w:sz w:val="24"/>
          <w:szCs w:val="28"/>
        </w:rPr>
      </w:pPr>
    </w:p>
    <w:p>
      <w:pPr>
        <w:tabs>
          <w:tab w:val="left" w:pos="168"/>
        </w:tabs>
        <w:adjustRightInd w:val="0"/>
        <w:spacing w:line="360" w:lineRule="auto"/>
        <w:ind w:firstLine="4958" w:firstLineChars="2058"/>
        <w:jc w:val="left"/>
        <w:textAlignment w:val="baseline"/>
        <w:outlineLvl w:val="1"/>
        <w:rPr>
          <w:rFonts w:eastAsia="宋体"/>
          <w:b/>
          <w:color w:val="auto"/>
          <w:sz w:val="24"/>
          <w:szCs w:val="28"/>
        </w:rPr>
      </w:pPr>
      <w:bookmarkStart w:id="621" w:name="_Toc2472"/>
      <w:bookmarkStart w:id="622" w:name="_Toc17438"/>
      <w:bookmarkStart w:id="623" w:name="_Toc26880"/>
      <w:r>
        <w:rPr>
          <w:rFonts w:hint="eastAsia" w:eastAsia="宋体"/>
          <w:b/>
          <w:color w:val="auto"/>
          <w:sz w:val="24"/>
          <w:szCs w:val="28"/>
        </w:rPr>
        <w:t>供应商：                   （公章）</w:t>
      </w:r>
      <w:bookmarkEnd w:id="621"/>
      <w:bookmarkEnd w:id="622"/>
      <w:bookmarkEnd w:id="623"/>
    </w:p>
    <w:p>
      <w:pPr>
        <w:tabs>
          <w:tab w:val="left" w:pos="168"/>
        </w:tabs>
        <w:adjustRightInd w:val="0"/>
        <w:spacing w:line="360" w:lineRule="auto"/>
        <w:jc w:val="right"/>
        <w:textAlignment w:val="baseline"/>
        <w:outlineLvl w:val="1"/>
        <w:rPr>
          <w:rFonts w:eastAsia="宋体"/>
          <w:b/>
          <w:color w:val="auto"/>
          <w:sz w:val="24"/>
          <w:szCs w:val="28"/>
        </w:rPr>
      </w:pPr>
      <w:bookmarkStart w:id="624" w:name="_Toc31900"/>
      <w:bookmarkStart w:id="625" w:name="_Toc6677"/>
      <w:bookmarkStart w:id="626" w:name="_Toc25057"/>
      <w:r>
        <w:rPr>
          <w:rFonts w:hint="eastAsia" w:eastAsia="宋体"/>
          <w:b/>
          <w:color w:val="auto"/>
          <w:sz w:val="24"/>
          <w:szCs w:val="28"/>
        </w:rPr>
        <w:t>委托代理人或法定代表人：                 （签字或盖章）</w:t>
      </w:r>
      <w:bookmarkEnd w:id="624"/>
      <w:bookmarkEnd w:id="625"/>
      <w:bookmarkEnd w:id="626"/>
    </w:p>
    <w:p>
      <w:pPr>
        <w:tabs>
          <w:tab w:val="left" w:pos="168"/>
        </w:tabs>
        <w:adjustRightInd w:val="0"/>
        <w:spacing w:line="360" w:lineRule="auto"/>
        <w:ind w:firstLine="5195" w:firstLineChars="2156"/>
        <w:jc w:val="left"/>
        <w:textAlignment w:val="baseline"/>
        <w:outlineLvl w:val="1"/>
        <w:rPr>
          <w:rFonts w:eastAsia="宋体"/>
          <w:b/>
          <w:color w:val="auto"/>
          <w:sz w:val="24"/>
          <w:szCs w:val="28"/>
        </w:rPr>
      </w:pPr>
      <w:bookmarkStart w:id="627" w:name="_Toc31850"/>
      <w:bookmarkStart w:id="628" w:name="_Toc16192"/>
      <w:bookmarkStart w:id="629" w:name="_Toc23991"/>
      <w:r>
        <w:rPr>
          <w:rFonts w:hint="eastAsia" w:eastAsia="宋体"/>
          <w:b/>
          <w:color w:val="auto"/>
          <w:sz w:val="24"/>
          <w:szCs w:val="28"/>
        </w:rPr>
        <w:t>日期：          年   月   日</w:t>
      </w:r>
      <w:bookmarkEnd w:id="627"/>
      <w:bookmarkEnd w:id="628"/>
      <w:bookmarkEnd w:id="629"/>
    </w:p>
    <w:p>
      <w:pPr>
        <w:pStyle w:val="4"/>
        <w:numPr>
          <w:ilvl w:val="0"/>
          <w:numId w:val="0"/>
        </w:numPr>
        <w:spacing w:line="360" w:lineRule="auto"/>
        <w:ind w:left="709" w:hanging="709"/>
        <w:jc w:val="left"/>
        <w:rPr>
          <w:rFonts w:eastAsia="宋体" w:cs="宋体"/>
          <w:color w:val="auto"/>
        </w:rPr>
      </w:pPr>
      <w:r>
        <w:rPr>
          <w:rFonts w:hint="eastAsia" w:eastAsia="宋体" w:cs="宋体"/>
          <w:color w:val="auto"/>
          <w:sz w:val="24"/>
          <w:lang w:val="zh-CN"/>
        </w:rPr>
        <w:br w:type="page"/>
      </w:r>
      <w:bookmarkStart w:id="630" w:name="_Toc18259"/>
      <w:bookmarkStart w:id="631" w:name="_Toc26289"/>
      <w:bookmarkStart w:id="632" w:name="_Toc22320"/>
      <w:bookmarkStart w:id="633" w:name="_Toc29881"/>
      <w:bookmarkStart w:id="634" w:name="_Toc20031"/>
      <w:bookmarkStart w:id="635" w:name="_Toc29103"/>
      <w:r>
        <w:rPr>
          <w:rFonts w:hint="eastAsia" w:eastAsia="宋体" w:cs="宋体"/>
          <w:b/>
          <w:color w:val="auto"/>
          <w:sz w:val="32"/>
          <w:lang w:val="zh-CN"/>
        </w:rPr>
        <w:t>格式1</w:t>
      </w:r>
      <w:r>
        <w:rPr>
          <w:rFonts w:hint="eastAsia" w:eastAsia="宋体" w:cs="宋体"/>
          <w:b/>
          <w:color w:val="auto"/>
          <w:sz w:val="32"/>
        </w:rPr>
        <w:t>1</w:t>
      </w:r>
      <w:r>
        <w:rPr>
          <w:rFonts w:hint="eastAsia" w:eastAsia="宋体" w:cs="宋体"/>
          <w:b/>
          <w:color w:val="auto"/>
          <w:sz w:val="32"/>
          <w:lang w:val="zh-CN"/>
        </w:rPr>
        <w:t>、未被列入“失信被执行人”的承诺</w:t>
      </w:r>
      <w:bookmarkEnd w:id="630"/>
      <w:bookmarkEnd w:id="631"/>
      <w:bookmarkEnd w:id="632"/>
      <w:bookmarkEnd w:id="633"/>
      <w:bookmarkEnd w:id="634"/>
      <w:bookmarkEnd w:id="635"/>
    </w:p>
    <w:p>
      <w:pPr>
        <w:autoSpaceDE w:val="0"/>
        <w:autoSpaceDN w:val="0"/>
        <w:adjustRightInd w:val="0"/>
        <w:spacing w:line="360" w:lineRule="auto"/>
        <w:jc w:val="left"/>
        <w:rPr>
          <w:rFonts w:eastAsia="宋体"/>
          <w:color w:val="auto"/>
          <w:sz w:val="24"/>
          <w:lang w:val="zh-CN"/>
        </w:rPr>
      </w:pPr>
    </w:p>
    <w:p>
      <w:pPr>
        <w:pStyle w:val="43"/>
        <w:widowControl w:val="0"/>
        <w:autoSpaceDE w:val="0"/>
        <w:autoSpaceDN w:val="0"/>
        <w:adjustRightInd w:val="0"/>
        <w:spacing w:before="0" w:after="0" w:line="360" w:lineRule="auto"/>
        <w:ind w:firstLine="480" w:firstLineChars="200"/>
        <w:jc w:val="left"/>
        <w:rPr>
          <w:rFonts w:ascii="宋体" w:hAnsi="宋体" w:eastAsia="宋体" w:cs="宋体"/>
          <w:sz w:val="24"/>
          <w:lang w:eastAsia="zh-CN"/>
        </w:rPr>
      </w:pPr>
      <w:r>
        <w:rPr>
          <w:rFonts w:hint="eastAsia" w:ascii="宋体" w:hAnsi="宋体" w:eastAsia="宋体" w:cs="宋体"/>
          <w:sz w:val="24"/>
          <w:lang w:eastAsia="zh-CN"/>
        </w:rPr>
        <w:t>经信用中国（www.creditchina.gov.cn）、中国政府采购（www.ccgp.gov.cn）等渠道查询后，列入失信被执行人、重大税收违法案件当事人名单、政府采购严重违法失信行为记录名单的，取消投标资格。（提供“信用中国”“中国政府采购网”网站的查询截图，时间为磋商截止时间前20天内）。</w:t>
      </w:r>
    </w:p>
    <w:p>
      <w:pPr>
        <w:pStyle w:val="4"/>
        <w:numPr>
          <w:ilvl w:val="0"/>
          <w:numId w:val="0"/>
        </w:numPr>
        <w:spacing w:line="360" w:lineRule="auto"/>
        <w:ind w:left="709" w:hanging="709"/>
        <w:jc w:val="left"/>
        <w:rPr>
          <w:rFonts w:eastAsia="宋体" w:cs="宋体"/>
          <w:color w:val="auto"/>
          <w:sz w:val="24"/>
          <w:lang w:val="zh-CN"/>
        </w:rPr>
      </w:pPr>
    </w:p>
    <w:p>
      <w:pPr>
        <w:pStyle w:val="4"/>
        <w:numPr>
          <w:ilvl w:val="0"/>
          <w:numId w:val="0"/>
        </w:numPr>
        <w:spacing w:line="360" w:lineRule="auto"/>
        <w:ind w:left="709" w:hanging="709"/>
        <w:jc w:val="left"/>
        <w:rPr>
          <w:rFonts w:eastAsia="宋体" w:cs="宋体"/>
          <w:color w:val="auto"/>
          <w:sz w:val="24"/>
          <w:lang w:val="zh-CN"/>
        </w:rPr>
      </w:pPr>
    </w:p>
    <w:p>
      <w:pPr>
        <w:pStyle w:val="4"/>
        <w:numPr>
          <w:ilvl w:val="0"/>
          <w:numId w:val="0"/>
        </w:numPr>
        <w:spacing w:line="360" w:lineRule="auto"/>
        <w:ind w:left="709" w:hanging="709"/>
        <w:jc w:val="left"/>
        <w:rPr>
          <w:rFonts w:eastAsia="宋体" w:cs="宋体"/>
          <w:color w:val="auto"/>
          <w:sz w:val="24"/>
          <w:lang w:val="zh-CN"/>
        </w:rPr>
      </w:pPr>
    </w:p>
    <w:p>
      <w:pPr>
        <w:pStyle w:val="4"/>
        <w:numPr>
          <w:ilvl w:val="0"/>
          <w:numId w:val="0"/>
        </w:numPr>
        <w:spacing w:line="360" w:lineRule="auto"/>
        <w:ind w:left="709" w:hanging="709"/>
        <w:jc w:val="left"/>
        <w:rPr>
          <w:rFonts w:eastAsia="宋体" w:cs="宋体"/>
          <w:color w:val="auto"/>
          <w:sz w:val="24"/>
          <w:lang w:val="zh-CN"/>
        </w:rPr>
      </w:pPr>
    </w:p>
    <w:p>
      <w:pPr>
        <w:pStyle w:val="4"/>
        <w:numPr>
          <w:ilvl w:val="0"/>
          <w:numId w:val="0"/>
        </w:numPr>
        <w:spacing w:line="360" w:lineRule="auto"/>
        <w:ind w:left="709" w:hanging="709"/>
        <w:jc w:val="left"/>
        <w:rPr>
          <w:rFonts w:eastAsia="宋体" w:cs="宋体"/>
          <w:color w:val="auto"/>
          <w:sz w:val="24"/>
          <w:lang w:val="zh-CN"/>
        </w:rPr>
      </w:pPr>
    </w:p>
    <w:p>
      <w:pPr>
        <w:pStyle w:val="4"/>
        <w:numPr>
          <w:ilvl w:val="0"/>
          <w:numId w:val="0"/>
        </w:numPr>
        <w:spacing w:line="360" w:lineRule="auto"/>
        <w:ind w:left="709" w:hanging="709"/>
        <w:jc w:val="left"/>
        <w:rPr>
          <w:rFonts w:eastAsia="宋体" w:cs="宋体"/>
          <w:color w:val="auto"/>
          <w:sz w:val="24"/>
          <w:lang w:val="zh-CN"/>
        </w:rPr>
      </w:pPr>
    </w:p>
    <w:p>
      <w:pPr>
        <w:pStyle w:val="4"/>
        <w:numPr>
          <w:ilvl w:val="0"/>
          <w:numId w:val="0"/>
        </w:numPr>
        <w:spacing w:line="360" w:lineRule="auto"/>
        <w:ind w:left="709" w:hanging="709"/>
        <w:jc w:val="left"/>
        <w:rPr>
          <w:rFonts w:eastAsia="宋体" w:cs="宋体"/>
          <w:color w:val="auto"/>
          <w:sz w:val="24"/>
          <w:lang w:val="zh-CN"/>
        </w:rPr>
      </w:pPr>
    </w:p>
    <w:p>
      <w:pPr>
        <w:pStyle w:val="4"/>
        <w:numPr>
          <w:ilvl w:val="0"/>
          <w:numId w:val="0"/>
        </w:numPr>
        <w:spacing w:line="360" w:lineRule="auto"/>
        <w:ind w:left="709" w:hanging="709"/>
        <w:jc w:val="left"/>
        <w:rPr>
          <w:rFonts w:eastAsia="宋体" w:cs="宋体"/>
          <w:color w:val="auto"/>
          <w:sz w:val="24"/>
          <w:lang w:val="zh-CN"/>
        </w:rPr>
      </w:pPr>
    </w:p>
    <w:p>
      <w:pPr>
        <w:pStyle w:val="4"/>
        <w:numPr>
          <w:ilvl w:val="0"/>
          <w:numId w:val="0"/>
        </w:numPr>
        <w:spacing w:line="360" w:lineRule="auto"/>
        <w:ind w:left="709" w:hanging="709"/>
        <w:jc w:val="left"/>
        <w:rPr>
          <w:rFonts w:eastAsia="宋体" w:cs="宋体"/>
          <w:color w:val="auto"/>
          <w:sz w:val="24"/>
          <w:lang w:val="zh-CN"/>
        </w:rPr>
      </w:pPr>
    </w:p>
    <w:p>
      <w:pPr>
        <w:pStyle w:val="4"/>
        <w:numPr>
          <w:ilvl w:val="0"/>
          <w:numId w:val="0"/>
        </w:numPr>
        <w:spacing w:line="360" w:lineRule="auto"/>
        <w:ind w:left="709" w:hanging="709"/>
        <w:jc w:val="left"/>
        <w:rPr>
          <w:rFonts w:eastAsia="宋体" w:cs="宋体"/>
          <w:color w:val="auto"/>
          <w:sz w:val="24"/>
          <w:lang w:val="zh-CN"/>
        </w:rPr>
      </w:pPr>
    </w:p>
    <w:p>
      <w:pPr>
        <w:pStyle w:val="4"/>
        <w:numPr>
          <w:ilvl w:val="0"/>
          <w:numId w:val="0"/>
        </w:numPr>
        <w:spacing w:line="360" w:lineRule="auto"/>
        <w:ind w:left="709" w:hanging="709"/>
        <w:jc w:val="left"/>
        <w:rPr>
          <w:rFonts w:eastAsia="宋体" w:cs="宋体"/>
          <w:color w:val="auto"/>
          <w:sz w:val="24"/>
          <w:lang w:val="zh-CN"/>
        </w:rPr>
      </w:pPr>
    </w:p>
    <w:p>
      <w:pPr>
        <w:pStyle w:val="4"/>
        <w:numPr>
          <w:ilvl w:val="0"/>
          <w:numId w:val="0"/>
        </w:numPr>
        <w:spacing w:line="360" w:lineRule="auto"/>
        <w:ind w:left="709" w:hanging="709"/>
        <w:jc w:val="left"/>
        <w:rPr>
          <w:rFonts w:eastAsia="宋体" w:cs="宋体"/>
          <w:color w:val="auto"/>
          <w:sz w:val="24"/>
          <w:lang w:val="zh-CN"/>
        </w:rPr>
      </w:pPr>
    </w:p>
    <w:p>
      <w:pPr>
        <w:pStyle w:val="4"/>
        <w:numPr>
          <w:ilvl w:val="0"/>
          <w:numId w:val="0"/>
        </w:numPr>
        <w:spacing w:line="360" w:lineRule="auto"/>
        <w:ind w:left="709" w:hanging="709"/>
        <w:jc w:val="left"/>
        <w:rPr>
          <w:rFonts w:eastAsia="宋体" w:cs="宋体"/>
          <w:color w:val="auto"/>
          <w:sz w:val="24"/>
          <w:lang w:val="zh-CN"/>
        </w:rPr>
      </w:pPr>
    </w:p>
    <w:p>
      <w:pPr>
        <w:pStyle w:val="4"/>
        <w:numPr>
          <w:ilvl w:val="0"/>
          <w:numId w:val="0"/>
        </w:numPr>
        <w:spacing w:line="360" w:lineRule="auto"/>
        <w:ind w:left="709" w:hanging="709"/>
        <w:jc w:val="left"/>
        <w:rPr>
          <w:rFonts w:eastAsia="宋体" w:cs="宋体"/>
          <w:color w:val="auto"/>
          <w:sz w:val="24"/>
          <w:lang w:val="zh-CN"/>
        </w:rPr>
      </w:pPr>
    </w:p>
    <w:p>
      <w:pPr>
        <w:spacing w:line="360" w:lineRule="auto"/>
        <w:jc w:val="left"/>
        <w:rPr>
          <w:rFonts w:eastAsia="宋体"/>
          <w:color w:val="auto"/>
          <w:sz w:val="24"/>
          <w:lang w:val="zh-CN"/>
        </w:rPr>
      </w:pPr>
    </w:p>
    <w:p>
      <w:pPr>
        <w:pStyle w:val="19"/>
        <w:spacing w:line="360" w:lineRule="auto"/>
        <w:rPr>
          <w:rFonts w:ascii="宋体" w:hAnsi="宋体" w:eastAsia="宋体" w:cs="宋体"/>
          <w:color w:val="auto"/>
          <w:sz w:val="24"/>
          <w:lang w:val="zh-CN"/>
        </w:rPr>
      </w:pPr>
    </w:p>
    <w:p>
      <w:pPr>
        <w:pStyle w:val="19"/>
        <w:spacing w:line="360" w:lineRule="auto"/>
        <w:rPr>
          <w:rFonts w:ascii="宋体" w:hAnsi="宋体" w:eastAsia="宋体" w:cs="宋体"/>
          <w:color w:val="auto"/>
          <w:sz w:val="24"/>
          <w:lang w:val="zh-CN"/>
        </w:rPr>
      </w:pPr>
    </w:p>
    <w:p>
      <w:pPr>
        <w:pStyle w:val="19"/>
        <w:spacing w:line="360" w:lineRule="auto"/>
        <w:rPr>
          <w:rFonts w:ascii="宋体" w:hAnsi="宋体" w:eastAsia="宋体" w:cs="宋体"/>
          <w:color w:val="auto"/>
          <w:sz w:val="24"/>
          <w:lang w:val="zh-CN"/>
        </w:rPr>
      </w:pPr>
    </w:p>
    <w:p>
      <w:pPr>
        <w:pStyle w:val="19"/>
        <w:spacing w:line="360" w:lineRule="auto"/>
        <w:rPr>
          <w:rFonts w:ascii="宋体" w:hAnsi="宋体" w:eastAsia="宋体" w:cs="宋体"/>
          <w:color w:val="auto"/>
          <w:sz w:val="24"/>
          <w:lang w:val="zh-CN"/>
        </w:rPr>
      </w:pPr>
    </w:p>
    <w:p>
      <w:pPr>
        <w:pStyle w:val="19"/>
        <w:spacing w:line="360" w:lineRule="auto"/>
        <w:rPr>
          <w:rFonts w:ascii="宋体" w:hAnsi="宋体" w:eastAsia="宋体" w:cs="宋体"/>
          <w:color w:val="auto"/>
          <w:sz w:val="24"/>
          <w:lang w:val="zh-CN"/>
        </w:rPr>
      </w:pPr>
    </w:p>
    <w:p>
      <w:pPr>
        <w:pStyle w:val="4"/>
        <w:numPr>
          <w:ilvl w:val="0"/>
          <w:numId w:val="0"/>
        </w:numPr>
        <w:spacing w:line="360" w:lineRule="auto"/>
        <w:ind w:left="709" w:hanging="709"/>
        <w:jc w:val="left"/>
        <w:rPr>
          <w:rFonts w:eastAsia="宋体" w:cs="宋体"/>
          <w:color w:val="auto"/>
          <w:sz w:val="24"/>
          <w:lang w:val="zh-CN"/>
        </w:rPr>
      </w:pPr>
    </w:p>
    <w:p>
      <w:pPr>
        <w:pStyle w:val="4"/>
        <w:numPr>
          <w:ilvl w:val="0"/>
          <w:numId w:val="0"/>
        </w:numPr>
        <w:spacing w:line="360" w:lineRule="auto"/>
        <w:ind w:left="709" w:hanging="709"/>
        <w:jc w:val="left"/>
        <w:rPr>
          <w:rFonts w:eastAsia="宋体" w:cs="宋体"/>
          <w:color w:val="auto"/>
          <w:sz w:val="24"/>
          <w:lang w:val="zh-CN"/>
        </w:rPr>
      </w:pPr>
    </w:p>
    <w:p>
      <w:pPr>
        <w:pStyle w:val="4"/>
        <w:numPr>
          <w:ilvl w:val="0"/>
          <w:numId w:val="0"/>
        </w:numPr>
        <w:spacing w:line="360" w:lineRule="auto"/>
        <w:jc w:val="left"/>
        <w:rPr>
          <w:rFonts w:eastAsia="宋体" w:cs="宋体"/>
          <w:color w:val="auto"/>
          <w:sz w:val="24"/>
          <w:lang w:val="zh-CN"/>
        </w:rPr>
      </w:pPr>
    </w:p>
    <w:p>
      <w:pPr>
        <w:pStyle w:val="4"/>
        <w:numPr>
          <w:ilvl w:val="0"/>
          <w:numId w:val="0"/>
        </w:numPr>
        <w:spacing w:line="360" w:lineRule="auto"/>
        <w:jc w:val="left"/>
        <w:rPr>
          <w:rFonts w:eastAsia="宋体" w:cs="宋体"/>
          <w:b/>
          <w:color w:val="auto"/>
          <w:sz w:val="32"/>
          <w:lang w:val="zh-CN"/>
        </w:rPr>
      </w:pPr>
      <w:bookmarkStart w:id="636" w:name="_Toc8283"/>
      <w:bookmarkStart w:id="637" w:name="_Toc9724"/>
      <w:bookmarkStart w:id="638" w:name="_Toc9955"/>
      <w:bookmarkStart w:id="639" w:name="_Toc8116"/>
      <w:bookmarkStart w:id="640" w:name="_Toc11079"/>
      <w:bookmarkStart w:id="641" w:name="_Toc30269"/>
      <w:r>
        <w:rPr>
          <w:rFonts w:hint="eastAsia" w:eastAsia="宋体" w:cs="宋体"/>
          <w:b/>
          <w:color w:val="auto"/>
          <w:sz w:val="32"/>
          <w:lang w:val="zh-CN"/>
        </w:rPr>
        <w:t>格式</w:t>
      </w:r>
      <w:r>
        <w:rPr>
          <w:rFonts w:hint="eastAsia" w:eastAsia="宋体" w:cs="宋体"/>
          <w:b/>
          <w:color w:val="auto"/>
          <w:sz w:val="32"/>
        </w:rPr>
        <w:t>12</w:t>
      </w:r>
      <w:r>
        <w:rPr>
          <w:rFonts w:hint="eastAsia" w:eastAsia="宋体" w:cs="宋体"/>
          <w:b/>
          <w:color w:val="auto"/>
          <w:sz w:val="32"/>
          <w:lang w:val="zh-CN"/>
        </w:rPr>
        <w:t>、</w:t>
      </w:r>
      <w:r>
        <w:rPr>
          <w:rFonts w:hint="eastAsia" w:eastAsia="宋体" w:cs="宋体"/>
          <w:b/>
          <w:color w:val="auto"/>
          <w:sz w:val="32"/>
          <w:szCs w:val="22"/>
          <w:lang w:val="zh-CN"/>
        </w:rPr>
        <w:t>评分对照表</w:t>
      </w:r>
      <w:bookmarkEnd w:id="636"/>
      <w:bookmarkEnd w:id="637"/>
      <w:bookmarkEnd w:id="638"/>
      <w:bookmarkEnd w:id="639"/>
      <w:bookmarkEnd w:id="640"/>
      <w:bookmarkEnd w:id="641"/>
    </w:p>
    <w:p>
      <w:pPr>
        <w:autoSpaceDE w:val="0"/>
        <w:autoSpaceDN w:val="0"/>
        <w:adjustRightInd w:val="0"/>
        <w:spacing w:line="360" w:lineRule="auto"/>
        <w:jc w:val="left"/>
        <w:rPr>
          <w:rFonts w:eastAsia="宋体"/>
          <w:b/>
          <w:bCs/>
          <w:color w:val="auto"/>
          <w:sz w:val="32"/>
          <w:szCs w:val="30"/>
          <w:lang w:val="zh-CN"/>
        </w:rPr>
      </w:pPr>
    </w:p>
    <w:p>
      <w:pPr>
        <w:adjustRightInd w:val="0"/>
        <w:spacing w:line="360" w:lineRule="auto"/>
        <w:jc w:val="center"/>
        <w:textAlignment w:val="baseline"/>
        <w:rPr>
          <w:rFonts w:eastAsia="宋体"/>
          <w:b/>
          <w:color w:val="auto"/>
          <w:sz w:val="32"/>
          <w:szCs w:val="30"/>
        </w:rPr>
      </w:pPr>
      <w:r>
        <w:rPr>
          <w:rFonts w:hint="eastAsia" w:eastAsia="宋体"/>
          <w:b/>
          <w:color w:val="auto"/>
          <w:sz w:val="32"/>
          <w:szCs w:val="30"/>
        </w:rPr>
        <w:t>评分对照表</w:t>
      </w:r>
    </w:p>
    <w:tbl>
      <w:tblPr>
        <w:tblStyle w:val="23"/>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71"/>
        <w:gridCol w:w="2514"/>
        <w:gridCol w:w="2266"/>
        <w:gridCol w:w="2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ign w:val="center"/>
          </w:tcPr>
          <w:p>
            <w:pPr>
              <w:pStyle w:val="7"/>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序号</w:t>
            </w:r>
          </w:p>
        </w:tc>
        <w:tc>
          <w:tcPr>
            <w:tcW w:w="2514" w:type="dxa"/>
            <w:noWrap/>
            <w:vAlign w:val="center"/>
          </w:tcPr>
          <w:p>
            <w:pPr>
              <w:pStyle w:val="7"/>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磋商文件评分标准</w:t>
            </w:r>
          </w:p>
        </w:tc>
        <w:tc>
          <w:tcPr>
            <w:tcW w:w="2266" w:type="dxa"/>
            <w:noWrap/>
            <w:vAlign w:val="center"/>
          </w:tcPr>
          <w:p>
            <w:pPr>
              <w:pStyle w:val="7"/>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磋商响应部分</w:t>
            </w:r>
          </w:p>
        </w:tc>
        <w:tc>
          <w:tcPr>
            <w:tcW w:w="2966" w:type="dxa"/>
            <w:noWrap/>
            <w:vAlign w:val="center"/>
          </w:tcPr>
          <w:p>
            <w:pPr>
              <w:pStyle w:val="7"/>
              <w:spacing w:line="360" w:lineRule="auto"/>
              <w:ind w:firstLine="0" w:firstLineChars="0"/>
              <w:jc w:val="left"/>
              <w:rPr>
                <w:rFonts w:ascii="宋体" w:hAnsi="宋体" w:eastAsia="宋体" w:cs="宋体"/>
                <w:color w:val="auto"/>
                <w:sz w:val="24"/>
                <w:szCs w:val="24"/>
              </w:rPr>
            </w:pPr>
            <w:r>
              <w:rPr>
                <w:rFonts w:hint="eastAsia" w:ascii="宋体" w:hAnsi="宋体" w:eastAsia="宋体" w:cs="宋体"/>
                <w:color w:val="auto"/>
                <w:sz w:val="24"/>
                <w:szCs w:val="24"/>
              </w:rPr>
              <w:t>磋商响应文件中对应页码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ign w:val="center"/>
          </w:tcPr>
          <w:p>
            <w:pPr>
              <w:pStyle w:val="7"/>
              <w:spacing w:line="360" w:lineRule="auto"/>
              <w:ind w:firstLine="480"/>
              <w:jc w:val="left"/>
              <w:rPr>
                <w:rFonts w:ascii="宋体" w:hAnsi="宋体" w:eastAsia="宋体" w:cs="宋体"/>
                <w:color w:val="auto"/>
                <w:sz w:val="24"/>
                <w:szCs w:val="24"/>
              </w:rPr>
            </w:pPr>
          </w:p>
        </w:tc>
        <w:tc>
          <w:tcPr>
            <w:tcW w:w="2514" w:type="dxa"/>
            <w:noWrap/>
            <w:vAlign w:val="center"/>
          </w:tcPr>
          <w:p>
            <w:pPr>
              <w:pStyle w:val="7"/>
              <w:spacing w:line="360" w:lineRule="auto"/>
              <w:ind w:firstLine="480"/>
              <w:jc w:val="left"/>
              <w:rPr>
                <w:rFonts w:ascii="宋体" w:hAnsi="宋体" w:eastAsia="宋体" w:cs="宋体"/>
                <w:color w:val="auto"/>
                <w:sz w:val="24"/>
                <w:szCs w:val="24"/>
              </w:rPr>
            </w:pPr>
          </w:p>
        </w:tc>
        <w:tc>
          <w:tcPr>
            <w:tcW w:w="2266" w:type="dxa"/>
            <w:noWrap/>
            <w:vAlign w:val="center"/>
          </w:tcPr>
          <w:p>
            <w:pPr>
              <w:pStyle w:val="7"/>
              <w:spacing w:line="360" w:lineRule="auto"/>
              <w:ind w:firstLine="480"/>
              <w:jc w:val="left"/>
              <w:rPr>
                <w:rFonts w:ascii="宋体" w:hAnsi="宋体" w:eastAsia="宋体" w:cs="宋体"/>
                <w:color w:val="auto"/>
                <w:sz w:val="24"/>
                <w:szCs w:val="24"/>
              </w:rPr>
            </w:pPr>
          </w:p>
        </w:tc>
        <w:tc>
          <w:tcPr>
            <w:tcW w:w="2966" w:type="dxa"/>
            <w:noWrap/>
            <w:vAlign w:val="center"/>
          </w:tcPr>
          <w:p>
            <w:pPr>
              <w:pStyle w:val="7"/>
              <w:spacing w:line="360" w:lineRule="auto"/>
              <w:ind w:firstLine="480"/>
              <w:jc w:val="left"/>
              <w:rPr>
                <w:rFonts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ign w:val="center"/>
          </w:tcPr>
          <w:p>
            <w:pPr>
              <w:pStyle w:val="7"/>
              <w:spacing w:line="360" w:lineRule="auto"/>
              <w:ind w:firstLine="480"/>
              <w:jc w:val="left"/>
              <w:rPr>
                <w:rFonts w:ascii="宋体" w:hAnsi="宋体" w:eastAsia="宋体" w:cs="宋体"/>
                <w:color w:val="auto"/>
                <w:sz w:val="24"/>
                <w:szCs w:val="24"/>
              </w:rPr>
            </w:pPr>
          </w:p>
        </w:tc>
        <w:tc>
          <w:tcPr>
            <w:tcW w:w="2514" w:type="dxa"/>
            <w:noWrap/>
            <w:vAlign w:val="center"/>
          </w:tcPr>
          <w:p>
            <w:pPr>
              <w:pStyle w:val="7"/>
              <w:spacing w:line="360" w:lineRule="auto"/>
              <w:ind w:firstLine="480"/>
              <w:jc w:val="left"/>
              <w:rPr>
                <w:rFonts w:ascii="宋体" w:hAnsi="宋体" w:eastAsia="宋体" w:cs="宋体"/>
                <w:color w:val="auto"/>
                <w:sz w:val="24"/>
                <w:szCs w:val="24"/>
              </w:rPr>
            </w:pPr>
          </w:p>
        </w:tc>
        <w:tc>
          <w:tcPr>
            <w:tcW w:w="2266" w:type="dxa"/>
            <w:noWrap/>
            <w:vAlign w:val="center"/>
          </w:tcPr>
          <w:p>
            <w:pPr>
              <w:pStyle w:val="7"/>
              <w:spacing w:line="360" w:lineRule="auto"/>
              <w:ind w:firstLine="480"/>
              <w:jc w:val="left"/>
              <w:rPr>
                <w:rFonts w:ascii="宋体" w:hAnsi="宋体" w:eastAsia="宋体" w:cs="宋体"/>
                <w:color w:val="auto"/>
                <w:sz w:val="24"/>
                <w:szCs w:val="24"/>
              </w:rPr>
            </w:pPr>
          </w:p>
        </w:tc>
        <w:tc>
          <w:tcPr>
            <w:tcW w:w="2966" w:type="dxa"/>
            <w:noWrap/>
            <w:vAlign w:val="center"/>
          </w:tcPr>
          <w:p>
            <w:pPr>
              <w:pStyle w:val="7"/>
              <w:spacing w:line="360" w:lineRule="auto"/>
              <w:ind w:firstLine="480"/>
              <w:jc w:val="left"/>
              <w:rPr>
                <w:rFonts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ign w:val="center"/>
          </w:tcPr>
          <w:p>
            <w:pPr>
              <w:pStyle w:val="7"/>
              <w:spacing w:line="360" w:lineRule="auto"/>
              <w:ind w:firstLine="480"/>
              <w:jc w:val="left"/>
              <w:rPr>
                <w:rFonts w:ascii="宋体" w:hAnsi="宋体" w:eastAsia="宋体" w:cs="宋体"/>
                <w:color w:val="auto"/>
                <w:sz w:val="24"/>
                <w:szCs w:val="24"/>
              </w:rPr>
            </w:pPr>
          </w:p>
        </w:tc>
        <w:tc>
          <w:tcPr>
            <w:tcW w:w="2514" w:type="dxa"/>
            <w:noWrap/>
            <w:vAlign w:val="center"/>
          </w:tcPr>
          <w:p>
            <w:pPr>
              <w:pStyle w:val="7"/>
              <w:spacing w:line="360" w:lineRule="auto"/>
              <w:ind w:firstLine="480"/>
              <w:jc w:val="left"/>
              <w:rPr>
                <w:rFonts w:ascii="宋体" w:hAnsi="宋体" w:eastAsia="宋体" w:cs="宋体"/>
                <w:color w:val="auto"/>
                <w:sz w:val="24"/>
                <w:szCs w:val="24"/>
              </w:rPr>
            </w:pPr>
          </w:p>
        </w:tc>
        <w:tc>
          <w:tcPr>
            <w:tcW w:w="2266" w:type="dxa"/>
            <w:noWrap/>
            <w:vAlign w:val="center"/>
          </w:tcPr>
          <w:p>
            <w:pPr>
              <w:pStyle w:val="7"/>
              <w:spacing w:line="360" w:lineRule="auto"/>
              <w:ind w:firstLine="480"/>
              <w:jc w:val="left"/>
              <w:rPr>
                <w:rFonts w:ascii="宋体" w:hAnsi="宋体" w:eastAsia="宋体" w:cs="宋体"/>
                <w:color w:val="auto"/>
                <w:sz w:val="24"/>
                <w:szCs w:val="24"/>
              </w:rPr>
            </w:pPr>
          </w:p>
        </w:tc>
        <w:tc>
          <w:tcPr>
            <w:tcW w:w="2966" w:type="dxa"/>
            <w:noWrap/>
            <w:vAlign w:val="center"/>
          </w:tcPr>
          <w:p>
            <w:pPr>
              <w:pStyle w:val="7"/>
              <w:spacing w:line="360" w:lineRule="auto"/>
              <w:ind w:firstLine="480"/>
              <w:jc w:val="left"/>
              <w:rPr>
                <w:rFonts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ign w:val="center"/>
          </w:tcPr>
          <w:p>
            <w:pPr>
              <w:pStyle w:val="7"/>
              <w:spacing w:line="360" w:lineRule="auto"/>
              <w:ind w:firstLine="480"/>
              <w:jc w:val="left"/>
              <w:rPr>
                <w:rFonts w:ascii="宋体" w:hAnsi="宋体" w:eastAsia="宋体" w:cs="宋体"/>
                <w:color w:val="auto"/>
                <w:sz w:val="24"/>
                <w:szCs w:val="24"/>
              </w:rPr>
            </w:pPr>
          </w:p>
        </w:tc>
        <w:tc>
          <w:tcPr>
            <w:tcW w:w="2514" w:type="dxa"/>
            <w:noWrap/>
            <w:vAlign w:val="center"/>
          </w:tcPr>
          <w:p>
            <w:pPr>
              <w:pStyle w:val="7"/>
              <w:spacing w:line="360" w:lineRule="auto"/>
              <w:ind w:firstLine="480"/>
              <w:jc w:val="left"/>
              <w:rPr>
                <w:rFonts w:ascii="宋体" w:hAnsi="宋体" w:eastAsia="宋体" w:cs="宋体"/>
                <w:color w:val="auto"/>
                <w:sz w:val="24"/>
                <w:szCs w:val="24"/>
              </w:rPr>
            </w:pPr>
          </w:p>
        </w:tc>
        <w:tc>
          <w:tcPr>
            <w:tcW w:w="2266" w:type="dxa"/>
            <w:noWrap/>
            <w:vAlign w:val="center"/>
          </w:tcPr>
          <w:p>
            <w:pPr>
              <w:pStyle w:val="7"/>
              <w:spacing w:line="360" w:lineRule="auto"/>
              <w:ind w:firstLine="480"/>
              <w:jc w:val="left"/>
              <w:rPr>
                <w:rFonts w:ascii="宋体" w:hAnsi="宋体" w:eastAsia="宋体" w:cs="宋体"/>
                <w:color w:val="auto"/>
                <w:sz w:val="24"/>
                <w:szCs w:val="24"/>
              </w:rPr>
            </w:pPr>
          </w:p>
        </w:tc>
        <w:tc>
          <w:tcPr>
            <w:tcW w:w="2966" w:type="dxa"/>
            <w:noWrap/>
            <w:vAlign w:val="center"/>
          </w:tcPr>
          <w:p>
            <w:pPr>
              <w:pStyle w:val="7"/>
              <w:spacing w:line="360" w:lineRule="auto"/>
              <w:ind w:firstLine="480"/>
              <w:jc w:val="left"/>
              <w:rPr>
                <w:rFonts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ign w:val="center"/>
          </w:tcPr>
          <w:p>
            <w:pPr>
              <w:pStyle w:val="7"/>
              <w:spacing w:line="360" w:lineRule="auto"/>
              <w:ind w:firstLine="480"/>
              <w:jc w:val="left"/>
              <w:rPr>
                <w:rFonts w:ascii="宋体" w:hAnsi="宋体" w:eastAsia="宋体" w:cs="宋体"/>
                <w:color w:val="auto"/>
                <w:sz w:val="24"/>
                <w:szCs w:val="24"/>
              </w:rPr>
            </w:pPr>
          </w:p>
        </w:tc>
        <w:tc>
          <w:tcPr>
            <w:tcW w:w="2514" w:type="dxa"/>
            <w:noWrap/>
            <w:vAlign w:val="center"/>
          </w:tcPr>
          <w:p>
            <w:pPr>
              <w:pStyle w:val="7"/>
              <w:spacing w:line="360" w:lineRule="auto"/>
              <w:ind w:firstLine="480"/>
              <w:jc w:val="left"/>
              <w:rPr>
                <w:rFonts w:ascii="宋体" w:hAnsi="宋体" w:eastAsia="宋体" w:cs="宋体"/>
                <w:color w:val="auto"/>
                <w:sz w:val="24"/>
                <w:szCs w:val="24"/>
              </w:rPr>
            </w:pPr>
          </w:p>
        </w:tc>
        <w:tc>
          <w:tcPr>
            <w:tcW w:w="2266" w:type="dxa"/>
            <w:noWrap/>
            <w:vAlign w:val="center"/>
          </w:tcPr>
          <w:p>
            <w:pPr>
              <w:pStyle w:val="7"/>
              <w:spacing w:line="360" w:lineRule="auto"/>
              <w:ind w:firstLine="480"/>
              <w:jc w:val="left"/>
              <w:rPr>
                <w:rFonts w:ascii="宋体" w:hAnsi="宋体" w:eastAsia="宋体" w:cs="宋体"/>
                <w:color w:val="auto"/>
                <w:sz w:val="24"/>
                <w:szCs w:val="24"/>
              </w:rPr>
            </w:pPr>
          </w:p>
        </w:tc>
        <w:tc>
          <w:tcPr>
            <w:tcW w:w="2966" w:type="dxa"/>
            <w:noWrap/>
            <w:vAlign w:val="center"/>
          </w:tcPr>
          <w:p>
            <w:pPr>
              <w:pStyle w:val="7"/>
              <w:spacing w:line="360" w:lineRule="auto"/>
              <w:ind w:firstLine="480"/>
              <w:jc w:val="left"/>
              <w:rPr>
                <w:rFonts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ign w:val="center"/>
          </w:tcPr>
          <w:p>
            <w:pPr>
              <w:pStyle w:val="7"/>
              <w:spacing w:line="360" w:lineRule="auto"/>
              <w:ind w:firstLine="480"/>
              <w:jc w:val="left"/>
              <w:rPr>
                <w:rFonts w:ascii="宋体" w:hAnsi="宋体" w:eastAsia="宋体" w:cs="宋体"/>
                <w:color w:val="auto"/>
                <w:sz w:val="24"/>
                <w:szCs w:val="24"/>
              </w:rPr>
            </w:pPr>
          </w:p>
        </w:tc>
        <w:tc>
          <w:tcPr>
            <w:tcW w:w="2514" w:type="dxa"/>
            <w:noWrap/>
            <w:vAlign w:val="center"/>
          </w:tcPr>
          <w:p>
            <w:pPr>
              <w:pStyle w:val="7"/>
              <w:spacing w:line="360" w:lineRule="auto"/>
              <w:ind w:firstLine="480"/>
              <w:jc w:val="left"/>
              <w:rPr>
                <w:rFonts w:ascii="宋体" w:hAnsi="宋体" w:eastAsia="宋体" w:cs="宋体"/>
                <w:color w:val="auto"/>
                <w:sz w:val="24"/>
                <w:szCs w:val="24"/>
              </w:rPr>
            </w:pPr>
          </w:p>
        </w:tc>
        <w:tc>
          <w:tcPr>
            <w:tcW w:w="2266" w:type="dxa"/>
            <w:noWrap/>
            <w:vAlign w:val="center"/>
          </w:tcPr>
          <w:p>
            <w:pPr>
              <w:pStyle w:val="7"/>
              <w:spacing w:line="360" w:lineRule="auto"/>
              <w:ind w:firstLine="480"/>
              <w:jc w:val="left"/>
              <w:rPr>
                <w:rFonts w:ascii="宋体" w:hAnsi="宋体" w:eastAsia="宋体" w:cs="宋体"/>
                <w:color w:val="auto"/>
                <w:sz w:val="24"/>
                <w:szCs w:val="24"/>
              </w:rPr>
            </w:pPr>
          </w:p>
        </w:tc>
        <w:tc>
          <w:tcPr>
            <w:tcW w:w="2966" w:type="dxa"/>
            <w:noWrap/>
            <w:vAlign w:val="center"/>
          </w:tcPr>
          <w:p>
            <w:pPr>
              <w:pStyle w:val="7"/>
              <w:spacing w:line="360" w:lineRule="auto"/>
              <w:ind w:firstLine="480"/>
              <w:jc w:val="left"/>
              <w:rPr>
                <w:rFonts w:ascii="宋体" w:hAnsi="宋体" w:eastAsia="宋体" w:cs="宋体"/>
                <w:color w:val="auto"/>
                <w:sz w:val="24"/>
                <w:szCs w:val="24"/>
              </w:rPr>
            </w:pPr>
          </w:p>
        </w:tc>
      </w:tr>
    </w:tbl>
    <w:p>
      <w:pPr>
        <w:spacing w:line="360" w:lineRule="auto"/>
        <w:jc w:val="left"/>
        <w:rPr>
          <w:rFonts w:eastAsia="宋体"/>
          <w:bCs/>
          <w:color w:val="auto"/>
          <w:sz w:val="24"/>
          <w:szCs w:val="28"/>
        </w:rPr>
      </w:pPr>
    </w:p>
    <w:p>
      <w:pPr>
        <w:pStyle w:val="4"/>
        <w:numPr>
          <w:ilvl w:val="0"/>
          <w:numId w:val="0"/>
        </w:numPr>
        <w:spacing w:line="360" w:lineRule="auto"/>
        <w:ind w:left="709" w:hanging="709"/>
        <w:jc w:val="left"/>
        <w:rPr>
          <w:rFonts w:eastAsia="宋体" w:cs="宋体"/>
          <w:color w:val="auto"/>
          <w:lang w:val="zh-CN"/>
        </w:rPr>
      </w:pPr>
      <w:r>
        <w:rPr>
          <w:rFonts w:hint="eastAsia" w:eastAsia="宋体" w:cs="宋体"/>
          <w:bCs/>
          <w:color w:val="auto"/>
          <w:sz w:val="24"/>
          <w:szCs w:val="28"/>
        </w:rPr>
        <w:br w:type="page"/>
      </w:r>
      <w:bookmarkStart w:id="642" w:name="_Toc24328"/>
      <w:bookmarkStart w:id="643" w:name="_Toc11497"/>
      <w:bookmarkStart w:id="644" w:name="_Toc1532"/>
      <w:bookmarkStart w:id="645" w:name="_Toc19290"/>
      <w:bookmarkStart w:id="646" w:name="_Toc31601"/>
      <w:bookmarkStart w:id="647" w:name="_Toc25419"/>
      <w:r>
        <w:rPr>
          <w:rFonts w:hint="eastAsia" w:eastAsia="宋体" w:cs="宋体"/>
          <w:b/>
          <w:color w:val="auto"/>
          <w:sz w:val="32"/>
          <w:lang w:val="zh-CN"/>
        </w:rPr>
        <w:t>格式1</w:t>
      </w:r>
      <w:r>
        <w:rPr>
          <w:rFonts w:hint="eastAsia" w:eastAsia="宋体" w:cs="宋体"/>
          <w:b/>
          <w:color w:val="auto"/>
          <w:sz w:val="32"/>
        </w:rPr>
        <w:t>3</w:t>
      </w:r>
      <w:r>
        <w:rPr>
          <w:rFonts w:hint="eastAsia" w:eastAsia="宋体" w:cs="宋体"/>
          <w:b/>
          <w:color w:val="auto"/>
          <w:sz w:val="32"/>
          <w:lang w:val="zh-CN"/>
        </w:rPr>
        <w:t>、</w:t>
      </w:r>
      <w:bookmarkStart w:id="648" w:name="_Toc487036155"/>
      <w:r>
        <w:rPr>
          <w:rFonts w:hint="eastAsia" w:eastAsia="宋体" w:cs="宋体"/>
          <w:b/>
          <w:color w:val="auto"/>
          <w:sz w:val="32"/>
          <w:szCs w:val="22"/>
          <w:lang w:val="zh-CN"/>
        </w:rPr>
        <w:t>竞争性磋商首次报价表</w:t>
      </w:r>
      <w:bookmarkEnd w:id="642"/>
      <w:bookmarkEnd w:id="643"/>
      <w:bookmarkEnd w:id="644"/>
      <w:bookmarkEnd w:id="645"/>
      <w:bookmarkEnd w:id="646"/>
      <w:bookmarkEnd w:id="647"/>
      <w:bookmarkEnd w:id="648"/>
    </w:p>
    <w:p>
      <w:pPr>
        <w:spacing w:line="360" w:lineRule="auto"/>
        <w:jc w:val="left"/>
        <w:rPr>
          <w:rFonts w:eastAsia="宋体"/>
          <w:b/>
          <w:bCs/>
          <w:color w:val="auto"/>
          <w:sz w:val="28"/>
          <w:szCs w:val="28"/>
        </w:rPr>
      </w:pPr>
    </w:p>
    <w:p>
      <w:pPr>
        <w:adjustRightInd w:val="0"/>
        <w:spacing w:line="360" w:lineRule="auto"/>
        <w:jc w:val="center"/>
        <w:textAlignment w:val="baseline"/>
        <w:rPr>
          <w:rFonts w:eastAsia="宋体"/>
          <w:b/>
          <w:color w:val="auto"/>
          <w:sz w:val="32"/>
          <w:szCs w:val="30"/>
        </w:rPr>
      </w:pPr>
      <w:r>
        <w:rPr>
          <w:rFonts w:hint="eastAsia" w:eastAsia="宋体"/>
          <w:b/>
          <w:color w:val="auto"/>
          <w:sz w:val="32"/>
          <w:szCs w:val="30"/>
        </w:rPr>
        <w:t>竞争性磋商首次报价表</w:t>
      </w:r>
    </w:p>
    <w:p>
      <w:pPr>
        <w:autoSpaceDE w:val="0"/>
        <w:autoSpaceDN w:val="0"/>
        <w:adjustRightInd w:val="0"/>
        <w:spacing w:line="360" w:lineRule="auto"/>
        <w:jc w:val="left"/>
        <w:outlineLvl w:val="1"/>
        <w:rPr>
          <w:rFonts w:eastAsia="宋体"/>
          <w:b/>
          <w:bCs/>
          <w:color w:val="auto"/>
          <w:sz w:val="24"/>
          <w:lang w:val="zh-CN"/>
        </w:rPr>
      </w:pPr>
    </w:p>
    <w:p>
      <w:pPr>
        <w:autoSpaceDE w:val="0"/>
        <w:autoSpaceDN w:val="0"/>
        <w:adjustRightInd w:val="0"/>
        <w:spacing w:line="360" w:lineRule="auto"/>
        <w:jc w:val="left"/>
        <w:outlineLvl w:val="1"/>
        <w:rPr>
          <w:rFonts w:eastAsia="宋体"/>
          <w:b/>
          <w:bCs/>
          <w:color w:val="auto"/>
          <w:sz w:val="24"/>
        </w:rPr>
      </w:pPr>
      <w:bookmarkStart w:id="649" w:name="_Toc13749"/>
      <w:bookmarkStart w:id="650" w:name="_Toc3244"/>
      <w:bookmarkStart w:id="651" w:name="_Toc22857"/>
      <w:r>
        <w:rPr>
          <w:rFonts w:hint="eastAsia" w:eastAsia="宋体"/>
          <w:b/>
          <w:bCs/>
          <w:color w:val="auto"/>
          <w:sz w:val="24"/>
          <w:lang w:val="zh-CN"/>
        </w:rPr>
        <w:t>采购项目编号：</w:t>
      </w:r>
      <w:bookmarkEnd w:id="649"/>
      <w:bookmarkEnd w:id="650"/>
      <w:bookmarkEnd w:id="651"/>
      <w:r>
        <w:rPr>
          <w:rFonts w:hint="eastAsia" w:eastAsia="宋体"/>
          <w:b/>
          <w:bCs/>
          <w:color w:val="auto"/>
          <w:sz w:val="24"/>
          <w:lang w:val="zh-CN"/>
        </w:rPr>
        <w:t xml:space="preserve">                                                 单位：人民币（元）</w:t>
      </w:r>
    </w:p>
    <w:tbl>
      <w:tblPr>
        <w:tblStyle w:val="23"/>
        <w:tblW w:w="9968" w:type="dxa"/>
        <w:jc w:val="center"/>
        <w:tblLayout w:type="fixed"/>
        <w:tblCellMar>
          <w:top w:w="0" w:type="dxa"/>
          <w:left w:w="108" w:type="dxa"/>
          <w:bottom w:w="0" w:type="dxa"/>
          <w:right w:w="108" w:type="dxa"/>
        </w:tblCellMar>
      </w:tblPr>
      <w:tblGrid>
        <w:gridCol w:w="2966"/>
        <w:gridCol w:w="3188"/>
        <w:gridCol w:w="2129"/>
        <w:gridCol w:w="1685"/>
      </w:tblGrid>
      <w:tr>
        <w:tblPrEx>
          <w:tblCellMar>
            <w:top w:w="0" w:type="dxa"/>
            <w:left w:w="108" w:type="dxa"/>
            <w:bottom w:w="0" w:type="dxa"/>
            <w:right w:w="108" w:type="dxa"/>
          </w:tblCellMar>
        </w:tblPrEx>
        <w:trPr>
          <w:trHeight w:val="699" w:hRule="atLeast"/>
          <w:jc w:val="center"/>
        </w:trPr>
        <w:tc>
          <w:tcPr>
            <w:tcW w:w="2966"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lang w:val="zh-CN"/>
              </w:rPr>
            </w:pPr>
            <w:r>
              <w:rPr>
                <w:rFonts w:hint="eastAsia" w:eastAsia="宋体"/>
                <w:bCs/>
                <w:color w:val="auto"/>
                <w:sz w:val="24"/>
                <w:lang w:val="zh-CN"/>
              </w:rPr>
              <w:t>项目名称</w:t>
            </w: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ind w:firstLine="482"/>
              <w:jc w:val="left"/>
              <w:rPr>
                <w:rFonts w:eastAsia="宋体"/>
                <w:color w:val="auto"/>
                <w:lang w:val="zh-CN"/>
              </w:rPr>
            </w:pPr>
            <w:r>
              <w:rPr>
                <w:rFonts w:hint="eastAsia" w:eastAsia="宋体"/>
                <w:bCs/>
                <w:color w:val="auto"/>
                <w:sz w:val="24"/>
                <w:lang w:val="zh-CN"/>
              </w:rPr>
              <w:t>磋商首次报价</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bCs/>
                <w:color w:val="auto"/>
                <w:sz w:val="24"/>
                <w:lang w:val="zh-CN"/>
              </w:rPr>
            </w:pPr>
            <w:r>
              <w:rPr>
                <w:rFonts w:hint="eastAsia" w:eastAsia="宋体"/>
                <w:bCs/>
                <w:color w:val="auto"/>
                <w:sz w:val="24"/>
                <w:lang w:val="zh-CN"/>
              </w:rPr>
              <w:t>服务期</w:t>
            </w:r>
          </w:p>
        </w:tc>
        <w:tc>
          <w:tcPr>
            <w:tcW w:w="168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lang w:val="zh-CN"/>
              </w:rPr>
            </w:pPr>
            <w:r>
              <w:rPr>
                <w:rFonts w:hint="eastAsia" w:eastAsia="宋体"/>
                <w:color w:val="auto"/>
                <w:lang w:val="zh-CN"/>
              </w:rPr>
              <w:t>备注</w:t>
            </w:r>
          </w:p>
        </w:tc>
      </w:tr>
      <w:tr>
        <w:tblPrEx>
          <w:tblCellMar>
            <w:top w:w="0" w:type="dxa"/>
            <w:left w:w="108" w:type="dxa"/>
            <w:bottom w:w="0" w:type="dxa"/>
            <w:right w:w="108" w:type="dxa"/>
          </w:tblCellMar>
        </w:tblPrEx>
        <w:trPr>
          <w:trHeight w:val="555" w:hRule="atLeast"/>
          <w:jc w:val="center"/>
        </w:trPr>
        <w:tc>
          <w:tcPr>
            <w:tcW w:w="2966" w:type="dxa"/>
            <w:vMerge w:val="restart"/>
            <w:tcBorders>
              <w:top w:val="single" w:color="000000" w:sz="6" w:space="0"/>
              <w:left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lang w:val="zh-CN"/>
              </w:rPr>
            </w:pP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lang w:val="zh-CN"/>
              </w:rPr>
            </w:pPr>
            <w:r>
              <w:rPr>
                <w:rFonts w:hint="eastAsia" w:eastAsia="宋体"/>
                <w:bCs/>
                <w:color w:val="auto"/>
                <w:sz w:val="24"/>
                <w:lang w:val="zh-CN"/>
              </w:rPr>
              <w:t>大写：</w:t>
            </w:r>
          </w:p>
        </w:tc>
        <w:tc>
          <w:tcPr>
            <w:tcW w:w="2129" w:type="dxa"/>
            <w:vMerge w:val="restart"/>
            <w:tcBorders>
              <w:top w:val="single" w:color="000000" w:sz="6" w:space="0"/>
              <w:left w:val="single" w:color="000000" w:sz="6" w:space="0"/>
              <w:right w:val="single" w:color="000000" w:sz="6" w:space="0"/>
            </w:tcBorders>
            <w:shd w:val="clear" w:color="000000" w:fill="FFFFFF"/>
            <w:noWrap/>
            <w:vAlign w:val="center"/>
          </w:tcPr>
          <w:p>
            <w:pPr>
              <w:autoSpaceDE w:val="0"/>
              <w:autoSpaceDN w:val="0"/>
              <w:spacing w:line="360" w:lineRule="auto"/>
              <w:ind w:firstLine="197"/>
              <w:jc w:val="left"/>
              <w:rPr>
                <w:rFonts w:eastAsia="宋体"/>
                <w:color w:val="auto"/>
                <w:lang w:val="zh-CN"/>
              </w:rPr>
            </w:pPr>
          </w:p>
        </w:tc>
        <w:tc>
          <w:tcPr>
            <w:tcW w:w="1685" w:type="dxa"/>
            <w:vMerge w:val="restart"/>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lang w:val="zh-CN"/>
              </w:rPr>
            </w:pPr>
          </w:p>
        </w:tc>
      </w:tr>
      <w:tr>
        <w:tblPrEx>
          <w:tblCellMar>
            <w:top w:w="0" w:type="dxa"/>
            <w:left w:w="108" w:type="dxa"/>
            <w:bottom w:w="0" w:type="dxa"/>
            <w:right w:w="108" w:type="dxa"/>
          </w:tblCellMar>
        </w:tblPrEx>
        <w:trPr>
          <w:trHeight w:val="577" w:hRule="atLeast"/>
          <w:jc w:val="center"/>
        </w:trPr>
        <w:tc>
          <w:tcPr>
            <w:tcW w:w="2966" w:type="dxa"/>
            <w:vMerge w:val="continue"/>
            <w:tcBorders>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lang w:val="zh-CN"/>
              </w:rPr>
            </w:pP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lang w:val="zh-CN"/>
              </w:rPr>
            </w:pPr>
            <w:r>
              <w:rPr>
                <w:rFonts w:hint="eastAsia" w:eastAsia="宋体"/>
                <w:bCs/>
                <w:color w:val="auto"/>
                <w:sz w:val="24"/>
                <w:lang w:val="zh-CN"/>
              </w:rPr>
              <w:t>小写：</w:t>
            </w:r>
          </w:p>
        </w:tc>
        <w:tc>
          <w:tcPr>
            <w:tcW w:w="2129" w:type="dxa"/>
            <w:vMerge w:val="continue"/>
            <w:tcBorders>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lang w:val="zh-CN"/>
              </w:rPr>
            </w:pPr>
          </w:p>
        </w:tc>
        <w:tc>
          <w:tcPr>
            <w:tcW w:w="1685" w:type="dxa"/>
            <w:vMerge w:val="continue"/>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lang w:val="zh-CN"/>
              </w:rPr>
            </w:pPr>
          </w:p>
        </w:tc>
      </w:tr>
      <w:tr>
        <w:tblPrEx>
          <w:tblCellMar>
            <w:top w:w="0" w:type="dxa"/>
            <w:left w:w="108" w:type="dxa"/>
            <w:bottom w:w="0" w:type="dxa"/>
            <w:right w:w="108" w:type="dxa"/>
          </w:tblCellMar>
        </w:tblPrEx>
        <w:trPr>
          <w:trHeight w:val="1283" w:hRule="atLeast"/>
          <w:jc w:val="center"/>
        </w:trPr>
        <w:tc>
          <w:tcPr>
            <w:tcW w:w="9968" w:type="dxa"/>
            <w:gridSpan w:val="4"/>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spacing w:line="360" w:lineRule="auto"/>
              <w:jc w:val="left"/>
              <w:rPr>
                <w:rFonts w:eastAsia="宋体"/>
                <w:color w:val="auto"/>
                <w:lang w:val="zh-CN"/>
              </w:rPr>
            </w:pPr>
            <w:r>
              <w:rPr>
                <w:rFonts w:hint="eastAsia" w:eastAsia="宋体"/>
                <w:bCs/>
                <w:color w:val="auto"/>
                <w:sz w:val="24"/>
                <w:lang w:val="zh-CN"/>
              </w:rPr>
              <w:t>优惠承诺及其他：</w:t>
            </w:r>
          </w:p>
        </w:tc>
      </w:tr>
    </w:tbl>
    <w:p>
      <w:pPr>
        <w:autoSpaceDE w:val="0"/>
        <w:autoSpaceDN w:val="0"/>
        <w:spacing w:line="360" w:lineRule="auto"/>
        <w:jc w:val="left"/>
        <w:rPr>
          <w:rFonts w:eastAsia="宋体"/>
          <w:color w:val="auto"/>
          <w:sz w:val="24"/>
          <w:szCs w:val="24"/>
          <w:lang w:val="zh-CN"/>
        </w:rPr>
      </w:pPr>
      <w:r>
        <w:rPr>
          <w:rFonts w:hint="eastAsia" w:eastAsia="宋体"/>
          <w:bCs/>
          <w:color w:val="auto"/>
          <w:sz w:val="24"/>
          <w:szCs w:val="24"/>
          <w:lang w:val="zh-CN"/>
        </w:rPr>
        <w:t>注：</w:t>
      </w:r>
      <w:r>
        <w:rPr>
          <w:rFonts w:hint="eastAsia" w:eastAsia="宋体"/>
          <w:color w:val="auto"/>
          <w:sz w:val="24"/>
          <w:szCs w:val="24"/>
          <w:lang w:val="zh-CN"/>
        </w:rPr>
        <w:t>1、填写此表时不得改变表格形式（可按所投包增加行）。</w:t>
      </w:r>
    </w:p>
    <w:p>
      <w:pPr>
        <w:adjustRightInd w:val="0"/>
        <w:ind w:firstLine="480"/>
        <w:jc w:val="left"/>
        <w:textAlignment w:val="baseline"/>
        <w:rPr>
          <w:rFonts w:eastAsia="宋体"/>
          <w:color w:val="auto"/>
          <w:sz w:val="24"/>
          <w:szCs w:val="24"/>
          <w:lang w:val="zh-CN"/>
        </w:rPr>
      </w:pPr>
      <w:r>
        <w:rPr>
          <w:rFonts w:hint="eastAsia" w:eastAsia="宋体"/>
          <w:color w:val="auto"/>
          <w:sz w:val="24"/>
          <w:szCs w:val="24"/>
          <w:lang w:val="zh-CN"/>
        </w:rPr>
        <w:t>2、“磋商报价”为磋商总价。磋商报价必须包括：配套该项目提供的技术服务费用、招标代理服务费、税金及不可预见费等全部费用。</w:t>
      </w:r>
    </w:p>
    <w:p>
      <w:pPr>
        <w:spacing w:line="360" w:lineRule="auto"/>
        <w:jc w:val="left"/>
        <w:rPr>
          <w:rFonts w:eastAsia="宋体"/>
          <w:b/>
          <w:bCs/>
          <w:color w:val="auto"/>
          <w:sz w:val="20"/>
          <w:lang w:val="zh-CN"/>
        </w:rPr>
      </w:pPr>
    </w:p>
    <w:p>
      <w:pPr>
        <w:jc w:val="left"/>
        <w:rPr>
          <w:color w:val="auto"/>
          <w:lang w:val="zh-CN"/>
        </w:rPr>
      </w:pPr>
    </w:p>
    <w:p>
      <w:pPr>
        <w:spacing w:line="360" w:lineRule="auto"/>
        <w:jc w:val="left"/>
        <w:rPr>
          <w:rFonts w:eastAsia="宋体"/>
          <w:b/>
          <w:bCs/>
          <w:color w:val="auto"/>
          <w:sz w:val="20"/>
          <w:lang w:val="zh-CN"/>
        </w:rPr>
      </w:pPr>
    </w:p>
    <w:p>
      <w:pPr>
        <w:spacing w:line="360" w:lineRule="auto"/>
        <w:ind w:firstLine="388" w:firstLineChars="193"/>
        <w:jc w:val="left"/>
        <w:rPr>
          <w:rFonts w:eastAsia="宋体"/>
          <w:b/>
          <w:bCs/>
          <w:color w:val="auto"/>
          <w:sz w:val="20"/>
          <w:szCs w:val="22"/>
          <w:lang w:val="zh-CN"/>
        </w:rPr>
      </w:pPr>
    </w:p>
    <w:p>
      <w:pPr>
        <w:tabs>
          <w:tab w:val="left" w:pos="168"/>
        </w:tabs>
        <w:adjustRightInd w:val="0"/>
        <w:spacing w:line="360" w:lineRule="auto"/>
        <w:jc w:val="left"/>
        <w:textAlignment w:val="baseline"/>
        <w:rPr>
          <w:rFonts w:eastAsia="宋体"/>
          <w:bCs/>
          <w:color w:val="auto"/>
          <w:sz w:val="24"/>
          <w:szCs w:val="28"/>
        </w:rPr>
      </w:pPr>
    </w:p>
    <w:p>
      <w:pPr>
        <w:tabs>
          <w:tab w:val="left" w:pos="168"/>
        </w:tabs>
        <w:adjustRightInd w:val="0"/>
        <w:spacing w:line="360" w:lineRule="auto"/>
        <w:ind w:firstLine="4958" w:firstLineChars="2058"/>
        <w:jc w:val="left"/>
        <w:textAlignment w:val="baseline"/>
        <w:outlineLvl w:val="1"/>
        <w:rPr>
          <w:rFonts w:eastAsia="宋体"/>
          <w:b/>
          <w:color w:val="auto"/>
          <w:sz w:val="24"/>
          <w:szCs w:val="28"/>
        </w:rPr>
      </w:pPr>
      <w:bookmarkStart w:id="652" w:name="_Toc7659"/>
      <w:bookmarkStart w:id="653" w:name="_Toc19365"/>
      <w:bookmarkStart w:id="654" w:name="_Toc29567"/>
      <w:r>
        <w:rPr>
          <w:rFonts w:hint="eastAsia" w:eastAsia="宋体"/>
          <w:b/>
          <w:color w:val="auto"/>
          <w:sz w:val="24"/>
          <w:szCs w:val="28"/>
        </w:rPr>
        <w:t>供应商：                   （公章）</w:t>
      </w:r>
      <w:bookmarkEnd w:id="652"/>
      <w:bookmarkEnd w:id="653"/>
      <w:bookmarkEnd w:id="654"/>
    </w:p>
    <w:p>
      <w:pPr>
        <w:tabs>
          <w:tab w:val="left" w:pos="168"/>
        </w:tabs>
        <w:adjustRightInd w:val="0"/>
        <w:spacing w:line="360" w:lineRule="auto"/>
        <w:jc w:val="right"/>
        <w:textAlignment w:val="baseline"/>
        <w:outlineLvl w:val="1"/>
        <w:rPr>
          <w:rFonts w:eastAsia="宋体"/>
          <w:b/>
          <w:color w:val="auto"/>
          <w:sz w:val="24"/>
          <w:szCs w:val="28"/>
        </w:rPr>
      </w:pPr>
      <w:bookmarkStart w:id="655" w:name="_Toc18325"/>
      <w:bookmarkStart w:id="656" w:name="_Toc25662"/>
      <w:bookmarkStart w:id="657" w:name="_Toc16493"/>
      <w:r>
        <w:rPr>
          <w:rFonts w:hint="eastAsia" w:eastAsia="宋体"/>
          <w:b/>
          <w:color w:val="auto"/>
          <w:sz w:val="24"/>
          <w:szCs w:val="28"/>
        </w:rPr>
        <w:t>委托代理人或法定代表人：                 （签字或盖章）</w:t>
      </w:r>
      <w:bookmarkEnd w:id="655"/>
      <w:bookmarkEnd w:id="656"/>
      <w:bookmarkEnd w:id="657"/>
    </w:p>
    <w:p>
      <w:pPr>
        <w:tabs>
          <w:tab w:val="left" w:pos="168"/>
        </w:tabs>
        <w:adjustRightInd w:val="0"/>
        <w:spacing w:line="360" w:lineRule="auto"/>
        <w:ind w:firstLine="5195" w:firstLineChars="2156"/>
        <w:jc w:val="left"/>
        <w:textAlignment w:val="baseline"/>
        <w:outlineLvl w:val="1"/>
        <w:rPr>
          <w:rFonts w:eastAsia="宋体"/>
          <w:b/>
          <w:color w:val="auto"/>
          <w:sz w:val="24"/>
          <w:szCs w:val="28"/>
        </w:rPr>
      </w:pPr>
      <w:bookmarkStart w:id="658" w:name="_Toc8129"/>
      <w:bookmarkStart w:id="659" w:name="_Toc21364"/>
      <w:bookmarkStart w:id="660" w:name="_Toc8872"/>
      <w:r>
        <w:rPr>
          <w:rFonts w:hint="eastAsia" w:eastAsia="宋体"/>
          <w:b/>
          <w:color w:val="auto"/>
          <w:sz w:val="24"/>
          <w:szCs w:val="28"/>
        </w:rPr>
        <w:t>日期：          年   月   日</w:t>
      </w:r>
      <w:bookmarkEnd w:id="658"/>
      <w:bookmarkEnd w:id="659"/>
      <w:bookmarkEnd w:id="660"/>
    </w:p>
    <w:p>
      <w:pPr>
        <w:pStyle w:val="4"/>
        <w:numPr>
          <w:ilvl w:val="0"/>
          <w:numId w:val="0"/>
        </w:numPr>
        <w:spacing w:line="360" w:lineRule="auto"/>
        <w:ind w:left="709" w:hanging="709"/>
        <w:jc w:val="left"/>
        <w:rPr>
          <w:rFonts w:eastAsia="宋体" w:cs="宋体"/>
          <w:color w:val="auto"/>
          <w:lang w:val="zh-CN"/>
        </w:rPr>
      </w:pPr>
      <w:r>
        <w:rPr>
          <w:rFonts w:hint="eastAsia" w:eastAsia="宋体" w:cs="宋体"/>
          <w:bCs/>
          <w:color w:val="auto"/>
          <w:sz w:val="24"/>
          <w:szCs w:val="28"/>
        </w:rPr>
        <w:br w:type="page"/>
      </w:r>
      <w:bookmarkStart w:id="661" w:name="_Toc10252"/>
      <w:bookmarkStart w:id="662" w:name="_Toc8570"/>
      <w:bookmarkStart w:id="663" w:name="_Toc690"/>
      <w:bookmarkStart w:id="664" w:name="_Toc16850"/>
      <w:bookmarkStart w:id="665" w:name="_Toc26812"/>
      <w:bookmarkStart w:id="666" w:name="_Toc10118"/>
      <w:r>
        <w:rPr>
          <w:rFonts w:hint="eastAsia" w:eastAsia="宋体" w:cs="宋体"/>
          <w:b/>
          <w:color w:val="auto"/>
          <w:sz w:val="32"/>
          <w:lang w:val="zh-CN"/>
        </w:rPr>
        <w:t>格式1</w:t>
      </w:r>
      <w:r>
        <w:rPr>
          <w:rFonts w:hint="eastAsia" w:eastAsia="宋体" w:cs="宋体"/>
          <w:b/>
          <w:color w:val="auto"/>
          <w:sz w:val="32"/>
        </w:rPr>
        <w:t>4</w:t>
      </w:r>
      <w:r>
        <w:rPr>
          <w:rFonts w:hint="eastAsia" w:eastAsia="宋体" w:cs="宋体"/>
          <w:b/>
          <w:color w:val="auto"/>
          <w:sz w:val="32"/>
          <w:lang w:val="zh-CN"/>
        </w:rPr>
        <w:t>、分项报价表</w:t>
      </w:r>
      <w:bookmarkEnd w:id="661"/>
      <w:bookmarkEnd w:id="662"/>
      <w:bookmarkEnd w:id="663"/>
      <w:bookmarkEnd w:id="664"/>
      <w:bookmarkEnd w:id="665"/>
      <w:bookmarkEnd w:id="666"/>
    </w:p>
    <w:p>
      <w:pPr>
        <w:adjustRightInd w:val="0"/>
        <w:spacing w:line="360" w:lineRule="auto"/>
        <w:jc w:val="center"/>
        <w:textAlignment w:val="baseline"/>
        <w:rPr>
          <w:rFonts w:eastAsia="宋体"/>
          <w:b/>
          <w:color w:val="auto"/>
          <w:sz w:val="32"/>
          <w:szCs w:val="30"/>
        </w:rPr>
      </w:pPr>
      <w:bookmarkStart w:id="667" w:name="_Toc29721"/>
      <w:bookmarkStart w:id="668" w:name="_Toc21208"/>
      <w:bookmarkStart w:id="669" w:name="_Toc16065"/>
      <w:r>
        <w:rPr>
          <w:rFonts w:hint="eastAsia" w:eastAsia="宋体"/>
          <w:b/>
          <w:color w:val="auto"/>
          <w:sz w:val="32"/>
          <w:szCs w:val="30"/>
        </w:rPr>
        <w:t>分项报价表</w:t>
      </w:r>
      <w:bookmarkEnd w:id="667"/>
      <w:bookmarkEnd w:id="668"/>
      <w:bookmarkEnd w:id="669"/>
    </w:p>
    <w:p>
      <w:pPr>
        <w:autoSpaceDE w:val="0"/>
        <w:autoSpaceDN w:val="0"/>
        <w:spacing w:line="360" w:lineRule="auto"/>
        <w:jc w:val="left"/>
        <w:rPr>
          <w:b/>
          <w:bCs/>
          <w:color w:val="auto"/>
          <w:sz w:val="28"/>
          <w:szCs w:val="28"/>
          <w:lang w:val="zh-CN"/>
        </w:rPr>
      </w:pPr>
    </w:p>
    <w:p>
      <w:pPr>
        <w:autoSpaceDE w:val="0"/>
        <w:autoSpaceDN w:val="0"/>
        <w:spacing w:line="360" w:lineRule="auto"/>
        <w:jc w:val="left"/>
        <w:rPr>
          <w:color w:val="auto"/>
          <w:lang w:val="zh-CN"/>
        </w:rPr>
      </w:pPr>
      <w:r>
        <w:rPr>
          <w:rFonts w:hint="eastAsia"/>
          <w:b/>
          <w:bCs/>
          <w:color w:val="auto"/>
          <w:lang w:val="zh-CN"/>
        </w:rPr>
        <w:t>项目名称</w:t>
      </w:r>
      <w:r>
        <w:rPr>
          <w:rFonts w:hint="eastAsia"/>
          <w:b/>
          <w:bCs/>
          <w:color w:val="auto"/>
        </w:rPr>
        <w:t xml:space="preserve">：                                                  </w:t>
      </w:r>
    </w:p>
    <w:tbl>
      <w:tblPr>
        <w:tblStyle w:val="23"/>
        <w:tblW w:w="8117" w:type="dxa"/>
        <w:jc w:val="center"/>
        <w:tblLayout w:type="fixed"/>
        <w:tblCellMar>
          <w:top w:w="0" w:type="dxa"/>
          <w:left w:w="28" w:type="dxa"/>
          <w:bottom w:w="0" w:type="dxa"/>
          <w:right w:w="28" w:type="dxa"/>
        </w:tblCellMar>
      </w:tblPr>
      <w:tblGrid>
        <w:gridCol w:w="906"/>
        <w:gridCol w:w="2258"/>
        <w:gridCol w:w="1538"/>
        <w:gridCol w:w="1019"/>
        <w:gridCol w:w="1199"/>
        <w:gridCol w:w="1197"/>
      </w:tblGrid>
      <w:tr>
        <w:tblPrEx>
          <w:tblCellMar>
            <w:top w:w="0" w:type="dxa"/>
            <w:left w:w="28" w:type="dxa"/>
            <w:bottom w:w="0" w:type="dxa"/>
            <w:right w:w="28" w:type="dxa"/>
          </w:tblCellMar>
        </w:tblPrEx>
        <w:trPr>
          <w:trHeight w:val="514" w:hRule="atLeast"/>
          <w:jc w:val="center"/>
        </w:trPr>
        <w:tc>
          <w:tcPr>
            <w:tcW w:w="906" w:type="dxa"/>
            <w:tcBorders>
              <w:top w:val="single" w:color="000000" w:sz="8" w:space="0"/>
              <w:left w:val="single" w:color="000000" w:sz="8"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r>
              <w:rPr>
                <w:rFonts w:hint="eastAsia" w:eastAsia="宋体"/>
                <w:bCs/>
                <w:color w:val="auto"/>
                <w:sz w:val="24"/>
                <w:lang w:val="zh-CN"/>
              </w:rPr>
              <w:t>序号</w:t>
            </w:r>
          </w:p>
        </w:tc>
        <w:tc>
          <w:tcPr>
            <w:tcW w:w="2258" w:type="dxa"/>
            <w:tcBorders>
              <w:top w:val="single" w:color="000000" w:sz="8" w:space="0"/>
              <w:left w:val="single" w:color="000000" w:sz="6"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服务项目</w:t>
            </w:r>
          </w:p>
        </w:tc>
        <w:tc>
          <w:tcPr>
            <w:tcW w:w="1538" w:type="dxa"/>
            <w:tcBorders>
              <w:top w:val="single" w:color="000000" w:sz="8" w:space="0"/>
              <w:left w:val="single" w:color="000000" w:sz="6"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rPr>
            </w:pPr>
            <w:r>
              <w:rPr>
                <w:rFonts w:hint="eastAsia" w:eastAsia="宋体"/>
                <w:color w:val="auto"/>
                <w:sz w:val="24"/>
                <w:szCs w:val="24"/>
              </w:rPr>
              <w:t>服务内容</w:t>
            </w:r>
          </w:p>
        </w:tc>
        <w:tc>
          <w:tcPr>
            <w:tcW w:w="1019" w:type="dxa"/>
            <w:tcBorders>
              <w:top w:val="single" w:color="000000" w:sz="8" w:space="0"/>
              <w:left w:val="single" w:color="000000" w:sz="6"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单价</w:t>
            </w:r>
          </w:p>
        </w:tc>
        <w:tc>
          <w:tcPr>
            <w:tcW w:w="1199" w:type="dxa"/>
            <w:tcBorders>
              <w:top w:val="single" w:color="000000" w:sz="8" w:space="0"/>
              <w:left w:val="single" w:color="000000" w:sz="6"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合计</w:t>
            </w:r>
          </w:p>
        </w:tc>
        <w:tc>
          <w:tcPr>
            <w:tcW w:w="1197" w:type="dxa"/>
            <w:tcBorders>
              <w:top w:val="single" w:color="000000" w:sz="8" w:space="0"/>
              <w:left w:val="single" w:color="000000" w:sz="6" w:space="0"/>
              <w:bottom w:val="single" w:color="000000" w:sz="6" w:space="0"/>
              <w:right w:val="single" w:color="000000" w:sz="8" w:space="0"/>
            </w:tcBorders>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rPr>
              <w:t>备注</w:t>
            </w:r>
          </w:p>
        </w:tc>
      </w:tr>
      <w:tr>
        <w:tblPrEx>
          <w:tblCellMar>
            <w:top w:w="0" w:type="dxa"/>
            <w:left w:w="28" w:type="dxa"/>
            <w:bottom w:w="0" w:type="dxa"/>
            <w:right w:w="28" w:type="dxa"/>
          </w:tblCellMar>
        </w:tblPrEx>
        <w:trPr>
          <w:trHeight w:val="504" w:hRule="atLeast"/>
          <w:jc w:val="center"/>
        </w:trPr>
        <w:tc>
          <w:tcPr>
            <w:tcW w:w="906" w:type="dxa"/>
            <w:tcBorders>
              <w:top w:val="single" w:color="000000" w:sz="6" w:space="0"/>
              <w:left w:val="single" w:color="000000" w:sz="8"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1</w:t>
            </w:r>
          </w:p>
        </w:tc>
        <w:tc>
          <w:tcPr>
            <w:tcW w:w="2258" w:type="dxa"/>
            <w:tcBorders>
              <w:top w:val="single" w:color="000000" w:sz="6" w:space="0"/>
              <w:left w:val="single" w:color="000000" w:sz="6" w:space="0"/>
              <w:bottom w:val="single" w:color="000000" w:sz="6" w:space="0"/>
              <w:right w:val="single" w:color="000000" w:sz="6" w:space="0"/>
            </w:tcBorders>
            <w:noWrap/>
            <w:vAlign w:val="center"/>
          </w:tcPr>
          <w:p>
            <w:pPr>
              <w:widowControl/>
              <w:jc w:val="left"/>
              <w:rPr>
                <w:rFonts w:eastAsia="宋体"/>
                <w:color w:val="auto"/>
                <w:sz w:val="24"/>
                <w:szCs w:val="24"/>
              </w:rPr>
            </w:pPr>
          </w:p>
        </w:tc>
        <w:tc>
          <w:tcPr>
            <w:tcW w:w="1538"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p>
        </w:tc>
        <w:tc>
          <w:tcPr>
            <w:tcW w:w="1019"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p>
        </w:tc>
        <w:tc>
          <w:tcPr>
            <w:tcW w:w="1199"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p>
        </w:tc>
        <w:tc>
          <w:tcPr>
            <w:tcW w:w="1197" w:type="dxa"/>
            <w:tcBorders>
              <w:top w:val="single" w:color="000000" w:sz="6" w:space="0"/>
              <w:left w:val="single" w:color="000000" w:sz="6" w:space="0"/>
              <w:bottom w:val="single" w:color="000000" w:sz="6" w:space="0"/>
              <w:right w:val="single" w:color="000000" w:sz="8" w:space="0"/>
            </w:tcBorders>
            <w:noWrap/>
            <w:vAlign w:val="center"/>
          </w:tcPr>
          <w:p>
            <w:pPr>
              <w:autoSpaceDE w:val="0"/>
              <w:autoSpaceDN w:val="0"/>
              <w:spacing w:line="360" w:lineRule="auto"/>
              <w:jc w:val="left"/>
              <w:rPr>
                <w:rFonts w:eastAsia="宋体"/>
                <w:color w:val="auto"/>
                <w:sz w:val="24"/>
                <w:szCs w:val="24"/>
                <w:lang w:val="zh-CN"/>
              </w:rPr>
            </w:pPr>
          </w:p>
        </w:tc>
      </w:tr>
      <w:tr>
        <w:tblPrEx>
          <w:tblCellMar>
            <w:top w:w="0" w:type="dxa"/>
            <w:left w:w="28" w:type="dxa"/>
            <w:bottom w:w="0" w:type="dxa"/>
            <w:right w:w="28" w:type="dxa"/>
          </w:tblCellMar>
        </w:tblPrEx>
        <w:trPr>
          <w:trHeight w:val="504" w:hRule="atLeast"/>
          <w:jc w:val="center"/>
        </w:trPr>
        <w:tc>
          <w:tcPr>
            <w:tcW w:w="906" w:type="dxa"/>
            <w:tcBorders>
              <w:top w:val="single" w:color="000000" w:sz="6" w:space="0"/>
              <w:left w:val="single" w:color="000000" w:sz="8"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2</w:t>
            </w:r>
          </w:p>
        </w:tc>
        <w:tc>
          <w:tcPr>
            <w:tcW w:w="2258" w:type="dxa"/>
            <w:tcBorders>
              <w:top w:val="single" w:color="000000" w:sz="6" w:space="0"/>
              <w:left w:val="single" w:color="000000" w:sz="6" w:space="0"/>
              <w:bottom w:val="single" w:color="000000" w:sz="6" w:space="0"/>
              <w:right w:val="single" w:color="000000" w:sz="6" w:space="0"/>
            </w:tcBorders>
            <w:noWrap/>
            <w:vAlign w:val="center"/>
          </w:tcPr>
          <w:p>
            <w:pPr>
              <w:widowControl/>
              <w:jc w:val="left"/>
              <w:rPr>
                <w:rFonts w:eastAsia="宋体"/>
                <w:color w:val="auto"/>
                <w:sz w:val="24"/>
                <w:szCs w:val="24"/>
              </w:rPr>
            </w:pPr>
          </w:p>
        </w:tc>
        <w:tc>
          <w:tcPr>
            <w:tcW w:w="1538"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p>
        </w:tc>
        <w:tc>
          <w:tcPr>
            <w:tcW w:w="1019"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p>
        </w:tc>
        <w:tc>
          <w:tcPr>
            <w:tcW w:w="1199"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p>
        </w:tc>
        <w:tc>
          <w:tcPr>
            <w:tcW w:w="1197" w:type="dxa"/>
            <w:tcBorders>
              <w:top w:val="single" w:color="000000" w:sz="6" w:space="0"/>
              <w:left w:val="single" w:color="000000" w:sz="6" w:space="0"/>
              <w:bottom w:val="single" w:color="000000" w:sz="6" w:space="0"/>
              <w:right w:val="single" w:color="000000" w:sz="8" w:space="0"/>
            </w:tcBorders>
            <w:noWrap/>
            <w:vAlign w:val="center"/>
          </w:tcPr>
          <w:p>
            <w:pPr>
              <w:autoSpaceDE w:val="0"/>
              <w:autoSpaceDN w:val="0"/>
              <w:spacing w:line="360" w:lineRule="auto"/>
              <w:jc w:val="left"/>
              <w:rPr>
                <w:rFonts w:eastAsia="宋体"/>
                <w:color w:val="auto"/>
                <w:sz w:val="24"/>
                <w:szCs w:val="24"/>
                <w:lang w:val="zh-CN"/>
              </w:rPr>
            </w:pPr>
          </w:p>
        </w:tc>
      </w:tr>
      <w:tr>
        <w:tblPrEx>
          <w:tblCellMar>
            <w:top w:w="0" w:type="dxa"/>
            <w:left w:w="28" w:type="dxa"/>
            <w:bottom w:w="0" w:type="dxa"/>
            <w:right w:w="28" w:type="dxa"/>
          </w:tblCellMar>
        </w:tblPrEx>
        <w:trPr>
          <w:trHeight w:val="504" w:hRule="atLeast"/>
          <w:jc w:val="center"/>
        </w:trPr>
        <w:tc>
          <w:tcPr>
            <w:tcW w:w="906" w:type="dxa"/>
            <w:tcBorders>
              <w:top w:val="single" w:color="000000" w:sz="6" w:space="0"/>
              <w:left w:val="single" w:color="000000" w:sz="8"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3</w:t>
            </w:r>
          </w:p>
        </w:tc>
        <w:tc>
          <w:tcPr>
            <w:tcW w:w="2258" w:type="dxa"/>
            <w:tcBorders>
              <w:top w:val="single" w:color="000000" w:sz="6" w:space="0"/>
              <w:left w:val="single" w:color="000000" w:sz="6" w:space="0"/>
              <w:bottom w:val="single" w:color="000000" w:sz="6" w:space="0"/>
              <w:right w:val="single" w:color="000000" w:sz="6" w:space="0"/>
            </w:tcBorders>
            <w:noWrap/>
            <w:vAlign w:val="center"/>
          </w:tcPr>
          <w:p>
            <w:pPr>
              <w:widowControl/>
              <w:jc w:val="left"/>
              <w:rPr>
                <w:rFonts w:eastAsia="宋体"/>
                <w:color w:val="auto"/>
                <w:sz w:val="24"/>
                <w:szCs w:val="24"/>
              </w:rPr>
            </w:pPr>
          </w:p>
        </w:tc>
        <w:tc>
          <w:tcPr>
            <w:tcW w:w="1538"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p>
        </w:tc>
        <w:tc>
          <w:tcPr>
            <w:tcW w:w="1019"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p>
        </w:tc>
        <w:tc>
          <w:tcPr>
            <w:tcW w:w="1199"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p>
        </w:tc>
        <w:tc>
          <w:tcPr>
            <w:tcW w:w="1197" w:type="dxa"/>
            <w:tcBorders>
              <w:top w:val="single" w:color="000000" w:sz="6" w:space="0"/>
              <w:left w:val="single" w:color="000000" w:sz="6" w:space="0"/>
              <w:bottom w:val="single" w:color="000000" w:sz="6" w:space="0"/>
              <w:right w:val="single" w:color="000000" w:sz="8" w:space="0"/>
            </w:tcBorders>
            <w:noWrap/>
            <w:vAlign w:val="center"/>
          </w:tcPr>
          <w:p>
            <w:pPr>
              <w:autoSpaceDE w:val="0"/>
              <w:autoSpaceDN w:val="0"/>
              <w:spacing w:line="360" w:lineRule="auto"/>
              <w:jc w:val="left"/>
              <w:rPr>
                <w:rFonts w:eastAsia="宋体"/>
                <w:color w:val="auto"/>
                <w:sz w:val="24"/>
                <w:szCs w:val="24"/>
                <w:lang w:val="zh-CN"/>
              </w:rPr>
            </w:pPr>
          </w:p>
        </w:tc>
      </w:tr>
      <w:tr>
        <w:tblPrEx>
          <w:tblCellMar>
            <w:top w:w="0" w:type="dxa"/>
            <w:left w:w="28" w:type="dxa"/>
            <w:bottom w:w="0" w:type="dxa"/>
            <w:right w:w="28" w:type="dxa"/>
          </w:tblCellMar>
        </w:tblPrEx>
        <w:trPr>
          <w:trHeight w:val="504" w:hRule="atLeast"/>
          <w:jc w:val="center"/>
        </w:trPr>
        <w:tc>
          <w:tcPr>
            <w:tcW w:w="906" w:type="dxa"/>
            <w:tcBorders>
              <w:top w:val="single" w:color="000000" w:sz="6" w:space="0"/>
              <w:left w:val="single" w:color="000000" w:sz="8"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4</w:t>
            </w:r>
          </w:p>
        </w:tc>
        <w:tc>
          <w:tcPr>
            <w:tcW w:w="2258" w:type="dxa"/>
            <w:tcBorders>
              <w:top w:val="single" w:color="000000" w:sz="6" w:space="0"/>
              <w:left w:val="single" w:color="000000" w:sz="6" w:space="0"/>
              <w:bottom w:val="single" w:color="000000" w:sz="6" w:space="0"/>
              <w:right w:val="single" w:color="000000" w:sz="6" w:space="0"/>
            </w:tcBorders>
            <w:noWrap/>
            <w:vAlign w:val="center"/>
          </w:tcPr>
          <w:p>
            <w:pPr>
              <w:widowControl/>
              <w:jc w:val="left"/>
              <w:rPr>
                <w:rFonts w:eastAsia="宋体"/>
                <w:color w:val="auto"/>
                <w:sz w:val="24"/>
                <w:szCs w:val="24"/>
              </w:rPr>
            </w:pPr>
          </w:p>
        </w:tc>
        <w:tc>
          <w:tcPr>
            <w:tcW w:w="1538"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p>
        </w:tc>
        <w:tc>
          <w:tcPr>
            <w:tcW w:w="1019"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p>
        </w:tc>
        <w:tc>
          <w:tcPr>
            <w:tcW w:w="1199"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p>
        </w:tc>
        <w:tc>
          <w:tcPr>
            <w:tcW w:w="1197" w:type="dxa"/>
            <w:tcBorders>
              <w:top w:val="single" w:color="000000" w:sz="6" w:space="0"/>
              <w:left w:val="single" w:color="000000" w:sz="6" w:space="0"/>
              <w:bottom w:val="single" w:color="000000" w:sz="6" w:space="0"/>
              <w:right w:val="single" w:color="000000" w:sz="8" w:space="0"/>
            </w:tcBorders>
            <w:noWrap/>
            <w:vAlign w:val="center"/>
          </w:tcPr>
          <w:p>
            <w:pPr>
              <w:autoSpaceDE w:val="0"/>
              <w:autoSpaceDN w:val="0"/>
              <w:spacing w:line="360" w:lineRule="auto"/>
              <w:jc w:val="left"/>
              <w:rPr>
                <w:rFonts w:eastAsia="宋体"/>
                <w:color w:val="auto"/>
                <w:sz w:val="24"/>
                <w:szCs w:val="24"/>
                <w:lang w:val="zh-CN"/>
              </w:rPr>
            </w:pPr>
          </w:p>
        </w:tc>
      </w:tr>
      <w:tr>
        <w:tblPrEx>
          <w:tblCellMar>
            <w:top w:w="0" w:type="dxa"/>
            <w:left w:w="28" w:type="dxa"/>
            <w:bottom w:w="0" w:type="dxa"/>
            <w:right w:w="28" w:type="dxa"/>
          </w:tblCellMar>
        </w:tblPrEx>
        <w:trPr>
          <w:trHeight w:val="504" w:hRule="atLeast"/>
          <w:jc w:val="center"/>
        </w:trPr>
        <w:tc>
          <w:tcPr>
            <w:tcW w:w="906" w:type="dxa"/>
            <w:tcBorders>
              <w:top w:val="single" w:color="000000" w:sz="6" w:space="0"/>
              <w:left w:val="single" w:color="000000" w:sz="8"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5</w:t>
            </w:r>
          </w:p>
        </w:tc>
        <w:tc>
          <w:tcPr>
            <w:tcW w:w="2258" w:type="dxa"/>
            <w:tcBorders>
              <w:top w:val="single" w:color="000000" w:sz="6" w:space="0"/>
              <w:left w:val="single" w:color="000000" w:sz="6" w:space="0"/>
              <w:bottom w:val="single" w:color="000000" w:sz="6" w:space="0"/>
              <w:right w:val="single" w:color="000000" w:sz="6" w:space="0"/>
            </w:tcBorders>
            <w:noWrap/>
            <w:vAlign w:val="center"/>
          </w:tcPr>
          <w:p>
            <w:pPr>
              <w:widowControl/>
              <w:jc w:val="left"/>
              <w:rPr>
                <w:rFonts w:eastAsia="宋体"/>
                <w:color w:val="auto"/>
                <w:sz w:val="24"/>
                <w:szCs w:val="24"/>
              </w:rPr>
            </w:pPr>
          </w:p>
        </w:tc>
        <w:tc>
          <w:tcPr>
            <w:tcW w:w="1538"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p>
        </w:tc>
        <w:tc>
          <w:tcPr>
            <w:tcW w:w="1019"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p>
        </w:tc>
        <w:tc>
          <w:tcPr>
            <w:tcW w:w="1199"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p>
        </w:tc>
        <w:tc>
          <w:tcPr>
            <w:tcW w:w="1197" w:type="dxa"/>
            <w:tcBorders>
              <w:top w:val="single" w:color="000000" w:sz="6" w:space="0"/>
              <w:left w:val="single" w:color="000000" w:sz="6" w:space="0"/>
              <w:bottom w:val="single" w:color="000000" w:sz="6" w:space="0"/>
              <w:right w:val="single" w:color="000000" w:sz="8" w:space="0"/>
            </w:tcBorders>
            <w:noWrap/>
            <w:vAlign w:val="center"/>
          </w:tcPr>
          <w:p>
            <w:pPr>
              <w:autoSpaceDE w:val="0"/>
              <w:autoSpaceDN w:val="0"/>
              <w:spacing w:line="360" w:lineRule="auto"/>
              <w:jc w:val="left"/>
              <w:rPr>
                <w:rFonts w:eastAsia="宋体"/>
                <w:color w:val="auto"/>
                <w:sz w:val="24"/>
                <w:szCs w:val="24"/>
                <w:lang w:val="zh-CN"/>
              </w:rPr>
            </w:pPr>
          </w:p>
        </w:tc>
      </w:tr>
      <w:tr>
        <w:tblPrEx>
          <w:tblCellMar>
            <w:top w:w="0" w:type="dxa"/>
            <w:left w:w="28" w:type="dxa"/>
            <w:bottom w:w="0" w:type="dxa"/>
            <w:right w:w="28" w:type="dxa"/>
          </w:tblCellMar>
        </w:tblPrEx>
        <w:trPr>
          <w:trHeight w:val="504" w:hRule="atLeast"/>
          <w:jc w:val="center"/>
        </w:trPr>
        <w:tc>
          <w:tcPr>
            <w:tcW w:w="906" w:type="dxa"/>
            <w:tcBorders>
              <w:top w:val="single" w:color="000000" w:sz="6" w:space="0"/>
              <w:left w:val="single" w:color="000000" w:sz="8"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w:t>
            </w:r>
          </w:p>
        </w:tc>
        <w:tc>
          <w:tcPr>
            <w:tcW w:w="2258" w:type="dxa"/>
            <w:tcBorders>
              <w:top w:val="single" w:color="000000" w:sz="6" w:space="0"/>
              <w:left w:val="single" w:color="000000" w:sz="6" w:space="0"/>
              <w:bottom w:val="single" w:color="000000" w:sz="6" w:space="0"/>
              <w:right w:val="single" w:color="000000" w:sz="6" w:space="0"/>
            </w:tcBorders>
            <w:noWrap/>
            <w:vAlign w:val="center"/>
          </w:tcPr>
          <w:p>
            <w:pPr>
              <w:widowControl/>
              <w:jc w:val="left"/>
              <w:rPr>
                <w:rFonts w:eastAsia="宋体"/>
                <w:color w:val="auto"/>
                <w:sz w:val="24"/>
                <w:szCs w:val="24"/>
              </w:rPr>
            </w:pPr>
          </w:p>
        </w:tc>
        <w:tc>
          <w:tcPr>
            <w:tcW w:w="1538"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p>
        </w:tc>
        <w:tc>
          <w:tcPr>
            <w:tcW w:w="1019"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p>
        </w:tc>
        <w:tc>
          <w:tcPr>
            <w:tcW w:w="1199" w:type="dxa"/>
            <w:tcBorders>
              <w:top w:val="single" w:color="000000" w:sz="6" w:space="0"/>
              <w:left w:val="single" w:color="000000" w:sz="6" w:space="0"/>
              <w:bottom w:val="single" w:color="000000" w:sz="6" w:space="0"/>
              <w:right w:val="single" w:color="000000" w:sz="6" w:space="0"/>
            </w:tcBorders>
            <w:noWrap/>
            <w:vAlign w:val="center"/>
          </w:tcPr>
          <w:p>
            <w:pPr>
              <w:autoSpaceDE w:val="0"/>
              <w:autoSpaceDN w:val="0"/>
              <w:spacing w:line="360" w:lineRule="auto"/>
              <w:jc w:val="left"/>
              <w:rPr>
                <w:rFonts w:eastAsia="宋体"/>
                <w:color w:val="auto"/>
                <w:sz w:val="24"/>
                <w:szCs w:val="24"/>
                <w:lang w:val="zh-CN"/>
              </w:rPr>
            </w:pPr>
          </w:p>
        </w:tc>
        <w:tc>
          <w:tcPr>
            <w:tcW w:w="1197" w:type="dxa"/>
            <w:tcBorders>
              <w:top w:val="single" w:color="000000" w:sz="6" w:space="0"/>
              <w:left w:val="single" w:color="000000" w:sz="6" w:space="0"/>
              <w:bottom w:val="single" w:color="000000" w:sz="6" w:space="0"/>
              <w:right w:val="single" w:color="000000" w:sz="8" w:space="0"/>
            </w:tcBorders>
            <w:noWrap/>
            <w:vAlign w:val="center"/>
          </w:tcPr>
          <w:p>
            <w:pPr>
              <w:autoSpaceDE w:val="0"/>
              <w:autoSpaceDN w:val="0"/>
              <w:spacing w:line="360" w:lineRule="auto"/>
              <w:jc w:val="left"/>
              <w:rPr>
                <w:rFonts w:eastAsia="宋体"/>
                <w:color w:val="auto"/>
                <w:sz w:val="24"/>
                <w:szCs w:val="24"/>
                <w:lang w:val="zh-CN"/>
              </w:rPr>
            </w:pPr>
          </w:p>
        </w:tc>
      </w:tr>
      <w:tr>
        <w:tblPrEx>
          <w:tblCellMar>
            <w:top w:w="0" w:type="dxa"/>
            <w:left w:w="28" w:type="dxa"/>
            <w:bottom w:w="0" w:type="dxa"/>
            <w:right w:w="28" w:type="dxa"/>
          </w:tblCellMar>
        </w:tblPrEx>
        <w:trPr>
          <w:trHeight w:val="504" w:hRule="atLeast"/>
          <w:jc w:val="center"/>
        </w:trPr>
        <w:tc>
          <w:tcPr>
            <w:tcW w:w="3164" w:type="dxa"/>
            <w:gridSpan w:val="2"/>
            <w:tcBorders>
              <w:top w:val="single" w:color="000000" w:sz="6" w:space="0"/>
              <w:left w:val="single" w:color="000000" w:sz="8" w:space="0"/>
              <w:bottom w:val="single" w:color="000000" w:sz="6" w:space="0"/>
              <w:right w:val="single" w:color="000000" w:sz="6" w:space="0"/>
            </w:tcBorders>
            <w:noWrap/>
            <w:vAlign w:val="center"/>
          </w:tcPr>
          <w:p>
            <w:pPr>
              <w:autoSpaceDE w:val="0"/>
              <w:autoSpaceDN w:val="0"/>
              <w:spacing w:line="360" w:lineRule="auto"/>
              <w:jc w:val="left"/>
              <w:rPr>
                <w:color w:val="auto"/>
                <w:lang w:val="zh-CN"/>
              </w:rPr>
            </w:pPr>
            <w:r>
              <w:rPr>
                <w:rFonts w:hint="eastAsia"/>
                <w:color w:val="auto"/>
                <w:lang w:val="zh-CN"/>
              </w:rPr>
              <w:t>磋商总价</w:t>
            </w:r>
          </w:p>
        </w:tc>
        <w:tc>
          <w:tcPr>
            <w:tcW w:w="4953" w:type="dxa"/>
            <w:gridSpan w:val="4"/>
            <w:tcBorders>
              <w:top w:val="single" w:color="000000" w:sz="6" w:space="0"/>
              <w:left w:val="single" w:color="000000" w:sz="6" w:space="0"/>
              <w:bottom w:val="single" w:color="000000" w:sz="6" w:space="0"/>
              <w:right w:val="single" w:color="000000" w:sz="8" w:space="0"/>
            </w:tcBorders>
            <w:noWrap/>
            <w:vAlign w:val="center"/>
          </w:tcPr>
          <w:p>
            <w:pPr>
              <w:widowControl/>
              <w:jc w:val="left"/>
              <w:rPr>
                <w:rFonts w:eastAsia="宋体"/>
                <w:color w:val="auto"/>
                <w:sz w:val="24"/>
                <w:szCs w:val="24"/>
              </w:rPr>
            </w:pPr>
          </w:p>
        </w:tc>
      </w:tr>
      <w:tr>
        <w:tblPrEx>
          <w:tblCellMar>
            <w:top w:w="0" w:type="dxa"/>
            <w:left w:w="28" w:type="dxa"/>
            <w:bottom w:w="0" w:type="dxa"/>
            <w:right w:w="28" w:type="dxa"/>
          </w:tblCellMar>
        </w:tblPrEx>
        <w:trPr>
          <w:trHeight w:val="534" w:hRule="atLeast"/>
          <w:jc w:val="center"/>
        </w:trPr>
        <w:tc>
          <w:tcPr>
            <w:tcW w:w="3164" w:type="dxa"/>
            <w:gridSpan w:val="2"/>
            <w:tcBorders>
              <w:top w:val="single" w:color="000000" w:sz="6" w:space="0"/>
              <w:left w:val="single" w:color="000000" w:sz="8" w:space="0"/>
              <w:bottom w:val="single" w:color="000000" w:sz="6" w:space="0"/>
              <w:right w:val="single" w:color="000000" w:sz="6" w:space="0"/>
            </w:tcBorders>
            <w:noWrap/>
            <w:vAlign w:val="center"/>
          </w:tcPr>
          <w:p>
            <w:pPr>
              <w:autoSpaceDE w:val="0"/>
              <w:autoSpaceDN w:val="0"/>
              <w:spacing w:line="360" w:lineRule="auto"/>
              <w:jc w:val="left"/>
              <w:rPr>
                <w:color w:val="auto"/>
                <w:lang w:val="zh-CN"/>
              </w:rPr>
            </w:pPr>
            <w:r>
              <w:rPr>
                <w:rFonts w:hint="eastAsia"/>
                <w:color w:val="auto"/>
                <w:lang w:val="zh-CN"/>
              </w:rPr>
              <w:t>优惠承诺及其他</w:t>
            </w:r>
          </w:p>
        </w:tc>
        <w:tc>
          <w:tcPr>
            <w:tcW w:w="4953" w:type="dxa"/>
            <w:gridSpan w:val="4"/>
            <w:tcBorders>
              <w:top w:val="single" w:color="000000" w:sz="6" w:space="0"/>
              <w:left w:val="single" w:color="000000" w:sz="6" w:space="0"/>
              <w:bottom w:val="single" w:color="000000" w:sz="6" w:space="0"/>
              <w:right w:val="single" w:color="000000" w:sz="8" w:space="0"/>
            </w:tcBorders>
            <w:noWrap/>
            <w:vAlign w:val="center"/>
          </w:tcPr>
          <w:p>
            <w:pPr>
              <w:autoSpaceDE w:val="0"/>
              <w:autoSpaceDN w:val="0"/>
              <w:spacing w:line="360" w:lineRule="auto"/>
              <w:jc w:val="left"/>
              <w:rPr>
                <w:color w:val="auto"/>
                <w:lang w:val="zh-CN"/>
              </w:rPr>
            </w:pPr>
          </w:p>
        </w:tc>
      </w:tr>
    </w:tbl>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注：1.本表应依照采购需求中的服务项目序号按顺序逐项填写，不得遗漏，否则，按无效投标处理。</w:t>
      </w:r>
    </w:p>
    <w:p>
      <w:pPr>
        <w:autoSpaceDE w:val="0"/>
        <w:autoSpaceDN w:val="0"/>
        <w:spacing w:line="360" w:lineRule="auto"/>
        <w:jc w:val="left"/>
        <w:rPr>
          <w:rFonts w:eastAsia="宋体"/>
          <w:color w:val="auto"/>
          <w:sz w:val="24"/>
          <w:szCs w:val="24"/>
          <w:lang w:val="zh-CN"/>
        </w:rPr>
      </w:pPr>
      <w:r>
        <w:rPr>
          <w:rFonts w:hint="eastAsia" w:eastAsia="宋体"/>
          <w:color w:val="auto"/>
          <w:sz w:val="24"/>
          <w:szCs w:val="24"/>
          <w:lang w:val="zh-CN"/>
        </w:rPr>
        <w:t>2.磋商报价不能有两个或两个以上的报价方案。</w:t>
      </w:r>
    </w:p>
    <w:p>
      <w:pPr>
        <w:autoSpaceDE w:val="0"/>
        <w:autoSpaceDN w:val="0"/>
        <w:spacing w:line="360" w:lineRule="auto"/>
        <w:jc w:val="left"/>
        <w:rPr>
          <w:rFonts w:eastAsia="宋体"/>
          <w:color w:val="auto"/>
          <w:sz w:val="24"/>
          <w:szCs w:val="24"/>
          <w:lang w:val="zh-CN"/>
        </w:rPr>
      </w:pPr>
    </w:p>
    <w:p>
      <w:pPr>
        <w:autoSpaceDE w:val="0"/>
        <w:autoSpaceDN w:val="0"/>
        <w:spacing w:line="360" w:lineRule="auto"/>
        <w:jc w:val="left"/>
        <w:rPr>
          <w:rFonts w:eastAsia="宋体"/>
          <w:color w:val="auto"/>
          <w:sz w:val="24"/>
          <w:szCs w:val="24"/>
          <w:lang w:val="zh-CN"/>
        </w:rPr>
      </w:pPr>
    </w:p>
    <w:p>
      <w:pPr>
        <w:autoSpaceDE w:val="0"/>
        <w:autoSpaceDN w:val="0"/>
        <w:spacing w:line="360" w:lineRule="auto"/>
        <w:ind w:firstLine="6021" w:firstLineChars="2499"/>
        <w:jc w:val="left"/>
        <w:rPr>
          <w:rFonts w:eastAsia="宋体"/>
          <w:b/>
          <w:bCs/>
          <w:color w:val="auto"/>
          <w:sz w:val="24"/>
          <w:szCs w:val="24"/>
          <w:lang w:val="zh-CN"/>
        </w:rPr>
      </w:pPr>
      <w:r>
        <w:rPr>
          <w:rFonts w:hint="eastAsia" w:eastAsia="宋体"/>
          <w:b/>
          <w:bCs/>
          <w:color w:val="auto"/>
          <w:sz w:val="24"/>
          <w:szCs w:val="24"/>
          <w:lang w:val="zh-CN"/>
        </w:rPr>
        <w:t>供应商：             （公章）</w:t>
      </w:r>
    </w:p>
    <w:p>
      <w:pPr>
        <w:autoSpaceDE w:val="0"/>
        <w:autoSpaceDN w:val="0"/>
        <w:spacing w:line="360" w:lineRule="auto"/>
        <w:jc w:val="right"/>
        <w:rPr>
          <w:rFonts w:eastAsia="宋体"/>
          <w:b/>
          <w:bCs/>
          <w:color w:val="auto"/>
          <w:sz w:val="24"/>
          <w:szCs w:val="24"/>
          <w:lang w:val="zh-CN"/>
        </w:rPr>
      </w:pPr>
      <w:r>
        <w:rPr>
          <w:rFonts w:hint="eastAsia" w:eastAsia="宋体"/>
          <w:b/>
          <w:bCs/>
          <w:color w:val="auto"/>
          <w:sz w:val="24"/>
          <w:szCs w:val="24"/>
          <w:lang w:val="zh-CN"/>
        </w:rPr>
        <w:t>法定代表人或委托代理人：        （签字或盖章）</w:t>
      </w:r>
    </w:p>
    <w:p>
      <w:pPr>
        <w:tabs>
          <w:tab w:val="left" w:pos="168"/>
        </w:tabs>
        <w:adjustRightInd w:val="0"/>
        <w:spacing w:line="360" w:lineRule="auto"/>
        <w:ind w:firstLine="6257" w:firstLineChars="2597"/>
        <w:jc w:val="left"/>
        <w:textAlignment w:val="baseline"/>
        <w:outlineLvl w:val="1"/>
        <w:rPr>
          <w:rFonts w:eastAsia="宋体"/>
          <w:b/>
          <w:color w:val="auto"/>
          <w:sz w:val="24"/>
          <w:szCs w:val="28"/>
        </w:rPr>
      </w:pPr>
      <w:r>
        <w:rPr>
          <w:rFonts w:hint="eastAsia" w:eastAsia="宋体"/>
          <w:b/>
          <w:color w:val="auto"/>
          <w:sz w:val="24"/>
          <w:szCs w:val="28"/>
        </w:rPr>
        <w:t>日期：          年   月   日</w:t>
      </w:r>
    </w:p>
    <w:p>
      <w:pPr>
        <w:jc w:val="left"/>
        <w:rPr>
          <w:rFonts w:eastAsia="宋体"/>
          <w:b/>
          <w:bCs/>
          <w:color w:val="auto"/>
          <w:sz w:val="24"/>
          <w:szCs w:val="24"/>
          <w:lang w:val="zh-CN"/>
        </w:rPr>
      </w:pPr>
    </w:p>
    <w:p>
      <w:pPr>
        <w:tabs>
          <w:tab w:val="left" w:pos="168"/>
        </w:tabs>
        <w:adjustRightInd w:val="0"/>
        <w:spacing w:line="360" w:lineRule="auto"/>
        <w:jc w:val="left"/>
        <w:textAlignment w:val="baseline"/>
        <w:rPr>
          <w:rFonts w:eastAsia="宋体"/>
          <w:b/>
          <w:color w:val="auto"/>
          <w:sz w:val="24"/>
          <w:szCs w:val="28"/>
        </w:rPr>
      </w:pPr>
    </w:p>
    <w:p>
      <w:pPr>
        <w:pStyle w:val="19"/>
        <w:spacing w:line="360" w:lineRule="auto"/>
        <w:rPr>
          <w:rFonts w:ascii="宋体" w:hAnsi="宋体" w:eastAsia="宋体" w:cs="宋体"/>
          <w:color w:val="auto"/>
        </w:rPr>
      </w:pPr>
    </w:p>
    <w:p>
      <w:pPr>
        <w:pStyle w:val="19"/>
        <w:spacing w:line="360" w:lineRule="auto"/>
        <w:rPr>
          <w:rFonts w:ascii="宋体" w:hAnsi="宋体" w:eastAsia="宋体" w:cs="宋体"/>
          <w:color w:val="auto"/>
        </w:rPr>
      </w:pPr>
    </w:p>
    <w:p>
      <w:pPr>
        <w:pStyle w:val="19"/>
        <w:spacing w:line="360" w:lineRule="auto"/>
        <w:rPr>
          <w:rFonts w:ascii="宋体" w:hAnsi="宋体" w:eastAsia="宋体" w:cs="宋体"/>
          <w:color w:val="auto"/>
        </w:rPr>
      </w:pPr>
    </w:p>
    <w:p>
      <w:pPr>
        <w:rPr>
          <w:rFonts w:eastAsia="宋体"/>
          <w:b/>
          <w:color w:val="auto"/>
          <w:sz w:val="32"/>
          <w:szCs w:val="30"/>
          <w:lang w:val="zh-CN"/>
        </w:rPr>
      </w:pPr>
      <w:r>
        <w:rPr>
          <w:rFonts w:hint="eastAsia" w:eastAsia="宋体"/>
          <w:color w:val="auto"/>
        </w:rPr>
        <w:br w:type="page"/>
      </w:r>
      <w:bookmarkStart w:id="670" w:name="_Toc1944"/>
      <w:bookmarkStart w:id="671" w:name="_Toc25742"/>
      <w:bookmarkStart w:id="672" w:name="_Toc20510"/>
      <w:bookmarkStart w:id="673" w:name="_Toc444715742"/>
      <w:r>
        <w:rPr>
          <w:rFonts w:hint="eastAsia" w:eastAsia="宋体"/>
          <w:color w:val="auto"/>
        </w:rPr>
        <w:t xml:space="preserve">                               </w:t>
      </w:r>
      <w:r>
        <w:rPr>
          <w:rFonts w:hint="eastAsia" w:eastAsia="宋体"/>
          <w:b/>
          <w:color w:val="auto"/>
          <w:sz w:val="32"/>
          <w:szCs w:val="30"/>
          <w:lang w:val="zh-CN"/>
        </w:rPr>
        <w:t>技术规格响应表</w:t>
      </w:r>
      <w:bookmarkEnd w:id="670"/>
    </w:p>
    <w:bookmarkEnd w:id="671"/>
    <w:bookmarkEnd w:id="672"/>
    <w:bookmarkEnd w:id="673"/>
    <w:p>
      <w:pPr>
        <w:autoSpaceDE w:val="0"/>
        <w:autoSpaceDN w:val="0"/>
        <w:spacing w:line="360" w:lineRule="auto"/>
        <w:rPr>
          <w:rFonts w:eastAsia="宋体"/>
          <w:sz w:val="30"/>
          <w:szCs w:val="30"/>
          <w:lang w:val="zh-CN"/>
        </w:rPr>
      </w:pPr>
    </w:p>
    <w:p>
      <w:pPr>
        <w:autoSpaceDE w:val="0"/>
        <w:autoSpaceDN w:val="0"/>
        <w:spacing w:line="360" w:lineRule="auto"/>
        <w:rPr>
          <w:rFonts w:eastAsia="宋体"/>
          <w:b/>
          <w:bCs/>
          <w:sz w:val="24"/>
          <w:szCs w:val="24"/>
        </w:rPr>
      </w:pPr>
      <w:r>
        <w:rPr>
          <w:rFonts w:hint="eastAsia" w:eastAsia="宋体"/>
          <w:b/>
          <w:bCs/>
          <w:sz w:val="24"/>
          <w:szCs w:val="24"/>
          <w:lang w:val="zh-CN"/>
        </w:rPr>
        <w:t>供应商名称</w:t>
      </w:r>
      <w:r>
        <w:rPr>
          <w:rFonts w:hint="eastAsia" w:eastAsia="宋体"/>
          <w:b/>
          <w:bCs/>
          <w:sz w:val="24"/>
          <w:szCs w:val="24"/>
        </w:rPr>
        <w:t xml:space="preserve">：               </w:t>
      </w:r>
    </w:p>
    <w:p>
      <w:pPr>
        <w:autoSpaceDE w:val="0"/>
        <w:autoSpaceDN w:val="0"/>
        <w:spacing w:line="360" w:lineRule="auto"/>
        <w:rPr>
          <w:rFonts w:eastAsia="宋体"/>
          <w:b/>
          <w:bCs/>
          <w:sz w:val="24"/>
          <w:szCs w:val="24"/>
          <w:lang w:val="zh-CN"/>
        </w:rPr>
      </w:pPr>
      <w:r>
        <w:rPr>
          <w:rFonts w:hint="eastAsia" w:eastAsia="宋体"/>
          <w:b/>
          <w:bCs/>
          <w:sz w:val="24"/>
          <w:szCs w:val="24"/>
        </w:rPr>
        <w:t xml:space="preserve">采购项目编号 ：            </w:t>
      </w:r>
    </w:p>
    <w:tbl>
      <w:tblPr>
        <w:tblStyle w:val="23"/>
        <w:tblW w:w="9518" w:type="dxa"/>
        <w:jc w:val="center"/>
        <w:tblLayout w:type="fixed"/>
        <w:tblCellMar>
          <w:top w:w="0" w:type="dxa"/>
          <w:left w:w="28" w:type="dxa"/>
          <w:bottom w:w="0" w:type="dxa"/>
          <w:right w:w="28" w:type="dxa"/>
        </w:tblCellMar>
      </w:tblPr>
      <w:tblGrid>
        <w:gridCol w:w="680"/>
        <w:gridCol w:w="3989"/>
        <w:gridCol w:w="4103"/>
        <w:gridCol w:w="746"/>
      </w:tblGrid>
      <w:tr>
        <w:tblPrEx>
          <w:tblCellMar>
            <w:top w:w="0" w:type="dxa"/>
            <w:left w:w="28" w:type="dxa"/>
            <w:bottom w:w="0" w:type="dxa"/>
            <w:right w:w="28" w:type="dxa"/>
          </w:tblCellMar>
        </w:tblPrEx>
        <w:trPr>
          <w:trHeight w:val="468" w:hRule="atLeast"/>
          <w:jc w:val="center"/>
        </w:trPr>
        <w:tc>
          <w:tcPr>
            <w:tcW w:w="68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eastAsia="宋体"/>
                <w:sz w:val="24"/>
                <w:szCs w:val="24"/>
                <w:lang w:val="zh-CN"/>
              </w:rPr>
            </w:pPr>
          </w:p>
        </w:tc>
        <w:tc>
          <w:tcPr>
            <w:tcW w:w="398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eastAsia="宋体"/>
                <w:sz w:val="24"/>
                <w:szCs w:val="24"/>
              </w:rPr>
            </w:pPr>
            <w:r>
              <w:rPr>
                <w:rFonts w:hint="eastAsia" w:eastAsia="宋体"/>
                <w:sz w:val="24"/>
                <w:szCs w:val="24"/>
              </w:rPr>
              <w:t>服务内容</w:t>
            </w:r>
          </w:p>
        </w:tc>
        <w:tc>
          <w:tcPr>
            <w:tcW w:w="410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eastAsia="宋体"/>
                <w:sz w:val="24"/>
                <w:szCs w:val="24"/>
                <w:lang w:val="zh-CN"/>
              </w:rPr>
            </w:pPr>
            <w:r>
              <w:rPr>
                <w:rFonts w:hint="eastAsia" w:eastAsia="宋体"/>
                <w:sz w:val="24"/>
                <w:szCs w:val="24"/>
              </w:rPr>
              <w:t>服务内容</w:t>
            </w:r>
          </w:p>
        </w:tc>
        <w:tc>
          <w:tcPr>
            <w:tcW w:w="74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eastAsia="宋体"/>
                <w:sz w:val="24"/>
                <w:szCs w:val="24"/>
                <w:lang w:val="zh-CN"/>
              </w:rPr>
            </w:pPr>
            <w:r>
              <w:rPr>
                <w:rFonts w:hint="eastAsia" w:eastAsia="宋体"/>
                <w:sz w:val="24"/>
                <w:szCs w:val="24"/>
                <w:lang w:val="zh-CN"/>
              </w:rPr>
              <w:t>偏离</w:t>
            </w:r>
          </w:p>
        </w:tc>
      </w:tr>
      <w:tr>
        <w:tblPrEx>
          <w:tblCellMar>
            <w:top w:w="0" w:type="dxa"/>
            <w:left w:w="28" w:type="dxa"/>
            <w:bottom w:w="0" w:type="dxa"/>
            <w:right w:w="28" w:type="dxa"/>
          </w:tblCellMar>
        </w:tblPrEx>
        <w:trPr>
          <w:trHeight w:val="468" w:hRule="atLeast"/>
          <w:jc w:val="center"/>
        </w:trPr>
        <w:tc>
          <w:tcPr>
            <w:tcW w:w="68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eastAsia="宋体"/>
                <w:sz w:val="24"/>
                <w:szCs w:val="24"/>
                <w:lang w:val="zh-CN"/>
              </w:rPr>
            </w:pPr>
            <w:r>
              <w:rPr>
                <w:rFonts w:hint="eastAsia" w:eastAsia="宋体"/>
                <w:sz w:val="24"/>
                <w:szCs w:val="24"/>
                <w:lang w:val="zh-CN"/>
              </w:rPr>
              <w:t>序号</w:t>
            </w:r>
          </w:p>
        </w:tc>
        <w:tc>
          <w:tcPr>
            <w:tcW w:w="398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eastAsia="宋体"/>
                <w:sz w:val="24"/>
                <w:szCs w:val="24"/>
                <w:lang w:val="zh-CN"/>
              </w:rPr>
            </w:pPr>
            <w:r>
              <w:rPr>
                <w:rFonts w:hint="eastAsia" w:eastAsia="宋体"/>
                <w:sz w:val="24"/>
                <w:szCs w:val="24"/>
              </w:rPr>
              <w:t>磋商文件服务内容</w:t>
            </w:r>
          </w:p>
        </w:tc>
        <w:tc>
          <w:tcPr>
            <w:tcW w:w="410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960" w:firstLineChars="400"/>
              <w:rPr>
                <w:rFonts w:eastAsia="宋体"/>
                <w:sz w:val="24"/>
                <w:szCs w:val="24"/>
                <w:lang w:val="zh-CN"/>
              </w:rPr>
            </w:pPr>
            <w:r>
              <w:rPr>
                <w:rFonts w:hint="eastAsia" w:eastAsia="宋体"/>
                <w:sz w:val="24"/>
                <w:szCs w:val="24"/>
                <w:lang w:val="zh-CN"/>
              </w:rPr>
              <w:t>技术参数及配置</w:t>
            </w:r>
          </w:p>
        </w:tc>
        <w:tc>
          <w:tcPr>
            <w:tcW w:w="74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eastAsia="宋体"/>
                <w:sz w:val="24"/>
                <w:szCs w:val="24"/>
                <w:lang w:val="zh-CN"/>
              </w:rPr>
            </w:pPr>
          </w:p>
        </w:tc>
      </w:tr>
      <w:tr>
        <w:tblPrEx>
          <w:tblCellMar>
            <w:top w:w="0" w:type="dxa"/>
            <w:left w:w="28" w:type="dxa"/>
            <w:bottom w:w="0" w:type="dxa"/>
            <w:right w:w="28" w:type="dxa"/>
          </w:tblCellMar>
        </w:tblPrEx>
        <w:trPr>
          <w:trHeight w:val="468" w:hRule="atLeast"/>
          <w:jc w:val="center"/>
        </w:trPr>
        <w:tc>
          <w:tcPr>
            <w:tcW w:w="68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eastAsia="宋体"/>
                <w:sz w:val="24"/>
                <w:szCs w:val="24"/>
                <w:lang w:val="zh-CN"/>
              </w:rPr>
            </w:pPr>
            <w:r>
              <w:rPr>
                <w:rFonts w:hint="eastAsia" w:eastAsia="宋体"/>
                <w:sz w:val="24"/>
                <w:szCs w:val="24"/>
                <w:lang w:val="zh-CN"/>
              </w:rPr>
              <w:t>1</w:t>
            </w:r>
          </w:p>
        </w:tc>
        <w:tc>
          <w:tcPr>
            <w:tcW w:w="398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eastAsia="宋体"/>
                <w:sz w:val="24"/>
                <w:szCs w:val="24"/>
                <w:lang w:val="zh-CN"/>
              </w:rPr>
            </w:pPr>
          </w:p>
        </w:tc>
        <w:tc>
          <w:tcPr>
            <w:tcW w:w="410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eastAsia="宋体"/>
                <w:sz w:val="24"/>
                <w:szCs w:val="24"/>
                <w:lang w:val="zh-CN"/>
              </w:rPr>
            </w:pPr>
          </w:p>
        </w:tc>
        <w:tc>
          <w:tcPr>
            <w:tcW w:w="74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eastAsia="宋体"/>
                <w:sz w:val="24"/>
                <w:szCs w:val="24"/>
                <w:lang w:val="zh-CN"/>
              </w:rPr>
            </w:pPr>
          </w:p>
        </w:tc>
      </w:tr>
      <w:tr>
        <w:tblPrEx>
          <w:tblCellMar>
            <w:top w:w="0" w:type="dxa"/>
            <w:left w:w="28" w:type="dxa"/>
            <w:bottom w:w="0" w:type="dxa"/>
            <w:right w:w="28" w:type="dxa"/>
          </w:tblCellMar>
        </w:tblPrEx>
        <w:trPr>
          <w:trHeight w:val="468" w:hRule="atLeast"/>
          <w:jc w:val="center"/>
        </w:trPr>
        <w:tc>
          <w:tcPr>
            <w:tcW w:w="68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eastAsia="宋体"/>
                <w:sz w:val="24"/>
                <w:szCs w:val="24"/>
                <w:lang w:val="zh-CN"/>
              </w:rPr>
            </w:pPr>
            <w:r>
              <w:rPr>
                <w:rFonts w:hint="eastAsia" w:eastAsia="宋体"/>
                <w:sz w:val="24"/>
                <w:szCs w:val="24"/>
                <w:lang w:val="zh-CN"/>
              </w:rPr>
              <w:t>2</w:t>
            </w:r>
          </w:p>
        </w:tc>
        <w:tc>
          <w:tcPr>
            <w:tcW w:w="398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eastAsia="宋体"/>
                <w:sz w:val="24"/>
                <w:szCs w:val="24"/>
                <w:lang w:val="zh-CN"/>
              </w:rPr>
            </w:pPr>
          </w:p>
        </w:tc>
        <w:tc>
          <w:tcPr>
            <w:tcW w:w="410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eastAsia="宋体"/>
                <w:sz w:val="24"/>
                <w:szCs w:val="24"/>
                <w:lang w:val="zh-CN"/>
              </w:rPr>
            </w:pPr>
          </w:p>
        </w:tc>
        <w:tc>
          <w:tcPr>
            <w:tcW w:w="74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eastAsia="宋体"/>
                <w:sz w:val="24"/>
                <w:szCs w:val="24"/>
                <w:lang w:val="zh-CN"/>
              </w:rPr>
            </w:pPr>
          </w:p>
        </w:tc>
      </w:tr>
      <w:tr>
        <w:tblPrEx>
          <w:tblCellMar>
            <w:top w:w="0" w:type="dxa"/>
            <w:left w:w="28" w:type="dxa"/>
            <w:bottom w:w="0" w:type="dxa"/>
            <w:right w:w="28" w:type="dxa"/>
          </w:tblCellMar>
        </w:tblPrEx>
        <w:trPr>
          <w:trHeight w:val="483" w:hRule="atLeast"/>
          <w:jc w:val="center"/>
        </w:trPr>
        <w:tc>
          <w:tcPr>
            <w:tcW w:w="68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eastAsia="宋体"/>
                <w:sz w:val="24"/>
                <w:szCs w:val="24"/>
                <w:lang w:val="zh-CN"/>
              </w:rPr>
            </w:pPr>
            <w:r>
              <w:rPr>
                <w:rFonts w:hint="eastAsia" w:eastAsia="宋体"/>
                <w:sz w:val="24"/>
                <w:szCs w:val="24"/>
                <w:lang w:val="zh-CN"/>
              </w:rPr>
              <w:t>…</w:t>
            </w:r>
          </w:p>
        </w:tc>
        <w:tc>
          <w:tcPr>
            <w:tcW w:w="398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eastAsia="宋体"/>
                <w:sz w:val="24"/>
                <w:szCs w:val="24"/>
                <w:lang w:val="zh-CN"/>
              </w:rPr>
            </w:pPr>
          </w:p>
        </w:tc>
        <w:tc>
          <w:tcPr>
            <w:tcW w:w="410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eastAsia="宋体"/>
                <w:sz w:val="24"/>
                <w:szCs w:val="24"/>
                <w:lang w:val="zh-CN"/>
              </w:rPr>
            </w:pPr>
          </w:p>
        </w:tc>
        <w:tc>
          <w:tcPr>
            <w:tcW w:w="74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eastAsia="宋体"/>
                <w:sz w:val="24"/>
                <w:szCs w:val="24"/>
                <w:lang w:val="zh-CN"/>
              </w:rPr>
            </w:pPr>
          </w:p>
        </w:tc>
      </w:tr>
    </w:tbl>
    <w:p>
      <w:pPr>
        <w:autoSpaceDE w:val="0"/>
        <w:autoSpaceDN w:val="0"/>
        <w:spacing w:line="360" w:lineRule="auto"/>
        <w:rPr>
          <w:rFonts w:eastAsia="宋体"/>
          <w:sz w:val="24"/>
          <w:szCs w:val="24"/>
          <w:lang w:val="zh-CN"/>
        </w:rPr>
      </w:pPr>
      <w:r>
        <w:rPr>
          <w:rFonts w:hint="eastAsia" w:eastAsia="宋体"/>
          <w:sz w:val="24"/>
          <w:szCs w:val="24"/>
          <w:lang w:val="zh-CN"/>
        </w:rPr>
        <w:t>注：1.本表应按照“</w:t>
      </w:r>
      <w:r>
        <w:rPr>
          <w:rFonts w:hint="eastAsia" w:eastAsia="宋体"/>
          <w:sz w:val="24"/>
          <w:szCs w:val="24"/>
        </w:rPr>
        <w:t>项目服务内容</w:t>
      </w:r>
      <w:r>
        <w:rPr>
          <w:rFonts w:hint="eastAsia" w:eastAsia="宋体"/>
          <w:sz w:val="24"/>
          <w:szCs w:val="24"/>
          <w:lang w:val="zh-CN"/>
        </w:rPr>
        <w:t>指标逐项填写，不得遗漏。</w:t>
      </w:r>
    </w:p>
    <w:p>
      <w:pPr>
        <w:autoSpaceDE w:val="0"/>
        <w:autoSpaceDN w:val="0"/>
        <w:spacing w:line="360" w:lineRule="auto"/>
        <w:ind w:firstLine="480" w:firstLineChars="200"/>
        <w:rPr>
          <w:rFonts w:eastAsia="宋体"/>
          <w:sz w:val="24"/>
          <w:szCs w:val="24"/>
          <w:lang w:val="zh-CN"/>
        </w:rPr>
      </w:pPr>
      <w:r>
        <w:rPr>
          <w:rFonts w:hint="eastAsia" w:eastAsia="宋体"/>
          <w:sz w:val="24"/>
          <w:szCs w:val="24"/>
        </w:rPr>
        <w:t>2.</w:t>
      </w:r>
      <w:r>
        <w:rPr>
          <w:rFonts w:hint="eastAsia" w:eastAsia="宋体"/>
          <w:sz w:val="24"/>
          <w:szCs w:val="24"/>
          <w:lang w:val="zh-CN"/>
        </w:rPr>
        <w:t>填写此表时以磋商项目</w:t>
      </w:r>
      <w:r>
        <w:rPr>
          <w:rFonts w:hint="eastAsia" w:eastAsia="宋体"/>
          <w:sz w:val="24"/>
          <w:szCs w:val="24"/>
        </w:rPr>
        <w:t>服务内容</w:t>
      </w:r>
      <w:r>
        <w:rPr>
          <w:rFonts w:hint="eastAsia" w:eastAsia="宋体"/>
          <w:sz w:val="24"/>
          <w:szCs w:val="24"/>
          <w:lang w:val="zh-CN"/>
        </w:rPr>
        <w:t>要求为基本投标要求，满足项目</w:t>
      </w:r>
      <w:r>
        <w:rPr>
          <w:rFonts w:hint="eastAsia" w:eastAsia="宋体"/>
          <w:sz w:val="24"/>
          <w:szCs w:val="24"/>
        </w:rPr>
        <w:t>服务内容</w:t>
      </w:r>
      <w:r>
        <w:rPr>
          <w:rFonts w:hint="eastAsia" w:eastAsia="宋体"/>
          <w:sz w:val="24"/>
          <w:szCs w:val="24"/>
          <w:lang w:val="zh-CN"/>
        </w:rPr>
        <w:t>的指标需列出“</w:t>
      </w:r>
      <w:r>
        <w:rPr>
          <w:rFonts w:hint="eastAsia" w:eastAsia="宋体"/>
          <w:sz w:val="24"/>
          <w:szCs w:val="24"/>
        </w:rPr>
        <w:t>0</w:t>
      </w:r>
      <w:r>
        <w:rPr>
          <w:rFonts w:hint="eastAsia" w:eastAsia="宋体"/>
          <w:sz w:val="24"/>
          <w:szCs w:val="24"/>
          <w:lang w:val="zh-CN"/>
        </w:rPr>
        <w:t>”；超出、不满足磋商项目参数要求的指标需列出“+”、“-”偏差，并做出详细说明；如果只注明“+”、“-”或未填写。</w:t>
      </w:r>
    </w:p>
    <w:p>
      <w:pPr>
        <w:autoSpaceDE w:val="0"/>
        <w:autoSpaceDN w:val="0"/>
        <w:adjustRightInd w:val="0"/>
        <w:spacing w:line="360" w:lineRule="auto"/>
        <w:ind w:firstLine="480" w:firstLineChars="200"/>
        <w:rPr>
          <w:rFonts w:eastAsia="宋体"/>
          <w:sz w:val="24"/>
          <w:lang w:val="zh-CN"/>
        </w:rPr>
      </w:pPr>
    </w:p>
    <w:p>
      <w:pPr>
        <w:pStyle w:val="19"/>
        <w:spacing w:line="360" w:lineRule="auto"/>
        <w:rPr>
          <w:rFonts w:ascii="宋体" w:hAnsi="宋体" w:eastAsia="宋体" w:cs="宋体"/>
          <w:color w:val="auto"/>
        </w:rPr>
      </w:pPr>
      <w:r>
        <w:rPr>
          <w:rFonts w:hint="eastAsia" w:eastAsia="宋体" w:cs="宋体"/>
          <w:bCs/>
          <w:sz w:val="24"/>
          <w:szCs w:val="28"/>
        </w:rPr>
        <w:br w:type="page"/>
      </w:r>
    </w:p>
    <w:p>
      <w:pPr>
        <w:pStyle w:val="3"/>
        <w:tabs>
          <w:tab w:val="left" w:pos="425"/>
        </w:tabs>
        <w:rPr>
          <w:rFonts w:ascii="宋体" w:hAnsi="宋体" w:cs="宋体"/>
          <w:color w:val="auto"/>
          <w:sz w:val="32"/>
          <w:lang w:val="zh-CN"/>
        </w:rPr>
      </w:pPr>
      <w:bookmarkStart w:id="674" w:name="_Toc4043"/>
      <w:bookmarkStart w:id="675" w:name="_Toc6753"/>
      <w:bookmarkStart w:id="676" w:name="_Toc6023"/>
      <w:bookmarkStart w:id="677" w:name="_Toc31598"/>
      <w:bookmarkStart w:id="678" w:name="_Toc487"/>
      <w:bookmarkStart w:id="679" w:name="_Toc15520"/>
      <w:r>
        <w:rPr>
          <w:rFonts w:hint="eastAsia" w:ascii="宋体" w:hAnsi="宋体" w:cs="宋体"/>
          <w:color w:val="auto"/>
          <w:sz w:val="32"/>
          <w:lang w:val="zh-CN"/>
        </w:rPr>
        <w:t>格式</w:t>
      </w:r>
      <w:r>
        <w:rPr>
          <w:rFonts w:hint="eastAsia" w:ascii="宋体" w:hAnsi="宋体" w:cs="宋体"/>
          <w:color w:val="auto"/>
          <w:sz w:val="32"/>
        </w:rPr>
        <w:t>15</w:t>
      </w:r>
      <w:r>
        <w:rPr>
          <w:rFonts w:hint="eastAsia" w:ascii="宋体" w:hAnsi="宋体" w:cs="宋体"/>
          <w:color w:val="auto"/>
          <w:sz w:val="32"/>
          <w:lang w:val="zh-CN"/>
        </w:rPr>
        <w:t>、</w:t>
      </w:r>
      <w:bookmarkEnd w:id="674"/>
      <w:bookmarkEnd w:id="675"/>
      <w:r>
        <w:rPr>
          <w:rFonts w:hint="eastAsia" w:ascii="宋体" w:hAnsi="宋体" w:cs="宋体"/>
          <w:color w:val="auto"/>
          <w:sz w:val="32"/>
          <w:lang w:val="zh-CN"/>
        </w:rPr>
        <w:t>实施方案</w:t>
      </w:r>
      <w:bookmarkEnd w:id="676"/>
      <w:bookmarkEnd w:id="677"/>
      <w:bookmarkEnd w:id="678"/>
    </w:p>
    <w:p>
      <w:pPr>
        <w:pStyle w:val="3"/>
        <w:tabs>
          <w:tab w:val="left" w:pos="425"/>
        </w:tabs>
        <w:rPr>
          <w:rFonts w:ascii="宋体" w:hAnsi="宋体" w:cs="宋体"/>
          <w:color w:val="auto"/>
          <w:sz w:val="32"/>
          <w:lang w:val="zh-CN"/>
        </w:rPr>
      </w:pPr>
    </w:p>
    <w:p>
      <w:pPr>
        <w:autoSpaceDE w:val="0"/>
        <w:autoSpaceDN w:val="0"/>
        <w:spacing w:line="360" w:lineRule="auto"/>
        <w:ind w:firstLine="3120" w:firstLineChars="1300"/>
        <w:jc w:val="left"/>
        <w:rPr>
          <w:rFonts w:eastAsia="宋体"/>
          <w:color w:val="auto"/>
          <w:sz w:val="24"/>
          <w:lang w:val="zh-CN"/>
        </w:rPr>
      </w:pPr>
      <w:r>
        <w:rPr>
          <w:rFonts w:hint="eastAsia" w:eastAsia="宋体"/>
          <w:color w:val="auto"/>
          <w:sz w:val="24"/>
          <w:lang w:val="zh-CN"/>
        </w:rPr>
        <w:t>（格式可自定）</w:t>
      </w:r>
    </w:p>
    <w:p>
      <w:pPr>
        <w:pStyle w:val="3"/>
        <w:tabs>
          <w:tab w:val="left" w:pos="425"/>
        </w:tabs>
        <w:rPr>
          <w:rFonts w:ascii="宋体" w:hAnsi="宋体" w:cs="宋体"/>
          <w:color w:val="auto"/>
          <w:sz w:val="32"/>
          <w:lang w:val="zh-CN"/>
        </w:rPr>
      </w:pPr>
    </w:p>
    <w:p>
      <w:pPr>
        <w:pStyle w:val="3"/>
        <w:tabs>
          <w:tab w:val="left" w:pos="425"/>
        </w:tabs>
        <w:rPr>
          <w:rFonts w:ascii="宋体" w:hAnsi="宋体" w:cs="宋体"/>
          <w:color w:val="auto"/>
          <w:sz w:val="32"/>
          <w:lang w:val="zh-CN"/>
        </w:rPr>
      </w:pPr>
    </w:p>
    <w:p>
      <w:pPr>
        <w:pStyle w:val="3"/>
        <w:tabs>
          <w:tab w:val="left" w:pos="425"/>
        </w:tabs>
        <w:rPr>
          <w:rFonts w:ascii="宋体" w:hAnsi="宋体" w:cs="宋体"/>
          <w:color w:val="auto"/>
          <w:sz w:val="32"/>
          <w:lang w:val="zh-CN"/>
        </w:rPr>
      </w:pPr>
    </w:p>
    <w:p>
      <w:pPr>
        <w:pStyle w:val="3"/>
        <w:tabs>
          <w:tab w:val="left" w:pos="425"/>
        </w:tabs>
        <w:rPr>
          <w:rFonts w:ascii="宋体" w:hAnsi="宋体" w:cs="宋体"/>
          <w:color w:val="auto"/>
          <w:sz w:val="32"/>
          <w:lang w:val="zh-CN"/>
        </w:rPr>
      </w:pPr>
    </w:p>
    <w:p>
      <w:pPr>
        <w:pStyle w:val="3"/>
        <w:tabs>
          <w:tab w:val="left" w:pos="425"/>
        </w:tabs>
        <w:rPr>
          <w:rFonts w:ascii="宋体" w:hAnsi="宋体" w:cs="宋体"/>
          <w:color w:val="auto"/>
          <w:sz w:val="32"/>
          <w:lang w:val="zh-CN"/>
        </w:rPr>
      </w:pPr>
    </w:p>
    <w:p>
      <w:pPr>
        <w:pStyle w:val="3"/>
        <w:tabs>
          <w:tab w:val="left" w:pos="425"/>
        </w:tabs>
        <w:rPr>
          <w:rFonts w:ascii="宋体" w:hAnsi="宋体" w:cs="宋体"/>
          <w:color w:val="auto"/>
          <w:sz w:val="32"/>
          <w:lang w:val="zh-CN"/>
        </w:rPr>
      </w:pPr>
    </w:p>
    <w:p>
      <w:pPr>
        <w:pStyle w:val="3"/>
        <w:tabs>
          <w:tab w:val="left" w:pos="425"/>
        </w:tabs>
        <w:rPr>
          <w:rFonts w:ascii="宋体" w:hAnsi="宋体" w:cs="宋体"/>
          <w:color w:val="auto"/>
          <w:sz w:val="32"/>
          <w:lang w:val="zh-CN"/>
        </w:rPr>
      </w:pPr>
    </w:p>
    <w:p>
      <w:pPr>
        <w:pStyle w:val="3"/>
        <w:tabs>
          <w:tab w:val="left" w:pos="425"/>
        </w:tabs>
        <w:rPr>
          <w:rFonts w:ascii="宋体" w:hAnsi="宋体" w:cs="宋体"/>
          <w:color w:val="auto"/>
          <w:sz w:val="32"/>
          <w:lang w:val="zh-CN"/>
        </w:rPr>
      </w:pPr>
    </w:p>
    <w:p>
      <w:pPr>
        <w:pStyle w:val="3"/>
        <w:tabs>
          <w:tab w:val="left" w:pos="425"/>
        </w:tabs>
        <w:rPr>
          <w:rFonts w:ascii="宋体" w:hAnsi="宋体" w:cs="宋体"/>
          <w:color w:val="auto"/>
          <w:sz w:val="32"/>
          <w:lang w:val="zh-CN"/>
        </w:rPr>
      </w:pPr>
      <w:r>
        <w:rPr>
          <w:rFonts w:hint="eastAsia" w:ascii="宋体" w:hAnsi="宋体" w:cs="宋体"/>
          <w:color w:val="auto"/>
          <w:sz w:val="32"/>
          <w:lang w:val="zh-CN"/>
        </w:rPr>
        <w:br w:type="page"/>
      </w:r>
      <w:bookmarkStart w:id="680" w:name="_Toc26157"/>
      <w:bookmarkStart w:id="681" w:name="_Toc28403"/>
      <w:bookmarkStart w:id="682" w:name="_Toc2044"/>
      <w:bookmarkStart w:id="683" w:name="_Toc2528"/>
      <w:bookmarkStart w:id="684" w:name="_Toc16991"/>
      <w:r>
        <w:rPr>
          <w:rFonts w:hint="eastAsia" w:ascii="宋体" w:hAnsi="宋体" w:cs="宋体"/>
          <w:color w:val="auto"/>
          <w:sz w:val="32"/>
          <w:lang w:val="zh-CN"/>
        </w:rPr>
        <w:t>格式</w:t>
      </w:r>
      <w:r>
        <w:rPr>
          <w:rFonts w:hint="eastAsia" w:ascii="宋体" w:hAnsi="宋体" w:cs="宋体"/>
          <w:color w:val="auto"/>
          <w:sz w:val="32"/>
        </w:rPr>
        <w:t>16</w:t>
      </w:r>
      <w:r>
        <w:rPr>
          <w:rFonts w:hint="eastAsia" w:ascii="宋体" w:hAnsi="宋体" w:cs="宋体"/>
          <w:color w:val="auto"/>
          <w:sz w:val="32"/>
          <w:lang w:val="zh-CN"/>
        </w:rPr>
        <w:t>、供应商的业绩证明材料</w:t>
      </w:r>
      <w:bookmarkEnd w:id="679"/>
      <w:bookmarkEnd w:id="680"/>
      <w:bookmarkEnd w:id="681"/>
      <w:bookmarkEnd w:id="682"/>
      <w:bookmarkEnd w:id="683"/>
      <w:bookmarkEnd w:id="684"/>
    </w:p>
    <w:p>
      <w:pPr>
        <w:autoSpaceDE w:val="0"/>
        <w:autoSpaceDN w:val="0"/>
        <w:spacing w:line="360" w:lineRule="auto"/>
        <w:jc w:val="left"/>
        <w:rPr>
          <w:color w:val="auto"/>
          <w:sz w:val="28"/>
          <w:szCs w:val="28"/>
          <w:lang w:val="zh-CN"/>
        </w:rPr>
      </w:pPr>
    </w:p>
    <w:p>
      <w:pPr>
        <w:adjustRightInd w:val="0"/>
        <w:spacing w:line="360" w:lineRule="auto"/>
        <w:jc w:val="center"/>
        <w:textAlignment w:val="baseline"/>
        <w:rPr>
          <w:rFonts w:eastAsia="宋体"/>
          <w:b/>
          <w:color w:val="auto"/>
          <w:sz w:val="32"/>
          <w:szCs w:val="30"/>
        </w:rPr>
      </w:pPr>
      <w:r>
        <w:rPr>
          <w:rFonts w:hint="eastAsia" w:eastAsia="宋体"/>
          <w:b/>
          <w:color w:val="auto"/>
          <w:sz w:val="32"/>
          <w:szCs w:val="30"/>
        </w:rPr>
        <w:t>供应商的类似业绩证明材料</w:t>
      </w:r>
    </w:p>
    <w:p>
      <w:pPr>
        <w:pStyle w:val="9"/>
        <w:ind w:firstLine="480" w:firstLineChars="200"/>
        <w:jc w:val="left"/>
        <w:rPr>
          <w:color w:val="auto"/>
          <w:lang w:val="zh-CN"/>
        </w:rPr>
      </w:pPr>
      <w:bookmarkStart w:id="685" w:name="_Toc8294"/>
      <w:r>
        <w:rPr>
          <w:rFonts w:hint="eastAsia"/>
          <w:color w:val="auto"/>
          <w:lang w:val="zh-CN"/>
        </w:rPr>
        <w:br w:type="page"/>
      </w:r>
      <w:bookmarkStart w:id="686" w:name="_Toc11780"/>
      <w:bookmarkStart w:id="687" w:name="_Toc6939"/>
      <w:r>
        <w:rPr>
          <w:rFonts w:hint="eastAsia"/>
          <w:b/>
          <w:bCs/>
          <w:iCs/>
          <w:color w:val="auto"/>
          <w:sz w:val="32"/>
          <w:szCs w:val="32"/>
          <w:lang w:val="zh-CN"/>
        </w:rPr>
        <w:t>格式17、项目管理机构人员配备</w:t>
      </w:r>
      <w:bookmarkEnd w:id="685"/>
      <w:bookmarkEnd w:id="686"/>
      <w:bookmarkEnd w:id="687"/>
    </w:p>
    <w:p>
      <w:pPr>
        <w:ind w:firstLine="482"/>
        <w:jc w:val="left"/>
        <w:rPr>
          <w:b/>
          <w:bCs/>
          <w:color w:val="auto"/>
          <w:sz w:val="24"/>
          <w:szCs w:val="24"/>
        </w:rPr>
      </w:pPr>
    </w:p>
    <w:tbl>
      <w:tblPr>
        <w:tblStyle w:val="23"/>
        <w:tblW w:w="90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926"/>
        <w:gridCol w:w="926"/>
        <w:gridCol w:w="926"/>
        <w:gridCol w:w="1777"/>
        <w:gridCol w:w="1208"/>
        <w:gridCol w:w="2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ign w:val="center"/>
          </w:tcPr>
          <w:p>
            <w:pPr>
              <w:spacing w:before="100" w:beforeAutospacing="1" w:after="100" w:afterAutospacing="1" w:line="400" w:lineRule="exact"/>
              <w:jc w:val="left"/>
              <w:rPr>
                <w:rFonts w:eastAsia="宋体"/>
                <w:color w:val="auto"/>
                <w:sz w:val="24"/>
                <w:szCs w:val="24"/>
              </w:rPr>
            </w:pPr>
            <w:r>
              <w:rPr>
                <w:rFonts w:hint="eastAsia" w:eastAsia="宋体"/>
                <w:color w:val="auto"/>
                <w:sz w:val="24"/>
                <w:szCs w:val="24"/>
              </w:rPr>
              <w:t>序号</w:t>
            </w:r>
          </w:p>
        </w:tc>
        <w:tc>
          <w:tcPr>
            <w:tcW w:w="926" w:type="dxa"/>
            <w:tcBorders>
              <w:top w:val="single" w:color="auto" w:sz="4" w:space="0"/>
              <w:left w:val="nil"/>
              <w:bottom w:val="single" w:color="auto" w:sz="4" w:space="0"/>
              <w:right w:val="single" w:color="auto" w:sz="4" w:space="0"/>
            </w:tcBorders>
            <w:noWrap/>
            <w:vAlign w:val="center"/>
          </w:tcPr>
          <w:p>
            <w:pPr>
              <w:spacing w:before="100" w:beforeAutospacing="1" w:after="100" w:afterAutospacing="1" w:line="400" w:lineRule="exact"/>
              <w:jc w:val="left"/>
              <w:rPr>
                <w:rFonts w:eastAsia="宋体"/>
                <w:color w:val="auto"/>
                <w:sz w:val="24"/>
                <w:szCs w:val="24"/>
              </w:rPr>
            </w:pPr>
            <w:r>
              <w:rPr>
                <w:rFonts w:hint="eastAsia" w:eastAsia="宋体"/>
                <w:color w:val="auto"/>
                <w:sz w:val="24"/>
                <w:szCs w:val="24"/>
              </w:rPr>
              <w:t>姓名</w:t>
            </w:r>
          </w:p>
        </w:tc>
        <w:tc>
          <w:tcPr>
            <w:tcW w:w="926" w:type="dxa"/>
            <w:tcBorders>
              <w:top w:val="single" w:color="auto" w:sz="4" w:space="0"/>
              <w:left w:val="nil"/>
              <w:bottom w:val="single" w:color="auto" w:sz="4" w:space="0"/>
              <w:right w:val="single" w:color="auto" w:sz="4" w:space="0"/>
            </w:tcBorders>
            <w:noWrap/>
            <w:vAlign w:val="center"/>
          </w:tcPr>
          <w:p>
            <w:pPr>
              <w:spacing w:before="100" w:beforeAutospacing="1" w:after="100" w:afterAutospacing="1" w:line="400" w:lineRule="exact"/>
              <w:jc w:val="left"/>
              <w:rPr>
                <w:rFonts w:eastAsia="宋体"/>
                <w:color w:val="auto"/>
                <w:sz w:val="24"/>
                <w:szCs w:val="24"/>
              </w:rPr>
            </w:pPr>
            <w:r>
              <w:rPr>
                <w:rFonts w:hint="eastAsia" w:eastAsia="宋体"/>
                <w:color w:val="auto"/>
                <w:sz w:val="24"/>
                <w:szCs w:val="24"/>
              </w:rPr>
              <w:t>性别</w:t>
            </w:r>
          </w:p>
        </w:tc>
        <w:tc>
          <w:tcPr>
            <w:tcW w:w="926" w:type="dxa"/>
            <w:tcBorders>
              <w:top w:val="single" w:color="auto" w:sz="4" w:space="0"/>
              <w:left w:val="nil"/>
              <w:bottom w:val="single" w:color="auto" w:sz="4" w:space="0"/>
              <w:right w:val="single" w:color="auto" w:sz="4" w:space="0"/>
            </w:tcBorders>
            <w:noWrap/>
            <w:vAlign w:val="center"/>
          </w:tcPr>
          <w:p>
            <w:pPr>
              <w:spacing w:before="100" w:beforeAutospacing="1" w:after="100" w:afterAutospacing="1" w:line="400" w:lineRule="exact"/>
              <w:jc w:val="left"/>
              <w:rPr>
                <w:rFonts w:eastAsia="宋体"/>
                <w:color w:val="auto"/>
                <w:sz w:val="24"/>
                <w:szCs w:val="24"/>
              </w:rPr>
            </w:pPr>
            <w:r>
              <w:rPr>
                <w:rFonts w:hint="eastAsia" w:eastAsia="宋体"/>
                <w:color w:val="auto"/>
                <w:sz w:val="24"/>
                <w:szCs w:val="24"/>
              </w:rPr>
              <w:t>年龄</w:t>
            </w:r>
          </w:p>
        </w:tc>
        <w:tc>
          <w:tcPr>
            <w:tcW w:w="1777" w:type="dxa"/>
            <w:tcBorders>
              <w:top w:val="single" w:color="auto" w:sz="4" w:space="0"/>
              <w:left w:val="nil"/>
              <w:bottom w:val="single" w:color="auto" w:sz="4" w:space="0"/>
              <w:right w:val="single" w:color="auto" w:sz="4" w:space="0"/>
            </w:tcBorders>
            <w:noWrap/>
            <w:vAlign w:val="center"/>
          </w:tcPr>
          <w:p>
            <w:pPr>
              <w:spacing w:before="100" w:beforeAutospacing="1" w:after="100" w:afterAutospacing="1" w:line="400" w:lineRule="exact"/>
              <w:jc w:val="left"/>
              <w:rPr>
                <w:rFonts w:eastAsia="宋体"/>
                <w:color w:val="auto"/>
                <w:sz w:val="24"/>
                <w:szCs w:val="24"/>
              </w:rPr>
            </w:pPr>
            <w:r>
              <w:rPr>
                <w:rFonts w:hint="eastAsia" w:eastAsia="宋体"/>
                <w:color w:val="auto"/>
                <w:sz w:val="24"/>
                <w:szCs w:val="24"/>
              </w:rPr>
              <w:t>所附证件</w:t>
            </w:r>
          </w:p>
        </w:tc>
        <w:tc>
          <w:tcPr>
            <w:tcW w:w="1208" w:type="dxa"/>
            <w:tcBorders>
              <w:top w:val="single" w:color="auto" w:sz="4" w:space="0"/>
              <w:left w:val="nil"/>
              <w:bottom w:val="single" w:color="auto" w:sz="4" w:space="0"/>
              <w:right w:val="single" w:color="auto" w:sz="4" w:space="0"/>
            </w:tcBorders>
            <w:noWrap/>
            <w:vAlign w:val="center"/>
          </w:tcPr>
          <w:p>
            <w:pPr>
              <w:spacing w:before="100" w:beforeAutospacing="1" w:after="100" w:afterAutospacing="1" w:line="400" w:lineRule="exact"/>
              <w:jc w:val="left"/>
              <w:rPr>
                <w:rFonts w:eastAsia="宋体"/>
                <w:color w:val="auto"/>
                <w:sz w:val="24"/>
                <w:szCs w:val="24"/>
              </w:rPr>
            </w:pPr>
            <w:r>
              <w:rPr>
                <w:rFonts w:hint="eastAsia" w:eastAsia="宋体"/>
                <w:color w:val="auto"/>
                <w:sz w:val="24"/>
                <w:szCs w:val="24"/>
              </w:rPr>
              <w:t>专业及技术职称</w:t>
            </w:r>
          </w:p>
        </w:tc>
        <w:tc>
          <w:tcPr>
            <w:tcW w:w="2379"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b/>
                <w:bCs/>
                <w:color w:val="auto"/>
                <w:sz w:val="24"/>
                <w:szCs w:val="24"/>
              </w:rPr>
            </w:pPr>
            <w:r>
              <w:rPr>
                <w:rFonts w:hint="eastAsia" w:eastAsia="宋体"/>
                <w:color w:val="auto"/>
                <w:sz w:val="24"/>
                <w:szCs w:val="24"/>
              </w:rPr>
              <w:t>本项目拟任岗位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777"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208"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2379"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777"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208"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2379"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777"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208"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2379"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777"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208"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2379"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777"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208"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2379"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777"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208"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2379"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777"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208"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2379"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777"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208"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2379"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777"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208"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2379"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777"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208"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2379"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777"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208"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2379"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777"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208"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2379"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777"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208"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2379"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777"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208"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2379"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777"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208"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2379"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777"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208"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2379"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777"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208"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2379"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777"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208"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2379"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777"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208"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2379"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926"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777"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1208"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c>
          <w:tcPr>
            <w:tcW w:w="2379" w:type="dxa"/>
            <w:tcBorders>
              <w:top w:val="single" w:color="auto" w:sz="4" w:space="0"/>
              <w:left w:val="nil"/>
              <w:bottom w:val="single" w:color="auto" w:sz="4" w:space="0"/>
              <w:right w:val="single" w:color="auto" w:sz="4" w:space="0"/>
            </w:tcBorders>
            <w:noWrap/>
            <w:vAlign w:val="center"/>
          </w:tcPr>
          <w:p>
            <w:pPr>
              <w:spacing w:line="400" w:lineRule="exact"/>
              <w:ind w:firstLine="480" w:firstLineChars="200"/>
              <w:jc w:val="left"/>
              <w:rPr>
                <w:rFonts w:eastAsia="宋体"/>
                <w:color w:val="auto"/>
                <w:sz w:val="24"/>
                <w:szCs w:val="24"/>
              </w:rPr>
            </w:pPr>
          </w:p>
        </w:tc>
      </w:tr>
    </w:tbl>
    <w:p>
      <w:pPr>
        <w:jc w:val="left"/>
        <w:rPr>
          <w:rFonts w:eastAsia="宋体"/>
          <w:color w:val="auto"/>
          <w:sz w:val="24"/>
          <w:szCs w:val="24"/>
        </w:rPr>
      </w:pPr>
      <w:r>
        <w:rPr>
          <w:rFonts w:hint="eastAsia" w:eastAsia="宋体"/>
          <w:color w:val="auto"/>
          <w:sz w:val="24"/>
          <w:szCs w:val="24"/>
        </w:rPr>
        <w:t>注：供应商根据项目人员配备情况填写该表及附身份证或驾照、劳工合同等内容列入本表人员如要更换，需经采购人单位同意。擅自更换或不到位属违约行为。</w:t>
      </w:r>
    </w:p>
    <w:p>
      <w:pPr>
        <w:pStyle w:val="38"/>
        <w:ind w:firstLine="480"/>
        <w:jc w:val="left"/>
        <w:rPr>
          <w:rFonts w:hAnsi="宋体" w:eastAsia="宋体" w:cs="宋体"/>
          <w:sz w:val="24"/>
          <w:szCs w:val="24"/>
          <w:lang w:val="zh-CN"/>
        </w:rPr>
      </w:pPr>
    </w:p>
    <w:p>
      <w:pPr>
        <w:pStyle w:val="3"/>
        <w:tabs>
          <w:tab w:val="left" w:pos="425"/>
        </w:tabs>
        <w:rPr>
          <w:rFonts w:ascii="宋体" w:hAnsi="宋体" w:cs="宋体"/>
          <w:color w:val="auto"/>
          <w:szCs w:val="24"/>
          <w:lang w:val="zh-CN"/>
        </w:rPr>
      </w:pPr>
    </w:p>
    <w:p>
      <w:pPr>
        <w:autoSpaceDE w:val="0"/>
        <w:autoSpaceDN w:val="0"/>
        <w:spacing w:line="360" w:lineRule="auto"/>
        <w:jc w:val="left"/>
        <w:rPr>
          <w:rFonts w:eastAsia="宋体"/>
          <w:color w:val="auto"/>
          <w:sz w:val="24"/>
          <w:lang w:val="zh-CN"/>
        </w:rPr>
      </w:pPr>
      <w:bookmarkStart w:id="688" w:name="_Toc24907"/>
      <w:bookmarkStart w:id="689" w:name="_Toc22397"/>
      <w:bookmarkStart w:id="690" w:name="_Toc27956"/>
    </w:p>
    <w:p>
      <w:pPr>
        <w:pStyle w:val="3"/>
        <w:tabs>
          <w:tab w:val="left" w:pos="425"/>
        </w:tabs>
        <w:rPr>
          <w:rFonts w:ascii="宋体" w:hAnsi="宋体" w:cs="宋体"/>
          <w:color w:val="auto"/>
          <w:sz w:val="32"/>
        </w:rPr>
      </w:pPr>
      <w:bookmarkStart w:id="691" w:name="_Toc31212"/>
      <w:r>
        <w:rPr>
          <w:rFonts w:hint="eastAsia" w:ascii="宋体" w:hAnsi="宋体" w:cs="宋体"/>
          <w:color w:val="auto"/>
          <w:sz w:val="32"/>
          <w:lang w:val="zh-CN"/>
        </w:rPr>
        <w:br w:type="page"/>
      </w:r>
      <w:bookmarkStart w:id="692" w:name="_Toc8485"/>
      <w:bookmarkStart w:id="693" w:name="_Toc5656"/>
      <w:r>
        <w:rPr>
          <w:rFonts w:hint="eastAsia" w:ascii="宋体" w:hAnsi="宋体" w:cs="宋体"/>
          <w:color w:val="auto"/>
          <w:sz w:val="32"/>
          <w:lang w:val="zh-CN"/>
        </w:rPr>
        <w:t>格式</w:t>
      </w:r>
      <w:r>
        <w:rPr>
          <w:rFonts w:hint="eastAsia" w:ascii="宋体" w:hAnsi="宋体" w:cs="宋体"/>
          <w:color w:val="auto"/>
          <w:sz w:val="32"/>
        </w:rPr>
        <w:t>18</w:t>
      </w:r>
      <w:r>
        <w:rPr>
          <w:rFonts w:hint="eastAsia" w:ascii="宋体" w:hAnsi="宋体" w:cs="宋体"/>
          <w:color w:val="auto"/>
          <w:sz w:val="32"/>
          <w:lang w:val="zh-CN"/>
        </w:rPr>
        <w:t>、</w:t>
      </w:r>
      <w:bookmarkStart w:id="694" w:name="_Toc459377894"/>
      <w:bookmarkStart w:id="695" w:name="_Toc479326333"/>
      <w:bookmarkStart w:id="696" w:name="_Toc488314153"/>
      <w:r>
        <w:rPr>
          <w:rFonts w:hint="eastAsia" w:ascii="宋体" w:hAnsi="宋体" w:cs="宋体"/>
          <w:color w:val="auto"/>
          <w:sz w:val="32"/>
          <w:lang w:val="zh-CN"/>
        </w:rPr>
        <w:t>中小微型企业声明函</w:t>
      </w:r>
      <w:bookmarkEnd w:id="688"/>
      <w:bookmarkEnd w:id="689"/>
      <w:bookmarkEnd w:id="690"/>
      <w:bookmarkEnd w:id="691"/>
      <w:bookmarkEnd w:id="692"/>
      <w:bookmarkEnd w:id="693"/>
      <w:bookmarkEnd w:id="694"/>
      <w:bookmarkEnd w:id="695"/>
      <w:bookmarkEnd w:id="696"/>
    </w:p>
    <w:p>
      <w:pPr>
        <w:spacing w:line="360" w:lineRule="auto"/>
        <w:jc w:val="left"/>
        <w:rPr>
          <w:rFonts w:eastAsia="宋体"/>
          <w:color w:val="auto"/>
        </w:rPr>
      </w:pPr>
    </w:p>
    <w:p>
      <w:pPr>
        <w:adjustRightInd w:val="0"/>
        <w:spacing w:line="360" w:lineRule="auto"/>
        <w:jc w:val="center"/>
        <w:textAlignment w:val="baseline"/>
        <w:rPr>
          <w:rFonts w:eastAsia="宋体"/>
          <w:b/>
          <w:color w:val="auto"/>
          <w:sz w:val="32"/>
          <w:szCs w:val="30"/>
        </w:rPr>
      </w:pPr>
      <w:r>
        <w:rPr>
          <w:rFonts w:hint="eastAsia" w:eastAsia="宋体"/>
          <w:b/>
          <w:color w:val="auto"/>
          <w:sz w:val="32"/>
          <w:szCs w:val="30"/>
        </w:rPr>
        <w:t>中小微型企业声明函</w:t>
      </w:r>
    </w:p>
    <w:p>
      <w:pPr>
        <w:autoSpaceDE w:val="0"/>
        <w:autoSpaceDN w:val="0"/>
        <w:spacing w:line="360" w:lineRule="auto"/>
        <w:jc w:val="left"/>
        <w:outlineLvl w:val="1"/>
        <w:rPr>
          <w:rFonts w:eastAsia="宋体"/>
          <w:b/>
          <w:bCs/>
          <w:color w:val="auto"/>
          <w:sz w:val="28"/>
          <w:szCs w:val="28"/>
          <w:lang w:val="zh-CN"/>
        </w:rPr>
      </w:pPr>
      <w:bookmarkStart w:id="697" w:name="_Toc4056"/>
      <w:bookmarkStart w:id="698" w:name="_Toc11766"/>
      <w:bookmarkStart w:id="699" w:name="_Toc11272"/>
      <w:r>
        <w:rPr>
          <w:rFonts w:hint="eastAsia" w:eastAsia="宋体"/>
          <w:b/>
          <w:bCs/>
          <w:color w:val="auto"/>
          <w:sz w:val="24"/>
          <w:szCs w:val="28"/>
          <w:lang w:val="zh-CN"/>
        </w:rPr>
        <w:t>致：</w:t>
      </w:r>
      <w:bookmarkEnd w:id="697"/>
      <w:r>
        <w:rPr>
          <w:rFonts w:hint="eastAsia" w:eastAsia="宋体"/>
          <w:b/>
          <w:bCs/>
          <w:color w:val="auto"/>
          <w:sz w:val="24"/>
          <w:szCs w:val="28"/>
          <w:lang w:val="zh-CN"/>
        </w:rPr>
        <w:t>青海中旭工程项目管理有限公司</w:t>
      </w:r>
      <w:bookmarkEnd w:id="698"/>
      <w:bookmarkEnd w:id="699"/>
    </w:p>
    <w:p>
      <w:pPr>
        <w:adjustRightInd w:val="0"/>
        <w:snapToGrid w:val="0"/>
        <w:spacing w:line="360" w:lineRule="auto"/>
        <w:ind w:left="-4" w:leftChars="-2" w:firstLine="480" w:firstLineChars="200"/>
        <w:jc w:val="left"/>
        <w:rPr>
          <w:rFonts w:eastAsia="宋体"/>
          <w:color w:val="auto"/>
          <w:sz w:val="24"/>
          <w:szCs w:val="22"/>
          <w:lang w:val="zh-CN"/>
        </w:rPr>
      </w:pPr>
    </w:p>
    <w:p>
      <w:pPr>
        <w:adjustRightInd w:val="0"/>
        <w:snapToGrid w:val="0"/>
        <w:spacing w:line="360" w:lineRule="auto"/>
        <w:ind w:left="-4" w:leftChars="-2" w:firstLine="480" w:firstLineChars="200"/>
        <w:jc w:val="left"/>
        <w:rPr>
          <w:rFonts w:eastAsia="宋体"/>
          <w:color w:val="auto"/>
          <w:sz w:val="24"/>
          <w:szCs w:val="22"/>
        </w:rPr>
      </w:pPr>
      <w:r>
        <w:rPr>
          <w:rFonts w:hint="eastAsia" w:eastAsia="宋体"/>
          <w:color w:val="auto"/>
          <w:sz w:val="24"/>
          <w:szCs w:val="22"/>
        </w:rPr>
        <w:t>本公司郑重声明，根据《政府采购促进中小企业发展管理办法》（财库〔2020〕046号）的规定，本公司为______（请填写：小型、微型）企业。即，本公司满足以下条件：《工业和信息化部、国家统计局、国家发展和改革委员会、财政部关于印发中小企业划型标准规定的通知》（工信部联企业〔2011〕300号）规定的划分标准。本公司对上述声明的真实性负责。如有虚假，将依法承担相应责任。</w:t>
      </w:r>
    </w:p>
    <w:p>
      <w:pPr>
        <w:adjustRightInd w:val="0"/>
        <w:snapToGrid w:val="0"/>
        <w:spacing w:line="360" w:lineRule="auto"/>
        <w:ind w:left="-4" w:leftChars="-2" w:firstLine="480" w:firstLineChars="200"/>
        <w:jc w:val="left"/>
        <w:rPr>
          <w:rFonts w:eastAsia="宋体"/>
          <w:color w:val="auto"/>
          <w:sz w:val="24"/>
          <w:szCs w:val="22"/>
        </w:rPr>
      </w:pPr>
      <w:r>
        <w:rPr>
          <w:rFonts w:hint="eastAsia" w:eastAsia="宋体"/>
          <w:color w:val="auto"/>
          <w:sz w:val="24"/>
          <w:szCs w:val="22"/>
        </w:rPr>
        <w:t>注：1.此函须由投标产品的制造（生产）企业提供并声明，同时附相关证明材料；</w:t>
      </w:r>
    </w:p>
    <w:p>
      <w:pPr>
        <w:adjustRightInd w:val="0"/>
        <w:snapToGrid w:val="0"/>
        <w:spacing w:line="360" w:lineRule="auto"/>
        <w:ind w:left="-4" w:leftChars="-2" w:firstLine="480" w:firstLineChars="200"/>
        <w:jc w:val="left"/>
        <w:rPr>
          <w:rFonts w:eastAsia="宋体"/>
          <w:color w:val="auto"/>
          <w:sz w:val="24"/>
          <w:szCs w:val="22"/>
        </w:rPr>
      </w:pPr>
      <w:r>
        <w:rPr>
          <w:rFonts w:hint="eastAsia" w:eastAsia="宋体"/>
          <w:color w:val="auto"/>
          <w:sz w:val="24"/>
          <w:szCs w:val="22"/>
        </w:rPr>
        <w:t>此函若出现多家制造（生产）企业的货物（产品）投标时，可按制造（生产）企业分别声明，一家制造（生产）企业填写一张。</w:t>
      </w:r>
    </w:p>
    <w:p>
      <w:pPr>
        <w:adjustRightInd w:val="0"/>
        <w:snapToGrid w:val="0"/>
        <w:spacing w:line="360" w:lineRule="auto"/>
        <w:ind w:left="-4" w:leftChars="-2" w:firstLine="480" w:firstLineChars="200"/>
        <w:jc w:val="left"/>
        <w:rPr>
          <w:rFonts w:eastAsia="宋体"/>
          <w:color w:val="auto"/>
          <w:sz w:val="24"/>
          <w:szCs w:val="22"/>
        </w:rPr>
      </w:pPr>
    </w:p>
    <w:p>
      <w:pPr>
        <w:adjustRightInd w:val="0"/>
        <w:snapToGrid w:val="0"/>
        <w:spacing w:line="360" w:lineRule="auto"/>
        <w:ind w:left="-4" w:leftChars="-2" w:firstLine="480" w:firstLineChars="200"/>
        <w:jc w:val="left"/>
        <w:rPr>
          <w:rFonts w:eastAsia="宋体"/>
          <w:color w:val="auto"/>
          <w:sz w:val="24"/>
          <w:szCs w:val="22"/>
        </w:rPr>
      </w:pPr>
      <w:r>
        <w:rPr>
          <w:rFonts w:hint="eastAsia" w:eastAsia="宋体"/>
          <w:color w:val="auto"/>
          <w:sz w:val="24"/>
          <w:szCs w:val="22"/>
        </w:rPr>
        <w:t>注：若无此项内容，可不提供此函。</w:t>
      </w:r>
    </w:p>
    <w:p>
      <w:pPr>
        <w:spacing w:line="360" w:lineRule="auto"/>
        <w:ind w:firstLine="480" w:firstLineChars="200"/>
        <w:jc w:val="left"/>
        <w:rPr>
          <w:rFonts w:eastAsia="宋体"/>
          <w:color w:val="auto"/>
          <w:sz w:val="24"/>
        </w:rPr>
      </w:pPr>
    </w:p>
    <w:p>
      <w:pPr>
        <w:spacing w:line="360" w:lineRule="auto"/>
        <w:jc w:val="left"/>
        <w:rPr>
          <w:rFonts w:eastAsia="宋体"/>
          <w:color w:val="auto"/>
          <w:sz w:val="24"/>
        </w:rPr>
      </w:pPr>
    </w:p>
    <w:p>
      <w:pPr>
        <w:spacing w:line="360" w:lineRule="auto"/>
        <w:ind w:firstLine="480" w:firstLineChars="200"/>
        <w:jc w:val="left"/>
        <w:rPr>
          <w:rFonts w:eastAsia="宋体"/>
          <w:color w:val="auto"/>
          <w:sz w:val="24"/>
        </w:rPr>
      </w:pPr>
    </w:p>
    <w:p>
      <w:pPr>
        <w:spacing w:line="360" w:lineRule="auto"/>
        <w:jc w:val="left"/>
        <w:rPr>
          <w:rFonts w:eastAsia="宋体"/>
          <w:color w:val="auto"/>
          <w:sz w:val="24"/>
        </w:rPr>
      </w:pPr>
    </w:p>
    <w:p>
      <w:pPr>
        <w:autoSpaceDE w:val="0"/>
        <w:autoSpaceDN w:val="0"/>
        <w:spacing w:line="360" w:lineRule="auto"/>
        <w:ind w:firstLine="5280" w:firstLineChars="2200"/>
        <w:jc w:val="left"/>
        <w:rPr>
          <w:rFonts w:eastAsia="宋体"/>
          <w:bCs/>
          <w:color w:val="auto"/>
          <w:sz w:val="24"/>
          <w:szCs w:val="28"/>
        </w:rPr>
      </w:pPr>
      <w:r>
        <w:rPr>
          <w:rFonts w:hint="eastAsia" w:eastAsia="宋体"/>
          <w:bCs/>
          <w:color w:val="auto"/>
          <w:sz w:val="24"/>
          <w:szCs w:val="28"/>
        </w:rPr>
        <w:t>制造（生产）企业名称：       （公章）</w:t>
      </w:r>
    </w:p>
    <w:p>
      <w:pPr>
        <w:autoSpaceDE w:val="0"/>
        <w:autoSpaceDN w:val="0"/>
        <w:spacing w:line="360" w:lineRule="auto"/>
        <w:ind w:firstLine="2400" w:firstLineChars="1000"/>
        <w:jc w:val="right"/>
        <w:rPr>
          <w:rFonts w:eastAsia="宋体"/>
          <w:bCs/>
          <w:color w:val="auto"/>
          <w:sz w:val="24"/>
          <w:szCs w:val="28"/>
        </w:rPr>
      </w:pPr>
      <w:r>
        <w:rPr>
          <w:rFonts w:hint="eastAsia" w:eastAsia="宋体"/>
          <w:bCs/>
          <w:color w:val="auto"/>
          <w:sz w:val="24"/>
          <w:szCs w:val="28"/>
        </w:rPr>
        <w:t>制造（生产）企业法定代表人：       （签字）</w:t>
      </w:r>
    </w:p>
    <w:p>
      <w:pPr>
        <w:pStyle w:val="42"/>
        <w:jc w:val="left"/>
        <w:rPr>
          <w:rFonts w:ascii="宋体" w:hAnsi="宋体" w:eastAsia="宋体" w:cs="宋体"/>
          <w:b/>
          <w:bCs/>
          <w:kern w:val="0"/>
          <w:lang w:val="zh-CN"/>
        </w:rPr>
      </w:pPr>
      <w:bookmarkStart w:id="700" w:name="_Toc500519553"/>
      <w:r>
        <w:rPr>
          <w:rFonts w:hint="eastAsia" w:ascii="宋体" w:hAnsi="宋体" w:eastAsia="宋体" w:cs="宋体"/>
          <w:sz w:val="24"/>
        </w:rPr>
        <w:t xml:space="preserve">                                                             年   月   日</w:t>
      </w:r>
      <w:bookmarkEnd w:id="700"/>
    </w:p>
    <w:p>
      <w:pPr>
        <w:adjustRightInd w:val="0"/>
        <w:snapToGrid w:val="0"/>
        <w:spacing w:line="360" w:lineRule="auto"/>
        <w:ind w:left="6090" w:hanging="6090" w:hangingChars="2900"/>
        <w:jc w:val="left"/>
        <w:outlineLvl w:val="1"/>
        <w:rPr>
          <w:rFonts w:eastAsia="宋体"/>
          <w:b/>
          <w:color w:val="auto"/>
          <w:sz w:val="32"/>
          <w:szCs w:val="22"/>
          <w:lang w:val="zh-CN"/>
        </w:rPr>
      </w:pPr>
      <w:r>
        <w:rPr>
          <w:rFonts w:hint="eastAsia" w:eastAsia="宋体"/>
          <w:color w:val="auto"/>
          <w:lang w:val="zh-CN"/>
        </w:rPr>
        <w:br w:type="page"/>
      </w:r>
      <w:bookmarkStart w:id="701" w:name="_Toc10674"/>
      <w:bookmarkStart w:id="702" w:name="_Toc12119"/>
      <w:bookmarkStart w:id="703" w:name="_Toc6782"/>
      <w:r>
        <w:rPr>
          <w:rFonts w:hint="eastAsia" w:eastAsia="宋体"/>
          <w:b/>
          <w:color w:val="auto"/>
          <w:sz w:val="32"/>
          <w:lang w:val="zh-CN"/>
        </w:rPr>
        <w:t>格式</w:t>
      </w:r>
      <w:r>
        <w:rPr>
          <w:rFonts w:hint="eastAsia" w:eastAsia="宋体"/>
          <w:b/>
          <w:color w:val="auto"/>
          <w:sz w:val="32"/>
        </w:rPr>
        <w:t>19</w:t>
      </w:r>
      <w:r>
        <w:rPr>
          <w:rFonts w:hint="eastAsia" w:eastAsia="宋体"/>
          <w:b/>
          <w:color w:val="auto"/>
          <w:sz w:val="32"/>
          <w:lang w:val="zh-CN"/>
        </w:rPr>
        <w:t>、</w:t>
      </w:r>
      <w:r>
        <w:rPr>
          <w:rFonts w:hint="eastAsia" w:eastAsia="宋体"/>
          <w:b/>
          <w:color w:val="auto"/>
          <w:sz w:val="32"/>
          <w:szCs w:val="22"/>
          <w:lang w:val="zh-CN"/>
        </w:rPr>
        <w:t>从业人员声明函</w:t>
      </w:r>
      <w:bookmarkEnd w:id="701"/>
      <w:bookmarkEnd w:id="702"/>
      <w:bookmarkEnd w:id="703"/>
    </w:p>
    <w:p>
      <w:pPr>
        <w:adjustRightInd w:val="0"/>
        <w:snapToGrid w:val="0"/>
        <w:spacing w:line="360" w:lineRule="auto"/>
        <w:ind w:left="6090" w:hanging="6090" w:hangingChars="2900"/>
        <w:jc w:val="left"/>
        <w:rPr>
          <w:rFonts w:eastAsia="宋体"/>
          <w:color w:val="auto"/>
          <w:lang w:val="zh-CN"/>
        </w:rPr>
      </w:pPr>
    </w:p>
    <w:p>
      <w:pPr>
        <w:adjustRightInd w:val="0"/>
        <w:spacing w:line="360" w:lineRule="auto"/>
        <w:jc w:val="center"/>
        <w:textAlignment w:val="baseline"/>
        <w:rPr>
          <w:rFonts w:eastAsia="宋体"/>
          <w:b/>
          <w:color w:val="auto"/>
          <w:sz w:val="32"/>
          <w:szCs w:val="30"/>
        </w:rPr>
      </w:pPr>
      <w:bookmarkStart w:id="704" w:name="_Toc12348"/>
      <w:bookmarkStart w:id="705" w:name="_Toc30806"/>
      <w:bookmarkStart w:id="706" w:name="_Toc25703"/>
      <w:r>
        <w:rPr>
          <w:rFonts w:hint="eastAsia" w:eastAsia="宋体"/>
          <w:b/>
          <w:color w:val="auto"/>
          <w:sz w:val="32"/>
          <w:szCs w:val="30"/>
        </w:rPr>
        <w:t>从业人员声明函</w:t>
      </w:r>
      <w:bookmarkEnd w:id="704"/>
      <w:bookmarkEnd w:id="705"/>
      <w:bookmarkEnd w:id="706"/>
    </w:p>
    <w:p>
      <w:pPr>
        <w:adjustRightInd w:val="0"/>
        <w:snapToGrid w:val="0"/>
        <w:spacing w:line="360" w:lineRule="auto"/>
        <w:ind w:left="6114" w:hanging="6114" w:hangingChars="2900"/>
        <w:jc w:val="left"/>
        <w:rPr>
          <w:rFonts w:eastAsia="宋体"/>
          <w:b/>
          <w:bCs/>
          <w:color w:val="auto"/>
          <w:lang w:val="zh-CN"/>
        </w:rPr>
      </w:pPr>
    </w:p>
    <w:p>
      <w:pPr>
        <w:adjustRightInd w:val="0"/>
        <w:snapToGrid w:val="0"/>
        <w:spacing w:line="360" w:lineRule="auto"/>
        <w:ind w:left="6987" w:hanging="6987" w:hangingChars="2900"/>
        <w:jc w:val="left"/>
        <w:rPr>
          <w:rFonts w:eastAsia="宋体"/>
          <w:color w:val="auto"/>
          <w:sz w:val="24"/>
          <w:szCs w:val="24"/>
        </w:rPr>
      </w:pPr>
      <w:r>
        <w:rPr>
          <w:rFonts w:hint="eastAsia" w:eastAsia="宋体"/>
          <w:b/>
          <w:bCs/>
          <w:color w:val="auto"/>
          <w:sz w:val="24"/>
          <w:szCs w:val="24"/>
          <w:lang w:val="zh-CN"/>
        </w:rPr>
        <w:t>致：青海中旭工程项目管理有限公司</w:t>
      </w:r>
    </w:p>
    <w:p>
      <w:pPr>
        <w:adjustRightInd w:val="0"/>
        <w:snapToGrid w:val="0"/>
        <w:spacing w:line="360" w:lineRule="auto"/>
        <w:ind w:left="-4" w:leftChars="-2" w:firstLine="480" w:firstLineChars="200"/>
        <w:jc w:val="left"/>
        <w:rPr>
          <w:rFonts w:eastAsia="宋体"/>
          <w:color w:val="auto"/>
          <w:sz w:val="24"/>
        </w:rPr>
      </w:pPr>
      <w:r>
        <w:rPr>
          <w:rFonts w:hint="eastAsia" w:eastAsia="宋体"/>
          <w:color w:val="auto"/>
          <w:sz w:val="24"/>
        </w:rPr>
        <w:t>本公司郑重声明：根据《政府采购促进中小企业发展管理办法》（财库[2020]46号）、《工业和信息部、国家统计局、国家发展和改革委员会、财政部关于印发中小企业划型标准规定的通知》（工信部联企业[2011]300 号）规定，本公司从业人员数为人。</w:t>
      </w:r>
    </w:p>
    <w:p>
      <w:pPr>
        <w:adjustRightInd w:val="0"/>
        <w:snapToGrid w:val="0"/>
        <w:spacing w:line="360" w:lineRule="auto"/>
        <w:ind w:left="-2" w:leftChars="-1" w:firstLine="480" w:firstLineChars="200"/>
        <w:jc w:val="left"/>
        <w:rPr>
          <w:rFonts w:eastAsia="宋体"/>
          <w:color w:val="auto"/>
          <w:sz w:val="24"/>
        </w:rPr>
      </w:pPr>
      <w:r>
        <w:rPr>
          <w:rFonts w:hint="eastAsia" w:eastAsia="宋体"/>
          <w:color w:val="auto"/>
          <w:sz w:val="24"/>
        </w:rPr>
        <w:t>本公司对上述声明的真实性负责，如有虚假，将依法承担相应责任。</w:t>
      </w:r>
    </w:p>
    <w:p>
      <w:pPr>
        <w:autoSpaceDE w:val="0"/>
        <w:autoSpaceDN w:val="0"/>
        <w:spacing w:line="360" w:lineRule="auto"/>
        <w:jc w:val="left"/>
        <w:rPr>
          <w:rFonts w:eastAsia="宋体"/>
          <w:b/>
          <w:bCs/>
          <w:color w:val="auto"/>
          <w:sz w:val="24"/>
          <w:lang w:val="zh-CN"/>
        </w:rPr>
      </w:pPr>
    </w:p>
    <w:p>
      <w:pPr>
        <w:autoSpaceDE w:val="0"/>
        <w:autoSpaceDN w:val="0"/>
        <w:spacing w:line="360" w:lineRule="auto"/>
        <w:jc w:val="left"/>
        <w:rPr>
          <w:rFonts w:eastAsia="宋体"/>
          <w:b/>
          <w:bCs/>
          <w:color w:val="auto"/>
          <w:lang w:val="zh-CN"/>
        </w:rPr>
      </w:pPr>
    </w:p>
    <w:p>
      <w:pPr>
        <w:autoSpaceDE w:val="0"/>
        <w:autoSpaceDN w:val="0"/>
        <w:spacing w:line="360" w:lineRule="auto"/>
        <w:jc w:val="left"/>
        <w:rPr>
          <w:rFonts w:eastAsia="宋体"/>
          <w:b/>
          <w:bCs/>
          <w:color w:val="auto"/>
          <w:lang w:val="zh-CN"/>
        </w:rPr>
      </w:pPr>
    </w:p>
    <w:p>
      <w:pPr>
        <w:autoSpaceDE w:val="0"/>
        <w:autoSpaceDN w:val="0"/>
        <w:spacing w:line="360" w:lineRule="auto"/>
        <w:jc w:val="left"/>
        <w:rPr>
          <w:rFonts w:eastAsia="宋体"/>
          <w:b/>
          <w:bCs/>
          <w:color w:val="auto"/>
          <w:lang w:val="zh-CN"/>
        </w:rPr>
      </w:pPr>
    </w:p>
    <w:p>
      <w:pPr>
        <w:autoSpaceDE w:val="0"/>
        <w:autoSpaceDN w:val="0"/>
        <w:spacing w:line="360" w:lineRule="auto"/>
        <w:jc w:val="left"/>
        <w:rPr>
          <w:rFonts w:eastAsia="宋体"/>
          <w:b/>
          <w:bCs/>
          <w:color w:val="auto"/>
          <w:lang w:val="zh-CN"/>
        </w:rPr>
      </w:pPr>
    </w:p>
    <w:p>
      <w:pPr>
        <w:autoSpaceDE w:val="0"/>
        <w:autoSpaceDN w:val="0"/>
        <w:spacing w:line="360" w:lineRule="auto"/>
        <w:jc w:val="left"/>
        <w:rPr>
          <w:rFonts w:eastAsia="宋体"/>
          <w:b/>
          <w:bCs/>
          <w:color w:val="auto"/>
          <w:lang w:val="zh-CN"/>
        </w:rPr>
      </w:pPr>
    </w:p>
    <w:p>
      <w:pPr>
        <w:autoSpaceDE w:val="0"/>
        <w:autoSpaceDN w:val="0"/>
        <w:spacing w:line="360" w:lineRule="auto"/>
        <w:jc w:val="left"/>
        <w:rPr>
          <w:rFonts w:eastAsia="宋体"/>
          <w:b/>
          <w:bCs/>
          <w:color w:val="auto"/>
          <w:lang w:val="zh-CN"/>
        </w:rPr>
      </w:pPr>
    </w:p>
    <w:p>
      <w:pPr>
        <w:autoSpaceDE w:val="0"/>
        <w:autoSpaceDN w:val="0"/>
        <w:spacing w:line="360" w:lineRule="auto"/>
        <w:jc w:val="left"/>
        <w:rPr>
          <w:rFonts w:eastAsia="宋体"/>
          <w:b/>
          <w:bCs/>
          <w:color w:val="auto"/>
          <w:lang w:val="zh-CN"/>
        </w:rPr>
      </w:pPr>
    </w:p>
    <w:p>
      <w:pPr>
        <w:autoSpaceDE w:val="0"/>
        <w:autoSpaceDN w:val="0"/>
        <w:spacing w:line="360" w:lineRule="auto"/>
        <w:jc w:val="left"/>
        <w:rPr>
          <w:rFonts w:eastAsia="宋体"/>
          <w:b/>
          <w:bCs/>
          <w:color w:val="auto"/>
          <w:lang w:val="zh-CN"/>
        </w:rPr>
      </w:pPr>
    </w:p>
    <w:p>
      <w:pPr>
        <w:autoSpaceDE w:val="0"/>
        <w:autoSpaceDN w:val="0"/>
        <w:spacing w:line="360" w:lineRule="auto"/>
        <w:jc w:val="left"/>
        <w:rPr>
          <w:rFonts w:eastAsia="宋体"/>
          <w:b/>
          <w:bCs/>
          <w:color w:val="auto"/>
          <w:lang w:val="zh-CN"/>
        </w:rPr>
      </w:pPr>
    </w:p>
    <w:p>
      <w:pPr>
        <w:autoSpaceDE w:val="0"/>
        <w:autoSpaceDN w:val="0"/>
        <w:spacing w:line="360" w:lineRule="auto"/>
        <w:jc w:val="left"/>
        <w:rPr>
          <w:rFonts w:eastAsia="宋体"/>
          <w:b/>
          <w:bCs/>
          <w:color w:val="auto"/>
          <w:lang w:val="zh-CN"/>
        </w:rPr>
      </w:pPr>
    </w:p>
    <w:p>
      <w:pPr>
        <w:autoSpaceDE w:val="0"/>
        <w:autoSpaceDN w:val="0"/>
        <w:spacing w:line="360" w:lineRule="auto"/>
        <w:ind w:firstLine="5280" w:firstLineChars="2200"/>
        <w:jc w:val="left"/>
        <w:rPr>
          <w:rFonts w:eastAsia="宋体"/>
          <w:bCs/>
          <w:color w:val="auto"/>
          <w:sz w:val="24"/>
          <w:szCs w:val="28"/>
        </w:rPr>
      </w:pPr>
      <w:r>
        <w:rPr>
          <w:rFonts w:hint="eastAsia" w:eastAsia="宋体"/>
          <w:bCs/>
          <w:color w:val="auto"/>
          <w:sz w:val="24"/>
          <w:szCs w:val="28"/>
        </w:rPr>
        <w:t>制造（生产）企业名称：       （公章）</w:t>
      </w:r>
    </w:p>
    <w:p>
      <w:pPr>
        <w:autoSpaceDE w:val="0"/>
        <w:autoSpaceDN w:val="0"/>
        <w:spacing w:line="360" w:lineRule="auto"/>
        <w:jc w:val="right"/>
        <w:rPr>
          <w:rFonts w:eastAsia="宋体"/>
          <w:bCs/>
          <w:color w:val="auto"/>
          <w:sz w:val="24"/>
          <w:szCs w:val="28"/>
        </w:rPr>
      </w:pPr>
      <w:r>
        <w:rPr>
          <w:rFonts w:hint="eastAsia" w:eastAsia="宋体"/>
          <w:bCs/>
          <w:color w:val="auto"/>
          <w:sz w:val="24"/>
          <w:szCs w:val="28"/>
        </w:rPr>
        <w:t>制造（生产）企业法定代表人：       （签字）</w:t>
      </w:r>
    </w:p>
    <w:p>
      <w:pPr>
        <w:autoSpaceDE w:val="0"/>
        <w:autoSpaceDN w:val="0"/>
        <w:spacing w:line="360" w:lineRule="auto"/>
        <w:ind w:firstLine="6240" w:firstLineChars="2600"/>
        <w:jc w:val="left"/>
        <w:rPr>
          <w:rFonts w:eastAsia="宋体"/>
          <w:bCs/>
          <w:color w:val="auto"/>
          <w:sz w:val="24"/>
          <w:szCs w:val="28"/>
        </w:rPr>
      </w:pPr>
      <w:r>
        <w:rPr>
          <w:rFonts w:hint="eastAsia" w:eastAsia="宋体"/>
          <w:bCs/>
          <w:color w:val="auto"/>
          <w:sz w:val="24"/>
          <w:szCs w:val="28"/>
        </w:rPr>
        <w:t>日期：          年   月   日</w:t>
      </w:r>
    </w:p>
    <w:p>
      <w:pPr>
        <w:spacing w:line="360" w:lineRule="auto"/>
        <w:jc w:val="left"/>
        <w:rPr>
          <w:rFonts w:eastAsia="宋体"/>
          <w:color w:val="auto"/>
          <w:lang w:val="zh-CN"/>
        </w:rPr>
      </w:pPr>
    </w:p>
    <w:p>
      <w:pPr>
        <w:pStyle w:val="4"/>
        <w:numPr>
          <w:ilvl w:val="0"/>
          <w:numId w:val="0"/>
        </w:numPr>
        <w:spacing w:line="360" w:lineRule="auto"/>
        <w:ind w:left="709" w:hanging="709"/>
        <w:jc w:val="left"/>
        <w:rPr>
          <w:rFonts w:eastAsia="宋体" w:cs="宋体"/>
          <w:b/>
          <w:color w:val="auto"/>
          <w:sz w:val="32"/>
          <w:lang w:val="zh-CN"/>
        </w:rPr>
      </w:pPr>
      <w:r>
        <w:rPr>
          <w:rFonts w:hint="eastAsia" w:eastAsia="宋体" w:cs="宋体"/>
          <w:bCs/>
          <w:color w:val="auto"/>
          <w:sz w:val="24"/>
          <w:szCs w:val="28"/>
        </w:rPr>
        <w:br w:type="page"/>
      </w:r>
      <w:bookmarkStart w:id="707" w:name="_Toc11027"/>
      <w:bookmarkStart w:id="708" w:name="_Toc19617"/>
      <w:bookmarkStart w:id="709" w:name="_Toc29884"/>
      <w:bookmarkStart w:id="710" w:name="_Toc23394"/>
      <w:bookmarkStart w:id="711" w:name="_Toc18318"/>
      <w:bookmarkStart w:id="712" w:name="_Toc15645"/>
      <w:bookmarkStart w:id="713" w:name="OLE_LINK14"/>
      <w:bookmarkStart w:id="714" w:name="OLE_LINK13"/>
      <w:bookmarkStart w:id="715" w:name="_Toc31287"/>
      <w:r>
        <w:rPr>
          <w:rFonts w:hint="eastAsia" w:eastAsia="宋体" w:cs="宋体"/>
          <w:b/>
          <w:color w:val="auto"/>
          <w:sz w:val="32"/>
          <w:lang w:val="zh-CN"/>
        </w:rPr>
        <w:t>格式</w:t>
      </w:r>
      <w:r>
        <w:rPr>
          <w:rFonts w:hint="eastAsia" w:eastAsia="宋体" w:cs="宋体"/>
          <w:b/>
          <w:color w:val="auto"/>
          <w:sz w:val="32"/>
        </w:rPr>
        <w:t>20</w:t>
      </w:r>
      <w:r>
        <w:rPr>
          <w:rFonts w:hint="eastAsia" w:eastAsia="宋体" w:cs="宋体"/>
          <w:b/>
          <w:color w:val="auto"/>
          <w:sz w:val="32"/>
          <w:lang w:val="zh-CN"/>
        </w:rPr>
        <w:t>、残疾人福利性单位声明函</w:t>
      </w:r>
      <w:bookmarkEnd w:id="707"/>
      <w:bookmarkEnd w:id="708"/>
      <w:bookmarkEnd w:id="709"/>
      <w:bookmarkEnd w:id="710"/>
      <w:bookmarkEnd w:id="711"/>
      <w:bookmarkEnd w:id="712"/>
    </w:p>
    <w:p>
      <w:pPr>
        <w:spacing w:line="360" w:lineRule="auto"/>
        <w:jc w:val="left"/>
        <w:rPr>
          <w:rFonts w:eastAsia="宋体"/>
          <w:color w:val="auto"/>
          <w:lang w:val="zh-CN"/>
        </w:rPr>
      </w:pPr>
    </w:p>
    <w:p>
      <w:pPr>
        <w:adjustRightInd w:val="0"/>
        <w:spacing w:line="360" w:lineRule="auto"/>
        <w:jc w:val="center"/>
        <w:textAlignment w:val="baseline"/>
        <w:rPr>
          <w:rFonts w:eastAsia="宋体"/>
          <w:b/>
          <w:color w:val="auto"/>
          <w:sz w:val="32"/>
          <w:szCs w:val="30"/>
        </w:rPr>
      </w:pPr>
      <w:bookmarkStart w:id="716" w:name="_Toc19778"/>
      <w:bookmarkStart w:id="717" w:name="_Toc21665"/>
      <w:bookmarkStart w:id="718" w:name="_Toc7837"/>
      <w:r>
        <w:rPr>
          <w:rFonts w:hint="eastAsia" w:eastAsia="宋体"/>
          <w:b/>
          <w:color w:val="auto"/>
          <w:sz w:val="32"/>
          <w:szCs w:val="30"/>
        </w:rPr>
        <w:t>残疾人福利性单位声明函</w:t>
      </w:r>
      <w:bookmarkEnd w:id="716"/>
      <w:bookmarkEnd w:id="717"/>
      <w:bookmarkEnd w:id="718"/>
    </w:p>
    <w:bookmarkEnd w:id="713"/>
    <w:bookmarkEnd w:id="714"/>
    <w:p>
      <w:pPr>
        <w:spacing w:after="120" w:afterLines="50" w:line="360" w:lineRule="auto"/>
        <w:jc w:val="left"/>
        <w:rPr>
          <w:rFonts w:eastAsia="宋体"/>
          <w:bCs/>
          <w:color w:val="auto"/>
        </w:rPr>
      </w:pPr>
    </w:p>
    <w:p>
      <w:pPr>
        <w:adjustRightInd w:val="0"/>
        <w:snapToGrid w:val="0"/>
        <w:spacing w:line="360" w:lineRule="auto"/>
        <w:ind w:left="6987" w:hanging="6987" w:hangingChars="2900"/>
        <w:jc w:val="left"/>
        <w:outlineLvl w:val="1"/>
        <w:rPr>
          <w:rFonts w:eastAsia="宋体"/>
          <w:b/>
          <w:bCs/>
          <w:color w:val="auto"/>
          <w:sz w:val="24"/>
          <w:lang w:val="zh-CN"/>
        </w:rPr>
      </w:pPr>
      <w:bookmarkStart w:id="719" w:name="_Toc19046"/>
      <w:bookmarkStart w:id="720" w:name="_Toc19486"/>
      <w:bookmarkStart w:id="721" w:name="_Toc22573"/>
      <w:r>
        <w:rPr>
          <w:rFonts w:hint="eastAsia" w:eastAsia="宋体"/>
          <w:b/>
          <w:bCs/>
          <w:color w:val="auto"/>
          <w:sz w:val="24"/>
          <w:lang w:val="zh-CN"/>
        </w:rPr>
        <w:t>致：</w:t>
      </w:r>
      <w:bookmarkEnd w:id="719"/>
      <w:r>
        <w:rPr>
          <w:rFonts w:hint="eastAsia" w:eastAsia="宋体"/>
          <w:b/>
          <w:bCs/>
          <w:color w:val="auto"/>
          <w:sz w:val="24"/>
          <w:lang w:val="zh-CN"/>
        </w:rPr>
        <w:t>青海中旭工程项目管理有限公司</w:t>
      </w:r>
      <w:bookmarkEnd w:id="720"/>
      <w:bookmarkEnd w:id="721"/>
    </w:p>
    <w:p>
      <w:pPr>
        <w:spacing w:line="360" w:lineRule="auto"/>
        <w:ind w:firstLine="480"/>
        <w:jc w:val="left"/>
        <w:rPr>
          <w:rFonts w:eastAsia="宋体"/>
          <w:color w:val="auto"/>
        </w:rPr>
      </w:pPr>
    </w:p>
    <w:p>
      <w:pPr>
        <w:adjustRightInd w:val="0"/>
        <w:snapToGrid w:val="0"/>
        <w:spacing w:line="360" w:lineRule="auto"/>
        <w:ind w:left="-4" w:leftChars="-2" w:firstLine="480" w:firstLineChars="200"/>
        <w:jc w:val="left"/>
        <w:rPr>
          <w:rFonts w:eastAsia="宋体"/>
          <w:color w:val="auto"/>
          <w:sz w:val="24"/>
        </w:rPr>
      </w:pPr>
      <w:r>
        <w:rPr>
          <w:rFonts w:hint="eastAsia" w:eastAsia="宋体"/>
          <w:color w:val="auto"/>
          <w:sz w:val="24"/>
        </w:rPr>
        <w:t>本单位郑重声明，根据《财政部、民政部、中国残疾人联合会关于促进残疾人就业政府采购政策的通知》（财库〔2017〕141号）的规定，本单位为符合条件的残疾人福利性单位，本单位在职职工人数为 人，安置的残疾人人数人。且本单位参加______单位的______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left="-4" w:leftChars="-2" w:firstLine="480" w:firstLineChars="200"/>
        <w:jc w:val="left"/>
        <w:rPr>
          <w:rFonts w:eastAsia="宋体"/>
          <w:color w:val="auto"/>
          <w:sz w:val="24"/>
        </w:rPr>
      </w:pPr>
      <w:r>
        <w:rPr>
          <w:rFonts w:hint="eastAsia" w:eastAsia="宋体"/>
          <w:color w:val="auto"/>
          <w:sz w:val="24"/>
        </w:rPr>
        <w:t>本单位对上述声明的真实性负责。如有虚假，将依法承担相应责任。</w:t>
      </w:r>
    </w:p>
    <w:p>
      <w:pPr>
        <w:adjustRightInd w:val="0"/>
        <w:snapToGrid w:val="0"/>
        <w:spacing w:line="360" w:lineRule="auto"/>
        <w:ind w:left="-4" w:leftChars="-2" w:firstLine="480" w:firstLineChars="200"/>
        <w:jc w:val="left"/>
        <w:rPr>
          <w:rFonts w:eastAsia="宋体"/>
          <w:color w:val="auto"/>
          <w:sz w:val="24"/>
        </w:rPr>
      </w:pPr>
    </w:p>
    <w:p>
      <w:pPr>
        <w:adjustRightInd w:val="0"/>
        <w:snapToGrid w:val="0"/>
        <w:spacing w:line="360" w:lineRule="auto"/>
        <w:ind w:left="-4" w:leftChars="-2" w:firstLine="480" w:firstLineChars="200"/>
        <w:jc w:val="left"/>
        <w:rPr>
          <w:rFonts w:eastAsia="宋体"/>
          <w:color w:val="auto"/>
          <w:sz w:val="24"/>
        </w:rPr>
      </w:pPr>
      <w:r>
        <w:rPr>
          <w:rFonts w:hint="eastAsia" w:eastAsia="宋体"/>
          <w:color w:val="auto"/>
          <w:sz w:val="24"/>
        </w:rPr>
        <w:t>注：若无此项内容，可不提供此函。</w:t>
      </w:r>
    </w:p>
    <w:p>
      <w:pPr>
        <w:spacing w:line="360" w:lineRule="auto"/>
        <w:ind w:firstLine="480"/>
        <w:jc w:val="left"/>
        <w:rPr>
          <w:rFonts w:eastAsia="宋体"/>
          <w:color w:val="auto"/>
        </w:rPr>
      </w:pPr>
    </w:p>
    <w:p>
      <w:pPr>
        <w:spacing w:line="360" w:lineRule="auto"/>
        <w:ind w:firstLine="480"/>
        <w:jc w:val="left"/>
        <w:rPr>
          <w:rFonts w:eastAsia="宋体"/>
          <w:color w:val="auto"/>
        </w:rPr>
      </w:pPr>
    </w:p>
    <w:p>
      <w:pPr>
        <w:spacing w:line="360" w:lineRule="auto"/>
        <w:ind w:firstLine="480"/>
        <w:jc w:val="left"/>
        <w:rPr>
          <w:rFonts w:eastAsia="宋体"/>
          <w:color w:val="auto"/>
        </w:rPr>
      </w:pPr>
    </w:p>
    <w:p>
      <w:pPr>
        <w:spacing w:line="360" w:lineRule="auto"/>
        <w:ind w:firstLine="480"/>
        <w:jc w:val="left"/>
        <w:rPr>
          <w:rFonts w:eastAsia="宋体"/>
          <w:color w:val="auto"/>
        </w:rPr>
      </w:pPr>
    </w:p>
    <w:p>
      <w:pPr>
        <w:spacing w:line="360" w:lineRule="auto"/>
        <w:ind w:firstLine="480"/>
        <w:jc w:val="left"/>
        <w:rPr>
          <w:rFonts w:eastAsia="宋体"/>
          <w:color w:val="auto"/>
        </w:rPr>
      </w:pPr>
    </w:p>
    <w:p>
      <w:pPr>
        <w:spacing w:line="360" w:lineRule="auto"/>
        <w:ind w:firstLine="480"/>
        <w:jc w:val="left"/>
        <w:rPr>
          <w:rFonts w:eastAsia="宋体"/>
          <w:color w:val="auto"/>
        </w:rPr>
      </w:pPr>
    </w:p>
    <w:p>
      <w:pPr>
        <w:spacing w:line="360" w:lineRule="auto"/>
        <w:ind w:firstLine="480"/>
        <w:jc w:val="left"/>
        <w:rPr>
          <w:rFonts w:eastAsia="宋体"/>
          <w:color w:val="auto"/>
        </w:rPr>
      </w:pPr>
    </w:p>
    <w:p>
      <w:pPr>
        <w:spacing w:line="360" w:lineRule="auto"/>
        <w:ind w:firstLine="6000" w:firstLineChars="2500"/>
        <w:jc w:val="left"/>
        <w:rPr>
          <w:rFonts w:eastAsia="宋体"/>
          <w:bCs/>
          <w:color w:val="auto"/>
          <w:sz w:val="24"/>
          <w:szCs w:val="28"/>
        </w:rPr>
      </w:pPr>
      <w:r>
        <w:rPr>
          <w:rFonts w:hint="eastAsia" w:eastAsia="宋体"/>
          <w:bCs/>
          <w:color w:val="auto"/>
          <w:sz w:val="24"/>
          <w:szCs w:val="28"/>
        </w:rPr>
        <w:t>企业名称：       （公章）</w:t>
      </w:r>
    </w:p>
    <w:p>
      <w:pPr>
        <w:spacing w:line="360" w:lineRule="auto"/>
        <w:ind w:firstLine="482"/>
        <w:jc w:val="right"/>
        <w:rPr>
          <w:rFonts w:eastAsia="宋体"/>
          <w:bCs/>
          <w:color w:val="auto"/>
          <w:sz w:val="24"/>
          <w:szCs w:val="28"/>
        </w:rPr>
      </w:pPr>
      <w:r>
        <w:rPr>
          <w:rFonts w:hint="eastAsia" w:eastAsia="宋体"/>
          <w:bCs/>
          <w:color w:val="auto"/>
          <w:sz w:val="24"/>
          <w:szCs w:val="28"/>
        </w:rPr>
        <w:t xml:space="preserve">       企业法定代表人：       （签字或盖章）</w:t>
      </w:r>
    </w:p>
    <w:p>
      <w:pPr>
        <w:autoSpaceDE w:val="0"/>
        <w:autoSpaceDN w:val="0"/>
        <w:spacing w:line="360" w:lineRule="auto"/>
        <w:jc w:val="left"/>
        <w:rPr>
          <w:rFonts w:eastAsia="宋体"/>
          <w:bCs/>
          <w:color w:val="auto"/>
          <w:sz w:val="24"/>
          <w:szCs w:val="28"/>
        </w:rPr>
      </w:pPr>
      <w:r>
        <w:rPr>
          <w:rFonts w:hint="eastAsia" w:eastAsia="宋体"/>
          <w:bCs/>
          <w:color w:val="auto"/>
          <w:sz w:val="24"/>
          <w:szCs w:val="28"/>
        </w:rPr>
        <w:t xml:space="preserve">                                                         年   月  日</w:t>
      </w:r>
    </w:p>
    <w:p>
      <w:pPr>
        <w:pStyle w:val="4"/>
        <w:numPr>
          <w:ilvl w:val="0"/>
          <w:numId w:val="0"/>
        </w:numPr>
        <w:spacing w:line="360" w:lineRule="auto"/>
        <w:ind w:left="709" w:hanging="709"/>
        <w:jc w:val="left"/>
        <w:rPr>
          <w:rFonts w:eastAsia="宋体" w:cs="宋体"/>
          <w:b/>
          <w:color w:val="auto"/>
          <w:sz w:val="32"/>
          <w:lang w:val="zh-CN"/>
        </w:rPr>
      </w:pPr>
    </w:p>
    <w:p>
      <w:pPr>
        <w:pStyle w:val="4"/>
        <w:numPr>
          <w:ilvl w:val="0"/>
          <w:numId w:val="0"/>
        </w:numPr>
        <w:spacing w:line="360" w:lineRule="auto"/>
        <w:ind w:left="709" w:hanging="709"/>
        <w:jc w:val="left"/>
        <w:rPr>
          <w:rFonts w:eastAsia="宋体" w:cs="宋体"/>
          <w:b/>
          <w:color w:val="auto"/>
          <w:sz w:val="32"/>
          <w:lang w:val="zh-CN"/>
        </w:rPr>
      </w:pPr>
    </w:p>
    <w:p>
      <w:pPr>
        <w:pStyle w:val="4"/>
        <w:numPr>
          <w:ilvl w:val="0"/>
          <w:numId w:val="0"/>
        </w:numPr>
        <w:spacing w:line="360" w:lineRule="auto"/>
        <w:ind w:left="709" w:hanging="709"/>
        <w:jc w:val="left"/>
        <w:rPr>
          <w:rFonts w:eastAsia="宋体" w:cs="宋体"/>
          <w:b/>
          <w:color w:val="auto"/>
          <w:sz w:val="32"/>
          <w:lang w:val="zh-CN"/>
        </w:rPr>
      </w:pPr>
    </w:p>
    <w:p>
      <w:pPr>
        <w:pStyle w:val="4"/>
        <w:numPr>
          <w:ilvl w:val="0"/>
          <w:numId w:val="0"/>
        </w:numPr>
        <w:spacing w:line="360" w:lineRule="auto"/>
        <w:jc w:val="left"/>
        <w:rPr>
          <w:rFonts w:eastAsia="宋体" w:cs="宋体"/>
          <w:b/>
          <w:color w:val="auto"/>
          <w:sz w:val="32"/>
          <w:lang w:val="zh-CN"/>
        </w:rPr>
      </w:pPr>
      <w:bookmarkStart w:id="722" w:name="_Toc20824"/>
      <w:bookmarkStart w:id="723" w:name="_Toc31467"/>
      <w:bookmarkStart w:id="724" w:name="_Toc23583"/>
      <w:bookmarkStart w:id="725" w:name="_Toc15458"/>
      <w:bookmarkStart w:id="726" w:name="_Toc4148"/>
      <w:r>
        <w:rPr>
          <w:rFonts w:hint="eastAsia" w:eastAsia="宋体" w:cs="宋体"/>
          <w:b/>
          <w:color w:val="auto"/>
          <w:sz w:val="32"/>
          <w:lang w:val="zh-CN"/>
        </w:rPr>
        <w:br w:type="page"/>
      </w:r>
      <w:bookmarkStart w:id="727" w:name="_Toc1879"/>
      <w:r>
        <w:rPr>
          <w:rFonts w:hint="eastAsia" w:eastAsia="宋体" w:cs="宋体"/>
          <w:b/>
          <w:color w:val="auto"/>
          <w:sz w:val="32"/>
          <w:lang w:val="zh-CN"/>
        </w:rPr>
        <w:t>格式</w:t>
      </w:r>
      <w:r>
        <w:rPr>
          <w:rFonts w:hint="eastAsia" w:eastAsia="宋体" w:cs="宋体"/>
          <w:b/>
          <w:color w:val="auto"/>
          <w:sz w:val="32"/>
        </w:rPr>
        <w:t>21</w:t>
      </w:r>
      <w:r>
        <w:rPr>
          <w:rFonts w:hint="eastAsia" w:eastAsia="宋体" w:cs="宋体"/>
          <w:b/>
          <w:color w:val="auto"/>
          <w:sz w:val="32"/>
          <w:lang w:val="zh-CN"/>
        </w:rPr>
        <w:t>、磋商供应商认为在其他方面有必要说明的事项</w:t>
      </w:r>
      <w:bookmarkEnd w:id="715"/>
      <w:bookmarkEnd w:id="722"/>
      <w:bookmarkEnd w:id="723"/>
      <w:bookmarkEnd w:id="724"/>
      <w:bookmarkEnd w:id="725"/>
      <w:bookmarkEnd w:id="726"/>
      <w:bookmarkEnd w:id="727"/>
    </w:p>
    <w:p>
      <w:pPr>
        <w:autoSpaceDE w:val="0"/>
        <w:autoSpaceDN w:val="0"/>
        <w:adjustRightInd w:val="0"/>
        <w:spacing w:line="360" w:lineRule="auto"/>
        <w:jc w:val="left"/>
        <w:rPr>
          <w:rFonts w:eastAsia="宋体"/>
          <w:color w:val="auto"/>
          <w:sz w:val="24"/>
          <w:lang w:val="zh-CN"/>
        </w:rPr>
      </w:pPr>
    </w:p>
    <w:p>
      <w:pPr>
        <w:adjustRightInd w:val="0"/>
        <w:spacing w:line="360" w:lineRule="auto"/>
        <w:jc w:val="center"/>
        <w:textAlignment w:val="baseline"/>
        <w:rPr>
          <w:rFonts w:eastAsia="宋体"/>
          <w:b/>
          <w:color w:val="auto"/>
          <w:sz w:val="32"/>
          <w:szCs w:val="30"/>
        </w:rPr>
      </w:pPr>
      <w:r>
        <w:rPr>
          <w:rFonts w:hint="eastAsia" w:eastAsia="宋体"/>
          <w:b/>
          <w:color w:val="auto"/>
          <w:sz w:val="32"/>
          <w:szCs w:val="30"/>
        </w:rPr>
        <w:t>磋商供应商认为在其他方面有必要说明的事项</w:t>
      </w:r>
    </w:p>
    <w:p>
      <w:pPr>
        <w:autoSpaceDE w:val="0"/>
        <w:autoSpaceDN w:val="0"/>
        <w:spacing w:line="360" w:lineRule="auto"/>
        <w:ind w:firstLine="3960" w:firstLineChars="1650"/>
        <w:jc w:val="left"/>
        <w:rPr>
          <w:rFonts w:eastAsia="宋体"/>
          <w:color w:val="auto"/>
          <w:sz w:val="24"/>
          <w:lang w:val="zh-CN"/>
        </w:rPr>
      </w:pPr>
      <w:r>
        <w:rPr>
          <w:rFonts w:hint="eastAsia" w:eastAsia="宋体"/>
          <w:color w:val="auto"/>
          <w:sz w:val="24"/>
          <w:lang w:val="zh-CN"/>
        </w:rPr>
        <w:t>（格式可自定）</w:t>
      </w:r>
    </w:p>
    <w:p>
      <w:pPr>
        <w:pStyle w:val="4"/>
        <w:numPr>
          <w:ilvl w:val="0"/>
          <w:numId w:val="0"/>
        </w:numPr>
        <w:spacing w:line="360" w:lineRule="auto"/>
        <w:ind w:left="709" w:hanging="709"/>
        <w:jc w:val="left"/>
        <w:rPr>
          <w:rFonts w:eastAsia="宋体" w:cs="宋体"/>
          <w:b/>
          <w:color w:val="auto"/>
          <w:sz w:val="32"/>
          <w:szCs w:val="32"/>
        </w:rPr>
      </w:pPr>
      <w:r>
        <w:rPr>
          <w:rFonts w:hint="eastAsia" w:eastAsia="宋体" w:cs="宋体"/>
          <w:bCs/>
          <w:color w:val="auto"/>
          <w:sz w:val="24"/>
          <w:szCs w:val="28"/>
        </w:rPr>
        <w:br w:type="page"/>
      </w:r>
      <w:bookmarkStart w:id="728" w:name="_Toc5604"/>
      <w:bookmarkStart w:id="729" w:name="_Toc14132"/>
      <w:bookmarkStart w:id="730" w:name="_Toc314"/>
      <w:bookmarkStart w:id="731" w:name="_Toc30170"/>
      <w:bookmarkStart w:id="732" w:name="_Toc1240"/>
      <w:bookmarkStart w:id="733" w:name="_Toc1685"/>
      <w:r>
        <w:rPr>
          <w:rFonts w:hint="eastAsia" w:eastAsia="宋体" w:cs="宋体"/>
          <w:b/>
          <w:color w:val="auto"/>
          <w:sz w:val="32"/>
          <w:szCs w:val="32"/>
          <w:lang w:val="zh-CN"/>
        </w:rPr>
        <w:t>磋商最终报价表</w:t>
      </w:r>
      <w:r>
        <w:rPr>
          <w:rFonts w:hint="eastAsia" w:eastAsia="宋体" w:cs="宋体"/>
          <w:b/>
          <w:color w:val="auto"/>
          <w:sz w:val="32"/>
          <w:szCs w:val="32"/>
        </w:rPr>
        <w:t>（单独提交）</w:t>
      </w:r>
      <w:bookmarkEnd w:id="728"/>
      <w:bookmarkEnd w:id="729"/>
      <w:bookmarkEnd w:id="730"/>
      <w:bookmarkEnd w:id="731"/>
      <w:bookmarkEnd w:id="732"/>
      <w:bookmarkEnd w:id="733"/>
    </w:p>
    <w:p>
      <w:pPr>
        <w:spacing w:line="360" w:lineRule="auto"/>
        <w:jc w:val="left"/>
        <w:rPr>
          <w:rFonts w:eastAsia="宋体"/>
          <w:color w:val="auto"/>
          <w:lang w:val="zh-CN"/>
        </w:rPr>
      </w:pPr>
    </w:p>
    <w:p>
      <w:pPr>
        <w:adjustRightInd w:val="0"/>
        <w:spacing w:line="360" w:lineRule="auto"/>
        <w:jc w:val="center"/>
        <w:textAlignment w:val="baseline"/>
        <w:rPr>
          <w:rFonts w:eastAsia="宋体"/>
          <w:b/>
          <w:color w:val="auto"/>
          <w:sz w:val="32"/>
          <w:szCs w:val="30"/>
        </w:rPr>
      </w:pPr>
      <w:r>
        <w:rPr>
          <w:rFonts w:hint="eastAsia" w:eastAsia="宋体"/>
          <w:b/>
          <w:color w:val="auto"/>
          <w:sz w:val="32"/>
          <w:szCs w:val="30"/>
        </w:rPr>
        <w:t>磋商最终报价表</w:t>
      </w:r>
    </w:p>
    <w:p>
      <w:pPr>
        <w:spacing w:line="360" w:lineRule="auto"/>
        <w:jc w:val="left"/>
        <w:outlineLvl w:val="1"/>
        <w:rPr>
          <w:rFonts w:eastAsia="宋体"/>
          <w:b/>
          <w:color w:val="auto"/>
          <w:sz w:val="24"/>
        </w:rPr>
      </w:pPr>
      <w:bookmarkStart w:id="734" w:name="_Toc19749"/>
      <w:bookmarkStart w:id="735" w:name="_Toc10293"/>
      <w:bookmarkStart w:id="736" w:name="_Toc20792"/>
      <w:r>
        <w:rPr>
          <w:rFonts w:hint="eastAsia" w:eastAsia="宋体"/>
          <w:b/>
          <w:color w:val="auto"/>
          <w:sz w:val="24"/>
          <w:szCs w:val="28"/>
        </w:rPr>
        <w:t xml:space="preserve">磋商供应商名称：                                                     </w:t>
      </w:r>
      <w:r>
        <w:rPr>
          <w:rFonts w:hint="eastAsia" w:eastAsia="宋体"/>
          <w:b/>
          <w:color w:val="auto"/>
          <w:sz w:val="24"/>
        </w:rPr>
        <w:t>单位：元</w:t>
      </w:r>
      <w:bookmarkEnd w:id="734"/>
      <w:bookmarkEnd w:id="735"/>
      <w:bookmarkEnd w:id="736"/>
    </w:p>
    <w:tbl>
      <w:tblPr>
        <w:tblStyle w:val="23"/>
        <w:tblW w:w="9968" w:type="dxa"/>
        <w:jc w:val="center"/>
        <w:tblLayout w:type="fixed"/>
        <w:tblCellMar>
          <w:top w:w="0" w:type="dxa"/>
          <w:left w:w="108" w:type="dxa"/>
          <w:bottom w:w="0" w:type="dxa"/>
          <w:right w:w="108" w:type="dxa"/>
        </w:tblCellMar>
      </w:tblPr>
      <w:tblGrid>
        <w:gridCol w:w="2966"/>
        <w:gridCol w:w="3188"/>
        <w:gridCol w:w="2129"/>
        <w:gridCol w:w="1685"/>
      </w:tblGrid>
      <w:tr>
        <w:tblPrEx>
          <w:tblCellMar>
            <w:top w:w="0" w:type="dxa"/>
            <w:left w:w="108" w:type="dxa"/>
            <w:bottom w:w="0" w:type="dxa"/>
            <w:right w:w="108" w:type="dxa"/>
          </w:tblCellMar>
        </w:tblPrEx>
        <w:trPr>
          <w:trHeight w:val="699" w:hRule="atLeast"/>
          <w:jc w:val="center"/>
        </w:trPr>
        <w:tc>
          <w:tcPr>
            <w:tcW w:w="2966"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sz w:val="24"/>
                <w:lang w:val="zh-CN"/>
              </w:rPr>
            </w:pPr>
            <w:r>
              <w:rPr>
                <w:rFonts w:hint="eastAsia" w:eastAsia="宋体"/>
                <w:bCs/>
                <w:color w:val="auto"/>
                <w:sz w:val="24"/>
                <w:lang w:val="zh-CN"/>
              </w:rPr>
              <w:t>项目名称</w:t>
            </w: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ind w:firstLine="482"/>
              <w:jc w:val="left"/>
              <w:rPr>
                <w:rFonts w:eastAsia="宋体"/>
                <w:color w:val="auto"/>
                <w:lang w:val="zh-CN"/>
              </w:rPr>
            </w:pPr>
            <w:r>
              <w:rPr>
                <w:rFonts w:hint="eastAsia" w:eastAsia="宋体"/>
                <w:bCs/>
                <w:color w:val="auto"/>
                <w:sz w:val="24"/>
                <w:lang w:val="zh-CN"/>
              </w:rPr>
              <w:t>磋商报价</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bCs/>
                <w:color w:val="auto"/>
                <w:sz w:val="24"/>
                <w:lang w:val="zh-CN"/>
              </w:rPr>
            </w:pPr>
            <w:r>
              <w:rPr>
                <w:rFonts w:hint="eastAsia" w:eastAsia="宋体"/>
                <w:bCs/>
                <w:color w:val="auto"/>
                <w:sz w:val="24"/>
                <w:lang w:val="zh-CN"/>
              </w:rPr>
              <w:t>服务期</w:t>
            </w:r>
          </w:p>
        </w:tc>
        <w:tc>
          <w:tcPr>
            <w:tcW w:w="1685"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lang w:val="zh-CN"/>
              </w:rPr>
            </w:pPr>
            <w:r>
              <w:rPr>
                <w:rFonts w:hint="eastAsia" w:eastAsia="宋体"/>
                <w:bCs/>
                <w:color w:val="auto"/>
                <w:sz w:val="24"/>
                <w:lang w:val="zh-CN"/>
              </w:rPr>
              <w:t>备注</w:t>
            </w:r>
          </w:p>
        </w:tc>
      </w:tr>
      <w:tr>
        <w:tblPrEx>
          <w:tblCellMar>
            <w:top w:w="0" w:type="dxa"/>
            <w:left w:w="108" w:type="dxa"/>
            <w:bottom w:w="0" w:type="dxa"/>
            <w:right w:w="108" w:type="dxa"/>
          </w:tblCellMar>
        </w:tblPrEx>
        <w:trPr>
          <w:trHeight w:val="555" w:hRule="atLeast"/>
          <w:jc w:val="center"/>
        </w:trPr>
        <w:tc>
          <w:tcPr>
            <w:tcW w:w="2966" w:type="dxa"/>
            <w:vMerge w:val="restart"/>
            <w:tcBorders>
              <w:top w:val="single" w:color="000000" w:sz="6" w:space="0"/>
              <w:left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lang w:val="zh-CN"/>
              </w:rPr>
            </w:pP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lang w:val="zh-CN"/>
              </w:rPr>
            </w:pPr>
            <w:r>
              <w:rPr>
                <w:rFonts w:hint="eastAsia" w:eastAsia="宋体"/>
                <w:bCs/>
                <w:color w:val="auto"/>
                <w:sz w:val="24"/>
                <w:lang w:val="zh-CN"/>
              </w:rPr>
              <w:t>大写：</w:t>
            </w:r>
          </w:p>
        </w:tc>
        <w:tc>
          <w:tcPr>
            <w:tcW w:w="2129" w:type="dxa"/>
            <w:vMerge w:val="restart"/>
            <w:tcBorders>
              <w:top w:val="single" w:color="000000" w:sz="6" w:space="0"/>
              <w:left w:val="single" w:color="000000" w:sz="6" w:space="0"/>
              <w:right w:val="single" w:color="000000" w:sz="6" w:space="0"/>
            </w:tcBorders>
            <w:shd w:val="clear" w:color="000000" w:fill="FFFFFF"/>
            <w:noWrap/>
            <w:vAlign w:val="center"/>
          </w:tcPr>
          <w:p>
            <w:pPr>
              <w:autoSpaceDE w:val="0"/>
              <w:autoSpaceDN w:val="0"/>
              <w:spacing w:line="360" w:lineRule="auto"/>
              <w:ind w:firstLine="197"/>
              <w:jc w:val="left"/>
              <w:rPr>
                <w:rFonts w:eastAsia="宋体"/>
                <w:color w:val="auto"/>
                <w:lang w:val="zh-CN"/>
              </w:rPr>
            </w:pPr>
          </w:p>
        </w:tc>
        <w:tc>
          <w:tcPr>
            <w:tcW w:w="1685" w:type="dxa"/>
            <w:vMerge w:val="restart"/>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lang w:val="zh-CN"/>
              </w:rPr>
            </w:pPr>
          </w:p>
        </w:tc>
      </w:tr>
      <w:tr>
        <w:tblPrEx>
          <w:tblCellMar>
            <w:top w:w="0" w:type="dxa"/>
            <w:left w:w="108" w:type="dxa"/>
            <w:bottom w:w="0" w:type="dxa"/>
            <w:right w:w="108" w:type="dxa"/>
          </w:tblCellMar>
        </w:tblPrEx>
        <w:trPr>
          <w:trHeight w:val="577" w:hRule="atLeast"/>
          <w:jc w:val="center"/>
        </w:trPr>
        <w:tc>
          <w:tcPr>
            <w:tcW w:w="2966" w:type="dxa"/>
            <w:vMerge w:val="continue"/>
            <w:tcBorders>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lang w:val="zh-CN"/>
              </w:rPr>
            </w:pP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lang w:val="zh-CN"/>
              </w:rPr>
            </w:pPr>
            <w:r>
              <w:rPr>
                <w:rFonts w:hint="eastAsia" w:eastAsia="宋体"/>
                <w:bCs/>
                <w:color w:val="auto"/>
                <w:sz w:val="24"/>
                <w:lang w:val="zh-CN"/>
              </w:rPr>
              <w:t>小写：</w:t>
            </w:r>
          </w:p>
        </w:tc>
        <w:tc>
          <w:tcPr>
            <w:tcW w:w="2129" w:type="dxa"/>
            <w:vMerge w:val="continue"/>
            <w:tcBorders>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lang w:val="zh-CN"/>
              </w:rPr>
            </w:pPr>
          </w:p>
        </w:tc>
        <w:tc>
          <w:tcPr>
            <w:tcW w:w="1685" w:type="dxa"/>
            <w:vMerge w:val="continue"/>
            <w:tcBorders>
              <w:top w:val="single" w:color="000000" w:sz="6" w:space="0"/>
              <w:left w:val="single" w:color="000000" w:sz="6" w:space="0"/>
              <w:bottom w:val="single" w:color="000000" w:sz="6" w:space="0"/>
              <w:right w:val="single" w:color="000000" w:sz="6" w:space="0"/>
            </w:tcBorders>
            <w:shd w:val="clear" w:color="000000" w:fill="FFFFFF"/>
            <w:noWrap/>
            <w:vAlign w:val="center"/>
          </w:tcPr>
          <w:p>
            <w:pPr>
              <w:autoSpaceDE w:val="0"/>
              <w:autoSpaceDN w:val="0"/>
              <w:spacing w:line="360" w:lineRule="auto"/>
              <w:jc w:val="left"/>
              <w:rPr>
                <w:rFonts w:eastAsia="宋体"/>
                <w:color w:val="auto"/>
                <w:lang w:val="zh-CN"/>
              </w:rPr>
            </w:pPr>
          </w:p>
        </w:tc>
      </w:tr>
      <w:tr>
        <w:tblPrEx>
          <w:tblCellMar>
            <w:top w:w="0" w:type="dxa"/>
            <w:left w:w="108" w:type="dxa"/>
            <w:bottom w:w="0" w:type="dxa"/>
            <w:right w:w="108" w:type="dxa"/>
          </w:tblCellMar>
        </w:tblPrEx>
        <w:trPr>
          <w:trHeight w:val="1283" w:hRule="atLeast"/>
          <w:jc w:val="center"/>
        </w:trPr>
        <w:tc>
          <w:tcPr>
            <w:tcW w:w="9968" w:type="dxa"/>
            <w:gridSpan w:val="4"/>
            <w:tcBorders>
              <w:top w:val="single" w:color="000000" w:sz="6" w:space="0"/>
              <w:left w:val="single" w:color="000000" w:sz="6" w:space="0"/>
              <w:bottom w:val="single" w:color="000000" w:sz="6" w:space="0"/>
              <w:right w:val="single" w:color="000000" w:sz="6" w:space="0"/>
            </w:tcBorders>
            <w:shd w:val="clear" w:color="000000" w:fill="FFFFFF"/>
            <w:noWrap/>
          </w:tcPr>
          <w:p>
            <w:pPr>
              <w:autoSpaceDE w:val="0"/>
              <w:autoSpaceDN w:val="0"/>
              <w:spacing w:line="360" w:lineRule="auto"/>
              <w:jc w:val="left"/>
              <w:rPr>
                <w:rFonts w:eastAsia="宋体"/>
                <w:color w:val="auto"/>
                <w:lang w:val="zh-CN"/>
              </w:rPr>
            </w:pPr>
            <w:r>
              <w:rPr>
                <w:rFonts w:hint="eastAsia" w:eastAsia="宋体"/>
                <w:bCs/>
                <w:color w:val="auto"/>
                <w:sz w:val="24"/>
                <w:lang w:val="zh-CN"/>
              </w:rPr>
              <w:t>优惠承诺及其他：</w:t>
            </w:r>
          </w:p>
        </w:tc>
      </w:tr>
    </w:tbl>
    <w:p>
      <w:pPr>
        <w:spacing w:line="360" w:lineRule="auto"/>
        <w:jc w:val="left"/>
        <w:rPr>
          <w:rFonts w:eastAsia="宋体"/>
          <w:b/>
          <w:color w:val="auto"/>
        </w:rPr>
      </w:pPr>
    </w:p>
    <w:p>
      <w:pPr>
        <w:autoSpaceDE w:val="0"/>
        <w:autoSpaceDN w:val="0"/>
        <w:spacing w:line="360" w:lineRule="auto"/>
        <w:ind w:firstLine="482"/>
        <w:jc w:val="left"/>
        <w:rPr>
          <w:rFonts w:eastAsia="宋体"/>
          <w:bCs/>
          <w:color w:val="auto"/>
          <w:sz w:val="24"/>
          <w:szCs w:val="22"/>
          <w:lang w:val="zh-CN"/>
        </w:rPr>
      </w:pPr>
      <w:r>
        <w:rPr>
          <w:rFonts w:hint="eastAsia" w:eastAsia="宋体"/>
          <w:bCs/>
          <w:color w:val="auto"/>
          <w:sz w:val="24"/>
          <w:szCs w:val="22"/>
          <w:lang w:val="zh-CN"/>
        </w:rPr>
        <w:t>注：此表不需装订在磋商响应文件中，磋商供应商事先须盖章、签字。</w:t>
      </w:r>
    </w:p>
    <w:p>
      <w:pPr>
        <w:tabs>
          <w:tab w:val="left" w:pos="168"/>
        </w:tabs>
        <w:adjustRightInd w:val="0"/>
        <w:spacing w:line="360" w:lineRule="auto"/>
        <w:jc w:val="left"/>
        <w:textAlignment w:val="baseline"/>
        <w:rPr>
          <w:rFonts w:eastAsia="宋体"/>
          <w:b/>
          <w:bCs/>
          <w:color w:val="auto"/>
          <w:sz w:val="28"/>
        </w:rPr>
      </w:pPr>
    </w:p>
    <w:p>
      <w:pPr>
        <w:tabs>
          <w:tab w:val="left" w:pos="168"/>
        </w:tabs>
        <w:adjustRightInd w:val="0"/>
        <w:spacing w:line="360" w:lineRule="auto"/>
        <w:jc w:val="left"/>
        <w:textAlignment w:val="baseline"/>
        <w:rPr>
          <w:rFonts w:eastAsia="宋体"/>
          <w:b/>
          <w:bCs/>
          <w:color w:val="auto"/>
          <w:sz w:val="28"/>
        </w:rPr>
      </w:pPr>
    </w:p>
    <w:p>
      <w:pPr>
        <w:tabs>
          <w:tab w:val="left" w:pos="168"/>
        </w:tabs>
        <w:adjustRightInd w:val="0"/>
        <w:spacing w:line="360" w:lineRule="auto"/>
        <w:jc w:val="left"/>
        <w:textAlignment w:val="baseline"/>
        <w:rPr>
          <w:rFonts w:eastAsia="宋体"/>
          <w:b/>
          <w:bCs/>
          <w:color w:val="auto"/>
          <w:sz w:val="28"/>
        </w:rPr>
      </w:pPr>
    </w:p>
    <w:p>
      <w:pPr>
        <w:tabs>
          <w:tab w:val="left" w:pos="168"/>
        </w:tabs>
        <w:adjustRightInd w:val="0"/>
        <w:spacing w:line="360" w:lineRule="auto"/>
        <w:jc w:val="left"/>
        <w:textAlignment w:val="baseline"/>
        <w:rPr>
          <w:rFonts w:eastAsia="宋体"/>
          <w:b/>
          <w:bCs/>
          <w:color w:val="auto"/>
          <w:sz w:val="28"/>
        </w:rPr>
      </w:pPr>
    </w:p>
    <w:p>
      <w:pPr>
        <w:tabs>
          <w:tab w:val="left" w:pos="168"/>
        </w:tabs>
        <w:adjustRightInd w:val="0"/>
        <w:spacing w:line="360" w:lineRule="auto"/>
        <w:jc w:val="left"/>
        <w:textAlignment w:val="baseline"/>
        <w:rPr>
          <w:rFonts w:eastAsia="宋体"/>
          <w:bCs/>
          <w:color w:val="auto"/>
          <w:sz w:val="28"/>
          <w:szCs w:val="28"/>
        </w:rPr>
      </w:pPr>
    </w:p>
    <w:p>
      <w:pPr>
        <w:tabs>
          <w:tab w:val="left" w:pos="168"/>
        </w:tabs>
        <w:adjustRightInd w:val="0"/>
        <w:spacing w:line="360" w:lineRule="auto"/>
        <w:jc w:val="left"/>
        <w:textAlignment w:val="baseline"/>
        <w:rPr>
          <w:rFonts w:eastAsia="宋体"/>
          <w:bCs/>
          <w:color w:val="auto"/>
          <w:sz w:val="24"/>
          <w:szCs w:val="28"/>
        </w:rPr>
      </w:pPr>
    </w:p>
    <w:p>
      <w:pPr>
        <w:tabs>
          <w:tab w:val="left" w:pos="168"/>
        </w:tabs>
        <w:adjustRightInd w:val="0"/>
        <w:spacing w:line="360" w:lineRule="auto"/>
        <w:ind w:firstLine="4958" w:firstLineChars="2058"/>
        <w:jc w:val="left"/>
        <w:textAlignment w:val="baseline"/>
        <w:outlineLvl w:val="1"/>
        <w:rPr>
          <w:rFonts w:eastAsia="宋体"/>
          <w:b/>
          <w:color w:val="auto"/>
          <w:sz w:val="24"/>
          <w:szCs w:val="28"/>
        </w:rPr>
      </w:pPr>
      <w:bookmarkStart w:id="737" w:name="_Toc1281"/>
      <w:bookmarkStart w:id="738" w:name="_Toc1253"/>
      <w:bookmarkStart w:id="739" w:name="_Toc9172"/>
      <w:r>
        <w:rPr>
          <w:rFonts w:hint="eastAsia" w:eastAsia="宋体"/>
          <w:b/>
          <w:color w:val="auto"/>
          <w:sz w:val="24"/>
          <w:szCs w:val="28"/>
        </w:rPr>
        <w:t>供应商：                   （公章）</w:t>
      </w:r>
      <w:bookmarkEnd w:id="737"/>
      <w:bookmarkEnd w:id="738"/>
      <w:bookmarkEnd w:id="739"/>
    </w:p>
    <w:p>
      <w:pPr>
        <w:tabs>
          <w:tab w:val="left" w:pos="168"/>
        </w:tabs>
        <w:adjustRightInd w:val="0"/>
        <w:spacing w:line="360" w:lineRule="auto"/>
        <w:jc w:val="right"/>
        <w:textAlignment w:val="baseline"/>
        <w:outlineLvl w:val="1"/>
        <w:rPr>
          <w:rFonts w:eastAsia="宋体"/>
          <w:b/>
          <w:color w:val="auto"/>
          <w:sz w:val="24"/>
          <w:szCs w:val="28"/>
        </w:rPr>
      </w:pPr>
      <w:bookmarkStart w:id="740" w:name="_Toc5052"/>
      <w:bookmarkStart w:id="741" w:name="_Toc6474"/>
      <w:bookmarkStart w:id="742" w:name="_Toc30972"/>
      <w:r>
        <w:rPr>
          <w:rFonts w:hint="eastAsia" w:eastAsia="宋体"/>
          <w:b/>
          <w:color w:val="auto"/>
          <w:sz w:val="24"/>
          <w:szCs w:val="28"/>
        </w:rPr>
        <w:t>委托代理人或法定代表人：                 （签字或盖章）</w:t>
      </w:r>
      <w:bookmarkEnd w:id="740"/>
      <w:bookmarkEnd w:id="741"/>
      <w:bookmarkEnd w:id="742"/>
    </w:p>
    <w:p>
      <w:pPr>
        <w:tabs>
          <w:tab w:val="left" w:pos="168"/>
        </w:tabs>
        <w:adjustRightInd w:val="0"/>
        <w:spacing w:line="360" w:lineRule="auto"/>
        <w:ind w:firstLine="5313" w:firstLineChars="2205"/>
        <w:jc w:val="left"/>
        <w:textAlignment w:val="baseline"/>
        <w:outlineLvl w:val="1"/>
        <w:rPr>
          <w:rFonts w:eastAsia="宋体"/>
          <w:bCs/>
          <w:color w:val="auto"/>
          <w:sz w:val="24"/>
          <w:szCs w:val="28"/>
        </w:rPr>
      </w:pPr>
      <w:bookmarkStart w:id="743" w:name="_Toc28586"/>
      <w:bookmarkStart w:id="744" w:name="_Toc32348"/>
      <w:bookmarkStart w:id="745" w:name="_Toc27312"/>
      <w:r>
        <w:rPr>
          <w:rFonts w:hint="eastAsia" w:eastAsia="宋体"/>
          <w:b/>
          <w:color w:val="auto"/>
          <w:sz w:val="24"/>
          <w:szCs w:val="28"/>
        </w:rPr>
        <w:t>日期：          年   月   日</w:t>
      </w:r>
      <w:bookmarkEnd w:id="743"/>
      <w:bookmarkEnd w:id="744"/>
      <w:bookmarkEnd w:id="745"/>
    </w:p>
    <w:p>
      <w:pPr>
        <w:spacing w:line="360" w:lineRule="auto"/>
        <w:jc w:val="left"/>
        <w:rPr>
          <w:rFonts w:eastAsia="宋体"/>
          <w:b/>
          <w:color w:val="auto"/>
          <w:sz w:val="24"/>
          <w:szCs w:val="24"/>
        </w:rPr>
      </w:pPr>
    </w:p>
    <w:p>
      <w:pPr>
        <w:pStyle w:val="21"/>
        <w:numPr>
          <w:ilvl w:val="0"/>
          <w:numId w:val="6"/>
        </w:numPr>
        <w:rPr>
          <w:rFonts w:ascii="宋体" w:hAnsi="宋体"/>
          <w:color w:val="auto"/>
          <w:kern w:val="28"/>
          <w:lang w:val="zh-CN"/>
        </w:rPr>
      </w:pPr>
      <w:r>
        <w:rPr>
          <w:rFonts w:hint="eastAsia" w:ascii="宋体" w:hAnsi="宋体"/>
          <w:color w:val="auto"/>
          <w:kern w:val="28"/>
        </w:rPr>
        <w:br w:type="page"/>
      </w:r>
      <w:bookmarkEnd w:id="404"/>
      <w:bookmarkEnd w:id="405"/>
      <w:bookmarkStart w:id="746" w:name="_Toc470775775"/>
      <w:bookmarkStart w:id="747" w:name="_Toc461983006"/>
      <w:bookmarkStart w:id="748" w:name="_Toc455584731"/>
      <w:bookmarkStart w:id="749" w:name="_Toc495567982"/>
      <w:bookmarkStart w:id="750" w:name="_Toc28222"/>
      <w:bookmarkStart w:id="751" w:name="_Toc495666300"/>
      <w:bookmarkStart w:id="752" w:name="_Toc11998"/>
      <w:bookmarkStart w:id="753" w:name="_Toc10902"/>
      <w:bookmarkStart w:id="754" w:name="_Toc13360"/>
      <w:bookmarkStart w:id="755" w:name="_Toc7462"/>
      <w:bookmarkStart w:id="756" w:name="_Toc23945"/>
      <w:r>
        <w:rPr>
          <w:rFonts w:hint="eastAsia" w:ascii="宋体" w:hAnsi="宋体"/>
          <w:color w:val="auto"/>
          <w:kern w:val="28"/>
          <w:lang w:val="zh-CN"/>
        </w:rPr>
        <w:t>采购项目服务要求</w:t>
      </w:r>
      <w:bookmarkEnd w:id="746"/>
      <w:bookmarkEnd w:id="747"/>
      <w:bookmarkEnd w:id="748"/>
      <w:bookmarkEnd w:id="749"/>
      <w:r>
        <w:rPr>
          <w:rFonts w:hint="eastAsia" w:ascii="宋体" w:hAnsi="宋体"/>
          <w:color w:val="auto"/>
          <w:kern w:val="28"/>
          <w:lang w:val="zh-CN"/>
        </w:rPr>
        <w:t>及技术参数</w:t>
      </w:r>
      <w:bookmarkEnd w:id="750"/>
      <w:bookmarkEnd w:id="751"/>
      <w:bookmarkEnd w:id="752"/>
      <w:bookmarkEnd w:id="753"/>
      <w:bookmarkEnd w:id="754"/>
      <w:bookmarkEnd w:id="755"/>
      <w:bookmarkEnd w:id="756"/>
    </w:p>
    <w:p>
      <w:pPr>
        <w:jc w:val="left"/>
        <w:rPr>
          <w:rFonts w:eastAsia="宋体"/>
          <w:b/>
          <w:color w:val="auto"/>
          <w:sz w:val="32"/>
          <w:szCs w:val="32"/>
        </w:rPr>
      </w:pPr>
    </w:p>
    <w:p>
      <w:pPr>
        <w:jc w:val="left"/>
        <w:rPr>
          <w:rFonts w:eastAsia="宋体"/>
          <w:b/>
          <w:color w:val="auto"/>
          <w:sz w:val="32"/>
          <w:szCs w:val="32"/>
        </w:rPr>
      </w:pPr>
      <w:r>
        <w:rPr>
          <w:rFonts w:hint="eastAsia" w:eastAsia="宋体"/>
          <w:b/>
          <w:color w:val="auto"/>
          <w:sz w:val="32"/>
          <w:szCs w:val="32"/>
        </w:rPr>
        <w:t>一、采购项目服务内容</w:t>
      </w:r>
    </w:p>
    <w:p>
      <w:pPr>
        <w:widowControl/>
        <w:spacing w:line="360" w:lineRule="exact"/>
        <w:jc w:val="left"/>
        <w:rPr>
          <w:rFonts w:hint="eastAsia"/>
          <w:sz w:val="24"/>
        </w:rPr>
      </w:pPr>
    </w:p>
    <w:tbl>
      <w:tblPr>
        <w:tblStyle w:val="24"/>
        <w:tblpPr w:leftFromText="180" w:rightFromText="180" w:vertAnchor="text" w:horzAnchor="margin" w:tblpY="17"/>
        <w:tblOverlap w:val="never"/>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6"/>
        <w:gridCol w:w="820"/>
        <w:gridCol w:w="7883"/>
        <w:gridCol w:w="586"/>
        <w:gridCol w:w="3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3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left"/>
              <w:rPr>
                <w:rFonts w:eastAsiaTheme="minorEastAsia"/>
                <w:sz w:val="24"/>
              </w:rPr>
            </w:pPr>
            <w:r>
              <w:rPr>
                <w:rFonts w:hint="eastAsia"/>
                <w:sz w:val="24"/>
              </w:rPr>
              <w:t>序号</w:t>
            </w:r>
          </w:p>
        </w:tc>
        <w:tc>
          <w:tcPr>
            <w:tcW w:w="82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left"/>
              <w:rPr>
                <w:sz w:val="24"/>
              </w:rPr>
            </w:pPr>
            <w:r>
              <w:rPr>
                <w:rFonts w:hint="eastAsia"/>
                <w:sz w:val="24"/>
              </w:rPr>
              <w:t>名称</w:t>
            </w:r>
          </w:p>
        </w:tc>
        <w:tc>
          <w:tcPr>
            <w:tcW w:w="7883"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left"/>
              <w:rPr>
                <w:sz w:val="24"/>
              </w:rPr>
            </w:pPr>
            <w:r>
              <w:rPr>
                <w:rFonts w:hint="eastAsia"/>
                <w:sz w:val="24"/>
              </w:rPr>
              <w:t>技术参数（包括但不限于性能、材料、结构、外观、安全，或者服务内容和标准等）</w:t>
            </w:r>
          </w:p>
        </w:tc>
        <w:tc>
          <w:tcPr>
            <w:tcW w:w="58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left"/>
              <w:rPr>
                <w:sz w:val="24"/>
              </w:rPr>
            </w:pPr>
            <w:r>
              <w:rPr>
                <w:rFonts w:hint="eastAsia"/>
                <w:sz w:val="24"/>
              </w:rPr>
              <w:t>数量</w:t>
            </w:r>
          </w:p>
        </w:tc>
        <w:tc>
          <w:tcPr>
            <w:tcW w:w="33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left"/>
              <w:rPr>
                <w:sz w:val="24"/>
              </w:rPr>
            </w:pPr>
            <w:r>
              <w:rPr>
                <w:rFonts w:hint="eastAsia"/>
                <w:sz w:val="24"/>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3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left"/>
              <w:rPr>
                <w:sz w:val="24"/>
              </w:rPr>
            </w:pPr>
            <w:r>
              <w:rPr>
                <w:rFonts w:hint="eastAsia"/>
                <w:sz w:val="24"/>
              </w:rPr>
              <w:t>1</w:t>
            </w:r>
          </w:p>
        </w:tc>
        <w:tc>
          <w:tcPr>
            <w:tcW w:w="82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left"/>
              <w:rPr>
                <w:sz w:val="24"/>
              </w:rPr>
            </w:pPr>
            <w:r>
              <w:rPr>
                <w:rFonts w:hint="eastAsia"/>
                <w:sz w:val="24"/>
              </w:rPr>
              <w:t>精品在线课程建设</w:t>
            </w:r>
          </w:p>
        </w:tc>
        <w:tc>
          <w:tcPr>
            <w:tcW w:w="788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exact"/>
              <w:jc w:val="left"/>
              <w:rPr>
                <w:sz w:val="24"/>
              </w:rPr>
            </w:pPr>
            <w:r>
              <w:rPr>
                <w:rFonts w:hint="eastAsia"/>
                <w:sz w:val="24"/>
              </w:rPr>
              <w:t>1.精品视频课程内容建设要求</w:t>
            </w:r>
          </w:p>
          <w:p>
            <w:pPr>
              <w:widowControl/>
              <w:spacing w:line="360" w:lineRule="exact"/>
              <w:jc w:val="left"/>
              <w:rPr>
                <w:sz w:val="24"/>
              </w:rPr>
            </w:pPr>
            <w:r>
              <w:rPr>
                <w:rFonts w:hint="eastAsia"/>
                <w:sz w:val="24"/>
              </w:rPr>
              <w:t>1.1精品视频课程建设要求符合国家金课建设要求，以国家级一流课程建设为目标，以视频为主要载体，体现学校名称、课程主题、团队成员，加动画效果和配乐包装，围绕某个知识点/技能点内容展开基于教学设计的学习资源。根据具体课程建设需求设定视频数量和内容。</w:t>
            </w:r>
          </w:p>
          <w:p>
            <w:pPr>
              <w:widowControl/>
              <w:spacing w:line="360" w:lineRule="exact"/>
              <w:jc w:val="left"/>
              <w:rPr>
                <w:sz w:val="24"/>
              </w:rPr>
            </w:pPr>
            <w:r>
              <w:rPr>
                <w:rFonts w:hint="eastAsia"/>
                <w:sz w:val="24"/>
              </w:rPr>
              <w:t>1.2</w:t>
            </w:r>
            <w:r>
              <w:rPr>
                <w:rFonts w:hint="eastAsia"/>
                <w:b/>
                <w:sz w:val="24"/>
              </w:rPr>
              <w:t>单门精品在线开放课程制作内容包括：</w:t>
            </w:r>
          </w:p>
          <w:p>
            <w:pPr>
              <w:widowControl/>
              <w:spacing w:line="360" w:lineRule="exact"/>
              <w:ind w:firstLine="240" w:firstLineChars="100"/>
              <w:jc w:val="left"/>
              <w:rPr>
                <w:sz w:val="24"/>
              </w:rPr>
            </w:pPr>
            <w:r>
              <w:rPr>
                <w:rFonts w:hint="eastAsia"/>
                <w:sz w:val="24"/>
              </w:rPr>
              <w:t>课程宣传片1个、个性化定制片头片尾1套、知识点视频 5－15分钟（不少于30个，视频总时长不少于400分钟）、课程主页1套、课程相关PPT美化1套（与视频数量匹配，1套不少于30个PPT）。</w:t>
            </w:r>
          </w:p>
          <w:p>
            <w:pPr>
              <w:widowControl/>
              <w:spacing w:line="360" w:lineRule="exact"/>
              <w:jc w:val="left"/>
              <w:rPr>
                <w:sz w:val="24"/>
              </w:rPr>
            </w:pPr>
            <w:r>
              <w:rPr>
                <w:rFonts w:hint="eastAsia"/>
                <w:sz w:val="24"/>
              </w:rPr>
              <w:t>1.3课程思政</w:t>
            </w:r>
          </w:p>
          <w:p>
            <w:pPr>
              <w:widowControl/>
              <w:spacing w:line="360" w:lineRule="exact"/>
              <w:ind w:firstLine="240" w:firstLineChars="100"/>
              <w:jc w:val="left"/>
              <w:rPr>
                <w:rFonts w:hint="eastAsia"/>
                <w:sz w:val="24"/>
              </w:rPr>
            </w:pPr>
            <w:r>
              <w:rPr>
                <w:rFonts w:hint="eastAsia"/>
                <w:sz w:val="24"/>
              </w:rPr>
              <w:t>课程视频需要体现课程思政内容，制作方可提供课程思政建设指导服务，有课程思政资源库及指导其他院校建设课程思政技术支持经验。须提供指导其他院校课程思政建设技术支持合同3份以上证明材料。</w:t>
            </w:r>
          </w:p>
          <w:p>
            <w:pPr>
              <w:widowControl/>
              <w:spacing w:line="360" w:lineRule="exact"/>
              <w:jc w:val="left"/>
              <w:rPr>
                <w:rFonts w:hint="eastAsia"/>
                <w:sz w:val="24"/>
              </w:rPr>
            </w:pPr>
            <w:r>
              <w:rPr>
                <w:rFonts w:hint="eastAsia"/>
                <w:sz w:val="24"/>
              </w:rPr>
              <w:t xml:space="preserve">2.制作团队 </w:t>
            </w:r>
          </w:p>
          <w:p>
            <w:pPr>
              <w:widowControl/>
              <w:spacing w:line="360" w:lineRule="exact"/>
              <w:ind w:firstLine="240" w:firstLineChars="100"/>
              <w:jc w:val="left"/>
              <w:rPr>
                <w:sz w:val="24"/>
              </w:rPr>
            </w:pPr>
            <w:r>
              <w:rPr>
                <w:rFonts w:hint="eastAsia"/>
                <w:sz w:val="24"/>
              </w:rPr>
              <w:t>2.1具有专业化的团队和制作精品在线课程（包括慕课）的能力；课程制作团队，至少包含课程经理、课程顾问（编导）、视频工程师、现场灯光师、后期制作及效果包装、课程专员各一名，且已制作过20门以上MOOC课程的制作经验，5门及以上名师跨校联合建设课程经验，有国家级一流线上课程建设经验，提供获奖证书及团队制作证明。</w:t>
            </w:r>
          </w:p>
          <w:p>
            <w:pPr>
              <w:widowControl/>
              <w:spacing w:line="360" w:lineRule="exact"/>
              <w:ind w:firstLine="240" w:firstLineChars="100"/>
              <w:jc w:val="left"/>
              <w:rPr>
                <w:sz w:val="24"/>
              </w:rPr>
            </w:pPr>
            <w:r>
              <w:rPr>
                <w:rFonts w:hint="eastAsia"/>
                <w:sz w:val="24"/>
              </w:rPr>
              <w:t>2.2课程顾问（编导）应了解所拍摄课程的基本知识，提前了解课程内容、授课教师的讲课风格等，和授课教师共同对教学内容进行设计并由镜头语言呈现。</w:t>
            </w:r>
          </w:p>
          <w:p>
            <w:pPr>
              <w:widowControl/>
              <w:spacing w:line="360" w:lineRule="exact"/>
              <w:ind w:firstLine="240" w:firstLineChars="100"/>
              <w:jc w:val="left"/>
              <w:rPr>
                <w:sz w:val="24"/>
              </w:rPr>
            </w:pPr>
            <w:r>
              <w:rPr>
                <w:rFonts w:hint="eastAsia"/>
                <w:sz w:val="24"/>
              </w:rPr>
              <w:t xml:space="preserve">2.3制作团队应该至少包括如下人员：课程顾问（编导）、摄影师、化妆师、灯光师、后期制作人员。需要时还应该包括配音演员、演示演员等；制作人应能用合适的镜头语言展示课程内容，指挥摄制团队进行视频拍摄及制作。 </w:t>
            </w:r>
          </w:p>
          <w:p>
            <w:pPr>
              <w:widowControl/>
              <w:spacing w:line="360" w:lineRule="exact"/>
              <w:ind w:firstLine="240" w:firstLineChars="100"/>
              <w:jc w:val="left"/>
              <w:rPr>
                <w:rFonts w:hint="eastAsia"/>
                <w:sz w:val="24"/>
              </w:rPr>
            </w:pPr>
            <w:r>
              <w:rPr>
                <w:rFonts w:hint="eastAsia"/>
                <w:sz w:val="24"/>
              </w:rPr>
              <w:t>2.4为在线课程制作提供全程咨询服务。需具备丰富的课程设计经验以及教学设计能力，能够辅助教师进行课程教学设计重构，在线课程整体设计，提供咨询师参与制作课程获评国家级一流课程的证明截图。</w:t>
            </w:r>
          </w:p>
          <w:p>
            <w:pPr>
              <w:widowControl/>
              <w:spacing w:line="360" w:lineRule="exact"/>
              <w:jc w:val="left"/>
              <w:rPr>
                <w:sz w:val="24"/>
              </w:rPr>
            </w:pPr>
            <w:r>
              <w:rPr>
                <w:rFonts w:hint="eastAsia"/>
                <w:sz w:val="24"/>
              </w:rPr>
              <w:t xml:space="preserve">3.教师培训 </w:t>
            </w:r>
          </w:p>
          <w:p>
            <w:pPr>
              <w:widowControl/>
              <w:spacing w:line="360" w:lineRule="exact"/>
              <w:ind w:firstLine="240" w:firstLineChars="100"/>
              <w:jc w:val="left"/>
              <w:rPr>
                <w:sz w:val="24"/>
              </w:rPr>
            </w:pPr>
            <w:r>
              <w:rPr>
                <w:rFonts w:hint="eastAsia"/>
                <w:sz w:val="24"/>
              </w:rPr>
              <w:t>3.1拍摄前对老师进行培训，包括拍摄前准备，课程建设及应用案例，拍摄时发声、角度、表情、着装化妆等。要求拍摄前对老师进行不少于 3 学时培训，让老师可以根据课程内容梳理课程知识点及对应拍摄风格，能够让老师熟悉拍摄流程，尽快融入课程拍摄中。拍摄前要与老师深度沟通，收集材料，制作课程脚本。</w:t>
            </w:r>
          </w:p>
          <w:p>
            <w:pPr>
              <w:widowControl/>
              <w:spacing w:line="360" w:lineRule="exact"/>
              <w:ind w:firstLine="240" w:firstLineChars="100"/>
              <w:jc w:val="left"/>
              <w:rPr>
                <w:rFonts w:hint="eastAsia"/>
                <w:sz w:val="24"/>
              </w:rPr>
            </w:pPr>
            <w:r>
              <w:rPr>
                <w:rFonts w:hint="eastAsia"/>
                <w:sz w:val="24"/>
              </w:rPr>
              <w:t>3.2在课程录制过程中或课程上线运行后，根据学校安排对课程团队及全校教师进行课程应用及信息化教学培训，包括但不限于国家级一流课程建设应用及申报指导，慕课西行政策解读及案例分享等。</w:t>
            </w:r>
          </w:p>
          <w:p>
            <w:pPr>
              <w:widowControl/>
              <w:spacing w:line="360" w:lineRule="exact"/>
              <w:ind w:firstLine="240" w:firstLineChars="100"/>
              <w:jc w:val="left"/>
              <w:rPr>
                <w:rFonts w:hint="eastAsia"/>
                <w:sz w:val="24"/>
              </w:rPr>
            </w:pPr>
            <w:r>
              <w:rPr>
                <w:rFonts w:hint="eastAsia"/>
                <w:sz w:val="24"/>
              </w:rPr>
              <w:t xml:space="preserve">4.课程设计及资料整理 </w:t>
            </w:r>
          </w:p>
          <w:p>
            <w:pPr>
              <w:widowControl/>
              <w:spacing w:line="360" w:lineRule="exact"/>
              <w:ind w:firstLine="240" w:firstLineChars="100"/>
              <w:jc w:val="left"/>
              <w:rPr>
                <w:sz w:val="24"/>
              </w:rPr>
            </w:pPr>
            <w:r>
              <w:rPr>
                <w:rFonts w:hint="eastAsia"/>
                <w:sz w:val="24"/>
              </w:rPr>
              <w:t>4.1教学设计要求：视频制作方提供课程顾问（编导）协助课程主要负责人根据教学大纲制定整体教学设计方案，根据学科类别及授课风格提供拍摄咨询方案及试拍服务。</w:t>
            </w:r>
          </w:p>
          <w:p>
            <w:pPr>
              <w:widowControl/>
              <w:spacing w:line="360" w:lineRule="exact"/>
              <w:ind w:firstLine="240" w:firstLineChars="100"/>
              <w:jc w:val="left"/>
              <w:rPr>
                <w:sz w:val="24"/>
              </w:rPr>
            </w:pPr>
            <w:r>
              <w:rPr>
                <w:rFonts w:hint="eastAsia"/>
                <w:sz w:val="24"/>
              </w:rPr>
              <w:t xml:space="preserve">4.2课程顾问（编导）与教师沟通收集课程资料并根据课程内容协助老师量身定做创意方案、片花脚本、解说词以及故事板。要求知识点或技能点教学策略得当，教学目标明确，突出教学中的重难点，教学逻辑合理，能够有效的提升教学效果及教学效率，能够支撑教师的课堂教学、实训教学、学生的自主学习，典型知识点或技能点运用信息数字化手段合理且恰当； </w:t>
            </w:r>
          </w:p>
          <w:p>
            <w:pPr>
              <w:widowControl/>
              <w:spacing w:line="360" w:lineRule="exact"/>
              <w:ind w:firstLine="240" w:firstLineChars="100"/>
              <w:jc w:val="left"/>
              <w:rPr>
                <w:sz w:val="24"/>
              </w:rPr>
            </w:pPr>
            <w:r>
              <w:rPr>
                <w:rFonts w:hint="eastAsia"/>
                <w:sz w:val="24"/>
              </w:rPr>
              <w:t xml:space="preserve">4.3信息数字化要求：课程涉及信息数字化手段包含但不限于微视频、片花、配音、实操、场景模拟等形式。对课程视频进行精准剪辑； </w:t>
            </w:r>
          </w:p>
          <w:p>
            <w:pPr>
              <w:widowControl/>
              <w:spacing w:line="360" w:lineRule="exact"/>
              <w:ind w:firstLine="240" w:firstLineChars="100"/>
              <w:jc w:val="left"/>
              <w:rPr>
                <w:sz w:val="24"/>
              </w:rPr>
            </w:pPr>
            <w:r>
              <w:rPr>
                <w:rFonts w:hint="eastAsia"/>
                <w:sz w:val="24"/>
              </w:rPr>
              <w:t xml:space="preserve">4.4在课程主讲教师明确教学目标的情况下，要求制作方根据教师提供的大纲文本、音频、视频、PPT 等课程参考素材给老师进行知识点化慕课拍摄，与课程教师按课程章节和知识点，对有关课程资料进行美化和包装，包括但不限于课程视频、PPT课件、拓展文档等资料； </w:t>
            </w:r>
          </w:p>
          <w:p>
            <w:pPr>
              <w:widowControl/>
              <w:spacing w:line="360" w:lineRule="exact"/>
              <w:ind w:firstLine="240" w:firstLineChars="100"/>
              <w:jc w:val="left"/>
              <w:rPr>
                <w:sz w:val="24"/>
              </w:rPr>
            </w:pPr>
            <w:r>
              <w:rPr>
                <w:rFonts w:hint="eastAsia"/>
                <w:sz w:val="24"/>
              </w:rPr>
              <w:t xml:space="preserve">4.5正式拍摄前，提供样片拍摄及设计制作，针对老师的讲课风格设计至少2套适合老师讲课的拍摄方式和拍摄场景供选择； </w:t>
            </w:r>
          </w:p>
          <w:p>
            <w:pPr>
              <w:widowControl/>
              <w:spacing w:line="360" w:lineRule="exact"/>
              <w:ind w:firstLine="240" w:firstLineChars="100"/>
              <w:jc w:val="left"/>
              <w:rPr>
                <w:sz w:val="24"/>
              </w:rPr>
            </w:pPr>
            <w:r>
              <w:rPr>
                <w:rFonts w:hint="eastAsia"/>
                <w:sz w:val="24"/>
              </w:rPr>
              <w:t xml:space="preserve">4.6制作人与课程教师确定拍摄章节和知识点，课程顾问（编导）根据课程内容进行策划，包括制作效果，选择场地、服装搭配，协调拍摄注意事项等，并进行脚本设计与后期制作统筹策划； </w:t>
            </w:r>
          </w:p>
          <w:p>
            <w:pPr>
              <w:widowControl/>
              <w:spacing w:line="360" w:lineRule="exact"/>
              <w:ind w:firstLine="480" w:firstLineChars="200"/>
              <w:jc w:val="left"/>
              <w:rPr>
                <w:sz w:val="24"/>
              </w:rPr>
            </w:pPr>
            <w:r>
              <w:rPr>
                <w:rFonts w:hint="eastAsia"/>
                <w:sz w:val="24"/>
              </w:rPr>
              <w:t xml:space="preserve">5.片头片尾制作 </w:t>
            </w:r>
          </w:p>
          <w:p>
            <w:pPr>
              <w:widowControl/>
              <w:spacing w:line="360" w:lineRule="exact"/>
              <w:ind w:firstLine="240" w:firstLineChars="100"/>
              <w:jc w:val="left"/>
              <w:rPr>
                <w:sz w:val="24"/>
              </w:rPr>
            </w:pPr>
            <w:r>
              <w:rPr>
                <w:rFonts w:hint="eastAsia"/>
                <w:sz w:val="24"/>
              </w:rPr>
              <w:t xml:space="preserve">5.1片头片尾长度 10~15 秒钟，能够体现课程特色，形式新颖，具有学校元素及恰当的背景音乐；片头或片尾应使用体现课程所属院校、机构特色的素材；片头或片尾中应出现明显、不失真的课程所属院校、机构字样和标志。 </w:t>
            </w:r>
          </w:p>
          <w:p>
            <w:pPr>
              <w:widowControl/>
              <w:spacing w:line="360" w:lineRule="exact"/>
              <w:ind w:firstLine="240" w:firstLineChars="100"/>
              <w:jc w:val="left"/>
              <w:rPr>
                <w:sz w:val="24"/>
              </w:rPr>
            </w:pPr>
            <w:r>
              <w:rPr>
                <w:rFonts w:hint="eastAsia"/>
                <w:sz w:val="24"/>
              </w:rPr>
              <w:t xml:space="preserve">5.2要求能够较充分的反映课程的主要内容概况，集形、声、色、动态于一体，生动直观、易于接受、感染力强、形式新颖、生动有趣、富有新意； </w:t>
            </w:r>
          </w:p>
          <w:p>
            <w:pPr>
              <w:widowControl/>
              <w:spacing w:line="360" w:lineRule="exact"/>
              <w:ind w:firstLine="240" w:firstLineChars="100"/>
              <w:jc w:val="left"/>
              <w:rPr>
                <w:sz w:val="24"/>
              </w:rPr>
            </w:pPr>
            <w:r>
              <w:rPr>
                <w:rFonts w:hint="eastAsia"/>
                <w:sz w:val="24"/>
              </w:rPr>
              <w:t xml:space="preserve">5.3制作有课程特色和学校特色的课程封图：文件格式 jpg 或 gif，图片大小不低于1024*768，风格清新自然，有吸引力。 </w:t>
            </w:r>
          </w:p>
          <w:p>
            <w:pPr>
              <w:widowControl/>
              <w:spacing w:line="360" w:lineRule="exact"/>
              <w:ind w:firstLine="240" w:firstLineChars="100"/>
              <w:jc w:val="left"/>
              <w:rPr>
                <w:sz w:val="24"/>
              </w:rPr>
            </w:pPr>
            <w:r>
              <w:rPr>
                <w:rFonts w:hint="eastAsia"/>
                <w:sz w:val="24"/>
              </w:rPr>
              <w:t xml:space="preserve">5.4制作课程资源统一使用的视频 LOGO：视频的相应位置应加上统一设计的 LOGO 标志，标志应明显、且不影响正常视频内容。 </w:t>
            </w:r>
          </w:p>
          <w:p>
            <w:pPr>
              <w:widowControl/>
              <w:spacing w:line="360" w:lineRule="exact"/>
              <w:jc w:val="left"/>
              <w:rPr>
                <w:sz w:val="24"/>
              </w:rPr>
            </w:pPr>
            <w:r>
              <w:rPr>
                <w:rFonts w:hint="eastAsia"/>
                <w:sz w:val="24"/>
              </w:rPr>
              <w:t xml:space="preserve">6.视频制作技术要求 </w:t>
            </w:r>
          </w:p>
          <w:p>
            <w:pPr>
              <w:widowControl/>
              <w:spacing w:line="360" w:lineRule="exact"/>
              <w:ind w:firstLine="240" w:firstLineChars="100"/>
              <w:jc w:val="left"/>
              <w:rPr>
                <w:sz w:val="24"/>
              </w:rPr>
            </w:pPr>
            <w:r>
              <w:rPr>
                <w:rFonts w:hint="eastAsia"/>
                <w:sz w:val="24"/>
              </w:rPr>
              <w:t>6.1拍摄模式</w:t>
            </w:r>
          </w:p>
          <w:p>
            <w:pPr>
              <w:widowControl/>
              <w:spacing w:line="360" w:lineRule="exact"/>
              <w:ind w:firstLine="240" w:firstLineChars="100"/>
              <w:jc w:val="left"/>
              <w:rPr>
                <w:sz w:val="24"/>
              </w:rPr>
            </w:pPr>
            <w:r>
              <w:rPr>
                <w:rFonts w:hint="eastAsia"/>
                <w:sz w:val="24"/>
              </w:rPr>
              <w:t>制作人可提供多种拍摄模式供教学团队选择，并在选择过程中详细介绍各拍摄模式的特点及适用课程类型，拍摄模式包括但不限于：</w:t>
            </w:r>
          </w:p>
          <w:p>
            <w:pPr>
              <w:widowControl/>
              <w:spacing w:line="360" w:lineRule="exact"/>
              <w:jc w:val="left"/>
              <w:rPr>
                <w:sz w:val="24"/>
              </w:rPr>
            </w:pPr>
            <w:r>
              <w:rPr>
                <w:rFonts w:hint="eastAsia"/>
                <w:sz w:val="24"/>
              </w:rPr>
              <w:t>（1）基地PPT模式：摄影棚内大屏显示PPT内容加教室讲解，单机位或者双机位拍摄。</w:t>
            </w:r>
          </w:p>
          <w:p>
            <w:pPr>
              <w:widowControl/>
              <w:spacing w:line="360" w:lineRule="exact"/>
              <w:jc w:val="left"/>
              <w:rPr>
                <w:sz w:val="24"/>
              </w:rPr>
            </w:pPr>
            <w:r>
              <w:rPr>
                <w:rFonts w:hint="eastAsia"/>
                <w:sz w:val="24"/>
              </w:rPr>
              <w:t>（2）基地访谈模式：摄影棚内多人访谈实录，双机位或者多机位拍摄。</w:t>
            </w:r>
          </w:p>
          <w:p>
            <w:pPr>
              <w:widowControl/>
              <w:spacing w:line="360" w:lineRule="exact"/>
              <w:jc w:val="left"/>
              <w:rPr>
                <w:sz w:val="24"/>
              </w:rPr>
            </w:pPr>
            <w:r>
              <w:rPr>
                <w:rFonts w:hint="eastAsia"/>
                <w:sz w:val="24"/>
              </w:rPr>
              <w:t>（3）基地演示模式：摄影棚内实际操作实录，双机位或者多机位拍摄。</w:t>
            </w:r>
          </w:p>
          <w:p>
            <w:pPr>
              <w:widowControl/>
              <w:spacing w:line="360" w:lineRule="exact"/>
              <w:jc w:val="left"/>
              <w:rPr>
                <w:sz w:val="24"/>
              </w:rPr>
            </w:pPr>
            <w:r>
              <w:rPr>
                <w:rFonts w:hint="eastAsia"/>
                <w:sz w:val="24"/>
              </w:rPr>
              <w:t>（4）真人动画模式：摄影棚内真人实录加动画演示，双机位拍摄。</w:t>
            </w:r>
          </w:p>
          <w:p>
            <w:pPr>
              <w:widowControl/>
              <w:spacing w:line="360" w:lineRule="exact"/>
              <w:jc w:val="left"/>
              <w:rPr>
                <w:sz w:val="24"/>
              </w:rPr>
            </w:pPr>
            <w:r>
              <w:rPr>
                <w:rFonts w:hint="eastAsia"/>
                <w:sz w:val="24"/>
              </w:rPr>
              <w:t>（5）完全动画模式：动画呈现教学内容，无机位，需录制高品质音频。</w:t>
            </w:r>
          </w:p>
          <w:p>
            <w:pPr>
              <w:widowControl/>
              <w:spacing w:line="360" w:lineRule="exact"/>
              <w:jc w:val="left"/>
              <w:rPr>
                <w:sz w:val="24"/>
              </w:rPr>
            </w:pPr>
            <w:r>
              <w:rPr>
                <w:rFonts w:hint="eastAsia"/>
                <w:sz w:val="24"/>
              </w:rPr>
              <w:t>（6）场景实操模式：特定教学场景实录，双机位或者多机位拍摄。</w:t>
            </w:r>
          </w:p>
          <w:p>
            <w:pPr>
              <w:widowControl/>
              <w:spacing w:line="360" w:lineRule="exact"/>
              <w:jc w:val="left"/>
              <w:rPr>
                <w:sz w:val="24"/>
              </w:rPr>
            </w:pPr>
            <w:r>
              <w:rPr>
                <w:rFonts w:hint="eastAsia"/>
                <w:sz w:val="24"/>
              </w:rPr>
              <w:t>（7）人机交互模式：背景大屏，教师可自主操作素材讲解，并可实现实时渲染虚拟大屏效果。</w:t>
            </w:r>
          </w:p>
          <w:p>
            <w:pPr>
              <w:widowControl/>
              <w:spacing w:line="360" w:lineRule="exact"/>
              <w:jc w:val="left"/>
              <w:rPr>
                <w:sz w:val="24"/>
              </w:rPr>
            </w:pPr>
            <w:r>
              <w:rPr>
                <w:rFonts w:hint="eastAsia"/>
                <w:sz w:val="24"/>
              </w:rPr>
              <w:t>（8）其它模式：其它模式为根据课程内容自定义模式，或以上模式组合。</w:t>
            </w:r>
          </w:p>
          <w:p>
            <w:pPr>
              <w:widowControl/>
              <w:spacing w:line="360" w:lineRule="exact"/>
              <w:jc w:val="left"/>
              <w:rPr>
                <w:sz w:val="24"/>
              </w:rPr>
            </w:pPr>
            <w:r>
              <w:rPr>
                <w:rFonts w:hint="eastAsia"/>
                <w:sz w:val="24"/>
              </w:rPr>
              <w:t xml:space="preserve">6.2拍摄场地、软硬件设施设备配备 </w:t>
            </w:r>
          </w:p>
          <w:p>
            <w:pPr>
              <w:widowControl/>
              <w:spacing w:line="360" w:lineRule="exact"/>
              <w:jc w:val="left"/>
              <w:rPr>
                <w:sz w:val="24"/>
              </w:rPr>
            </w:pPr>
            <w:r>
              <w:rPr>
                <w:rFonts w:hint="eastAsia"/>
                <w:sz w:val="24"/>
              </w:rPr>
              <w:t xml:space="preserve">（1）提供多场地专业课程录影棚作为拍摄场地，需在拍摄场地专门搭建符合不同课程特点的教学场景，以方便用于课程拍摄制作； </w:t>
            </w:r>
          </w:p>
          <w:p>
            <w:pPr>
              <w:widowControl/>
              <w:spacing w:line="360" w:lineRule="exact"/>
              <w:jc w:val="left"/>
              <w:rPr>
                <w:sz w:val="24"/>
              </w:rPr>
            </w:pPr>
            <w:r>
              <w:rPr>
                <w:rFonts w:hint="eastAsia"/>
                <w:sz w:val="24"/>
              </w:rPr>
              <w:t xml:space="preserve">（2）必要情况下，课程拍摄在录影棚以外的场景进行，拍摄现场的录音、录像等专业设备及器材亦由制作方自行解决； </w:t>
            </w:r>
          </w:p>
          <w:p>
            <w:pPr>
              <w:widowControl/>
              <w:spacing w:line="360" w:lineRule="exact"/>
              <w:jc w:val="left"/>
              <w:rPr>
                <w:sz w:val="24"/>
              </w:rPr>
            </w:pPr>
            <w:r>
              <w:rPr>
                <w:rFonts w:hint="eastAsia"/>
                <w:sz w:val="24"/>
              </w:rPr>
              <w:t xml:space="preserve">（3）按照现行慕课拍摄清晰度要求，要求使用专业级高清数字设备，并保证设备能正常完成拍摄任务，摄像机拍摄时所采用分辨不低于 1920×1080，录制视频宽高比 16:9，视频帧率为 25 帧/秒。多机位拍摄设备要同型同款，多台高清摄像机保证录制效果的一致性； </w:t>
            </w:r>
          </w:p>
          <w:p>
            <w:pPr>
              <w:widowControl/>
              <w:spacing w:line="360" w:lineRule="exact"/>
              <w:jc w:val="left"/>
              <w:rPr>
                <w:sz w:val="24"/>
              </w:rPr>
            </w:pPr>
            <w:r>
              <w:rPr>
                <w:rFonts w:hint="eastAsia"/>
                <w:sz w:val="24"/>
              </w:rPr>
              <w:t xml:space="preserve">音频设备：专业无线麦，保证拍摄现场的音响效果达到摄影棚级别要求。 </w:t>
            </w:r>
          </w:p>
          <w:p>
            <w:pPr>
              <w:widowControl/>
              <w:spacing w:line="360" w:lineRule="exact"/>
              <w:jc w:val="left"/>
              <w:rPr>
                <w:sz w:val="24"/>
              </w:rPr>
            </w:pPr>
            <w:r>
              <w:rPr>
                <w:rFonts w:hint="eastAsia"/>
                <w:sz w:val="24"/>
              </w:rPr>
              <w:t xml:space="preserve">灯光设备：专业影视摄影灯，LED 面光灯等。 </w:t>
            </w:r>
          </w:p>
          <w:p>
            <w:pPr>
              <w:widowControl/>
              <w:spacing w:line="360" w:lineRule="exact"/>
              <w:jc w:val="left"/>
              <w:rPr>
                <w:sz w:val="24"/>
              </w:rPr>
            </w:pPr>
            <w:r>
              <w:rPr>
                <w:rFonts w:hint="eastAsia"/>
                <w:sz w:val="24"/>
              </w:rPr>
              <w:t xml:space="preserve">辅助记忆设备（提词器）1 套。 </w:t>
            </w:r>
          </w:p>
          <w:p>
            <w:pPr>
              <w:widowControl/>
              <w:spacing w:line="360" w:lineRule="exact"/>
              <w:jc w:val="left"/>
              <w:rPr>
                <w:sz w:val="24"/>
              </w:rPr>
            </w:pPr>
            <w:r>
              <w:rPr>
                <w:rFonts w:hint="eastAsia"/>
                <w:sz w:val="24"/>
              </w:rPr>
              <w:t>（4）后期制作设备应采用专业非线编辑系统(1920*50M/S)进行（如剪辑、抠像、颜色校正、双声道处理）；</w:t>
            </w:r>
          </w:p>
          <w:p>
            <w:pPr>
              <w:widowControl/>
              <w:spacing w:line="360" w:lineRule="exact"/>
              <w:jc w:val="left"/>
              <w:rPr>
                <w:sz w:val="24"/>
              </w:rPr>
            </w:pPr>
            <w:r>
              <w:rPr>
                <w:rFonts w:hint="eastAsia"/>
                <w:sz w:val="24"/>
              </w:rPr>
              <w:t xml:space="preserve">6.3视频图像质量标准 </w:t>
            </w:r>
          </w:p>
          <w:p>
            <w:pPr>
              <w:widowControl/>
              <w:spacing w:line="360" w:lineRule="exact"/>
              <w:jc w:val="left"/>
              <w:rPr>
                <w:sz w:val="24"/>
              </w:rPr>
            </w:pPr>
            <w:r>
              <w:rPr>
                <w:rFonts w:hint="eastAsia"/>
                <w:sz w:val="24"/>
              </w:rPr>
              <w:t xml:space="preserve">（1）视频编码方式 H.264.MP4(视频压缩采用 H.264 编码方式，封装格式采用 MP4)，视频分辨率提交的高清成片不低于 1920*1080 像素，同时还需分辨率不低于 720*480 像素的标清文件，视频码率 8Mbps 以上，视频帧率不低于 25fps，提供片头设计和制作； </w:t>
            </w:r>
          </w:p>
          <w:p>
            <w:pPr>
              <w:widowControl/>
              <w:spacing w:line="360" w:lineRule="exact"/>
              <w:jc w:val="left"/>
              <w:rPr>
                <w:sz w:val="24"/>
              </w:rPr>
            </w:pPr>
            <w:r>
              <w:rPr>
                <w:rFonts w:hint="eastAsia"/>
                <w:sz w:val="24"/>
              </w:rPr>
              <w:t xml:space="preserve">（2）视频画幅宽高比：宽高比为 16:9;在同一课程中，各讲应统一画幅的宽高比，不得混用； </w:t>
            </w:r>
          </w:p>
          <w:p>
            <w:pPr>
              <w:widowControl/>
              <w:spacing w:line="360" w:lineRule="exact"/>
              <w:jc w:val="left"/>
              <w:rPr>
                <w:sz w:val="24"/>
              </w:rPr>
            </w:pPr>
            <w:r>
              <w:rPr>
                <w:rFonts w:hint="eastAsia"/>
                <w:sz w:val="24"/>
              </w:rPr>
              <w:t xml:space="preserve">（3）视频信噪比：图像信噪比不低于 55dB，无明显杂波； </w:t>
            </w:r>
          </w:p>
          <w:p>
            <w:pPr>
              <w:widowControl/>
              <w:spacing w:line="360" w:lineRule="exact"/>
              <w:jc w:val="left"/>
              <w:rPr>
                <w:sz w:val="24"/>
              </w:rPr>
            </w:pPr>
            <w:r>
              <w:rPr>
                <w:rFonts w:hint="eastAsia"/>
                <w:sz w:val="24"/>
              </w:rPr>
              <w:t xml:space="preserve">（4）色调：白平衡正确，无明显偏色，多机位拍摄的镜头衔接处无明显色差； </w:t>
            </w:r>
          </w:p>
          <w:p>
            <w:pPr>
              <w:widowControl/>
              <w:spacing w:line="360" w:lineRule="exact"/>
              <w:jc w:val="left"/>
              <w:rPr>
                <w:sz w:val="24"/>
              </w:rPr>
            </w:pPr>
            <w:r>
              <w:rPr>
                <w:rFonts w:hint="eastAsia"/>
                <w:sz w:val="24"/>
              </w:rPr>
              <w:t xml:space="preserve">（5）视频电平：视频全讯号幅度为 1Ⅴp-p，最大不超过 1.1Ⅴp-p。其中，消隐电平为 0V 时，白电平幅度 0.7Ⅴp-p，同步信号-0.3V，色同步信号幅度 0.3Vp-p (以消隐线上下对称)，全片一致； </w:t>
            </w:r>
          </w:p>
          <w:p>
            <w:pPr>
              <w:widowControl/>
              <w:spacing w:line="360" w:lineRule="exact"/>
              <w:jc w:val="left"/>
              <w:rPr>
                <w:sz w:val="24"/>
              </w:rPr>
            </w:pPr>
            <w:r>
              <w:rPr>
                <w:rFonts w:hint="eastAsia"/>
                <w:sz w:val="24"/>
              </w:rPr>
              <w:t xml:space="preserve">（6）稳定性：全片图像同步性能稳定，无失步现象，图像无过亮、过暗，人、物移动时无拖影、耀光现象，剪辑点处图像稳定，衔接自然，无空白帧，无其他图像质量问题，场景切换自然流畅，色彩无突变，画面无晃动、抖动、模糊聚焦和镜头频繁拉伸等。 </w:t>
            </w:r>
          </w:p>
          <w:p>
            <w:pPr>
              <w:widowControl/>
              <w:spacing w:line="360" w:lineRule="exact"/>
              <w:jc w:val="left"/>
              <w:rPr>
                <w:sz w:val="24"/>
              </w:rPr>
            </w:pPr>
            <w:r>
              <w:rPr>
                <w:rFonts w:hint="eastAsia"/>
                <w:sz w:val="24"/>
              </w:rPr>
              <w:t xml:space="preserve">（7）后期特效保证画面美观、色彩真实，符合摄影构图规则。 </w:t>
            </w:r>
          </w:p>
          <w:p>
            <w:pPr>
              <w:widowControl/>
              <w:spacing w:line="360" w:lineRule="exact"/>
              <w:jc w:val="left"/>
              <w:rPr>
                <w:sz w:val="24"/>
              </w:rPr>
            </w:pPr>
            <w:r>
              <w:rPr>
                <w:rFonts w:hint="eastAsia"/>
                <w:sz w:val="24"/>
              </w:rPr>
              <w:t xml:space="preserve">6.4音频压缩格式及技术参数 </w:t>
            </w:r>
          </w:p>
          <w:p>
            <w:pPr>
              <w:widowControl/>
              <w:spacing w:line="360" w:lineRule="exact"/>
              <w:jc w:val="left"/>
              <w:rPr>
                <w:sz w:val="24"/>
              </w:rPr>
            </w:pPr>
            <w:r>
              <w:rPr>
                <w:rFonts w:hint="eastAsia"/>
                <w:sz w:val="24"/>
              </w:rPr>
              <w:t xml:space="preserve">（1）音频格式采用线性高级音频编码格式，Linear AAC(Advanced Audio Coding)； </w:t>
            </w:r>
          </w:p>
          <w:p>
            <w:pPr>
              <w:widowControl/>
              <w:spacing w:line="360" w:lineRule="exact"/>
              <w:jc w:val="left"/>
              <w:rPr>
                <w:sz w:val="24"/>
              </w:rPr>
            </w:pPr>
            <w:r>
              <w:rPr>
                <w:rFonts w:hint="eastAsia"/>
                <w:sz w:val="24"/>
              </w:rPr>
              <w:t xml:space="preserve">（2）音频采样率不低于 48KHz； </w:t>
            </w:r>
          </w:p>
          <w:p>
            <w:pPr>
              <w:widowControl/>
              <w:spacing w:line="360" w:lineRule="exact"/>
              <w:jc w:val="left"/>
              <w:rPr>
                <w:sz w:val="24"/>
              </w:rPr>
            </w:pPr>
            <w:r>
              <w:rPr>
                <w:rFonts w:hint="eastAsia"/>
                <w:sz w:val="24"/>
              </w:rPr>
              <w:t xml:space="preserve">（3）音频码率不低于 1.4Mbps；64 </w:t>
            </w:r>
          </w:p>
          <w:p>
            <w:pPr>
              <w:widowControl/>
              <w:spacing w:line="360" w:lineRule="exact"/>
              <w:jc w:val="left"/>
              <w:rPr>
                <w:sz w:val="24"/>
              </w:rPr>
            </w:pPr>
            <w:r>
              <w:rPr>
                <w:rFonts w:hint="eastAsia"/>
                <w:sz w:val="24"/>
              </w:rPr>
              <w:t xml:space="preserve">（4）音频电平：-6db —— 0db； </w:t>
            </w:r>
          </w:p>
          <w:p>
            <w:pPr>
              <w:widowControl/>
              <w:spacing w:line="360" w:lineRule="exact"/>
              <w:jc w:val="left"/>
              <w:rPr>
                <w:sz w:val="24"/>
              </w:rPr>
            </w:pPr>
            <w:r>
              <w:rPr>
                <w:rFonts w:hint="eastAsia"/>
                <w:sz w:val="24"/>
              </w:rPr>
              <w:t xml:space="preserve">（5）音频信噪比大于 50db </w:t>
            </w:r>
          </w:p>
          <w:p>
            <w:pPr>
              <w:widowControl/>
              <w:spacing w:line="360" w:lineRule="exact"/>
              <w:jc w:val="left"/>
              <w:rPr>
                <w:sz w:val="24"/>
              </w:rPr>
            </w:pPr>
            <w:r>
              <w:rPr>
                <w:rFonts w:hint="eastAsia"/>
                <w:sz w:val="24"/>
              </w:rPr>
              <w:t xml:space="preserve">（6）必须是双声道，必须做混音处理； </w:t>
            </w:r>
          </w:p>
          <w:p>
            <w:pPr>
              <w:widowControl/>
              <w:spacing w:line="360" w:lineRule="exact"/>
              <w:jc w:val="left"/>
              <w:rPr>
                <w:sz w:val="24"/>
              </w:rPr>
            </w:pPr>
            <w:r>
              <w:rPr>
                <w:rFonts w:hint="eastAsia"/>
                <w:sz w:val="24"/>
              </w:rPr>
              <w:t xml:space="preserve">（7）声音效果，声音和画面同步，无明显失真、无明显噪音、回声或其它杂音，无音量忽大忽小现象； </w:t>
            </w:r>
          </w:p>
          <w:p>
            <w:pPr>
              <w:widowControl/>
              <w:spacing w:line="360" w:lineRule="exact"/>
              <w:jc w:val="left"/>
              <w:rPr>
                <w:sz w:val="24"/>
              </w:rPr>
            </w:pPr>
            <w:r>
              <w:rPr>
                <w:rFonts w:hint="eastAsia"/>
                <w:sz w:val="24"/>
              </w:rPr>
              <w:t xml:space="preserve">（8）伴音清晰、饱满、圆润，解说声与现场声无明显比例失调，解说声与背景音乐无明显比例失调，无其他声音质量问题。 </w:t>
            </w:r>
          </w:p>
          <w:p>
            <w:pPr>
              <w:widowControl/>
              <w:spacing w:line="360" w:lineRule="exact"/>
              <w:jc w:val="left"/>
              <w:rPr>
                <w:sz w:val="24"/>
              </w:rPr>
            </w:pPr>
            <w:r>
              <w:rPr>
                <w:rFonts w:hint="eastAsia"/>
                <w:sz w:val="24"/>
              </w:rPr>
              <w:t xml:space="preserve">6.5拍摄机位场景标准 </w:t>
            </w:r>
          </w:p>
          <w:p>
            <w:pPr>
              <w:widowControl/>
              <w:spacing w:line="360" w:lineRule="exact"/>
              <w:jc w:val="left"/>
              <w:rPr>
                <w:sz w:val="24"/>
              </w:rPr>
            </w:pPr>
            <w:r>
              <w:rPr>
                <w:rFonts w:hint="eastAsia"/>
                <w:sz w:val="24"/>
              </w:rPr>
              <w:t xml:space="preserve">（1）在线课程拍摄，应使用至少 2 机位多镜头同时拍摄，其中老师特写、全景机位各一台； </w:t>
            </w:r>
          </w:p>
          <w:p>
            <w:pPr>
              <w:widowControl/>
              <w:spacing w:line="360" w:lineRule="exact"/>
              <w:jc w:val="left"/>
              <w:rPr>
                <w:sz w:val="24"/>
              </w:rPr>
            </w:pPr>
            <w:r>
              <w:rPr>
                <w:rFonts w:hint="eastAsia"/>
                <w:sz w:val="24"/>
              </w:rPr>
              <w:t xml:space="preserve">（2）拍摄场景具备人物特写、板书特写、人物中景、全景扫描等场景功能。 </w:t>
            </w:r>
          </w:p>
          <w:p>
            <w:pPr>
              <w:widowControl/>
              <w:spacing w:line="360" w:lineRule="exact"/>
              <w:jc w:val="left"/>
              <w:rPr>
                <w:sz w:val="24"/>
              </w:rPr>
            </w:pPr>
            <w:r>
              <w:rPr>
                <w:rFonts w:hint="eastAsia"/>
                <w:sz w:val="24"/>
              </w:rPr>
              <w:t xml:space="preserve">7.视频剪辑 </w:t>
            </w:r>
          </w:p>
          <w:p>
            <w:pPr>
              <w:widowControl/>
              <w:spacing w:line="360" w:lineRule="exact"/>
              <w:jc w:val="left"/>
              <w:rPr>
                <w:sz w:val="24"/>
              </w:rPr>
            </w:pPr>
            <w:r>
              <w:rPr>
                <w:rFonts w:hint="eastAsia"/>
                <w:sz w:val="24"/>
              </w:rPr>
              <w:t xml:space="preserve">7.1使用专业的非线性编辑系统对源视频进行剪辑，要求剪辑流畅，无生硬镜头，无空白帧，转场特效明确、自然。 </w:t>
            </w:r>
          </w:p>
          <w:p>
            <w:pPr>
              <w:widowControl/>
              <w:spacing w:line="360" w:lineRule="exact"/>
              <w:jc w:val="left"/>
              <w:rPr>
                <w:sz w:val="24"/>
              </w:rPr>
            </w:pPr>
            <w:r>
              <w:rPr>
                <w:rFonts w:hint="eastAsia"/>
                <w:sz w:val="24"/>
              </w:rPr>
              <w:t xml:space="preserve">成片标准： </w:t>
            </w:r>
          </w:p>
          <w:p>
            <w:pPr>
              <w:widowControl/>
              <w:spacing w:line="360" w:lineRule="exact"/>
              <w:jc w:val="left"/>
              <w:rPr>
                <w:sz w:val="24"/>
              </w:rPr>
            </w:pPr>
            <w:r>
              <w:rPr>
                <w:rFonts w:hint="eastAsia"/>
                <w:sz w:val="24"/>
              </w:rPr>
              <w:t xml:space="preserve">（1）视频压缩格式及技术参数：视频压缩采用 H.264/AVC (MPEG-4 Part10)编码、使用二次编码、不包含字幕的 MP4 格式。 </w:t>
            </w:r>
          </w:p>
          <w:p>
            <w:pPr>
              <w:widowControl/>
              <w:spacing w:line="360" w:lineRule="exact"/>
              <w:jc w:val="left"/>
              <w:rPr>
                <w:sz w:val="24"/>
              </w:rPr>
            </w:pPr>
            <w:r>
              <w:rPr>
                <w:rFonts w:hint="eastAsia"/>
                <w:sz w:val="24"/>
              </w:rPr>
              <w:t xml:space="preserve">（2）视频码流率：动态码流的最高码率不高于 2500 Kbps，最低码率不得低于1024Kbps。 </w:t>
            </w:r>
          </w:p>
          <w:p>
            <w:pPr>
              <w:widowControl/>
              <w:spacing w:line="360" w:lineRule="exact"/>
              <w:jc w:val="left"/>
              <w:rPr>
                <w:sz w:val="24"/>
              </w:rPr>
            </w:pPr>
            <w:r>
              <w:rPr>
                <w:rFonts w:hint="eastAsia"/>
                <w:sz w:val="24"/>
              </w:rPr>
              <w:t xml:space="preserve">（3）视频分辨率：前期采用高清 16:9 拍摄时，设定为 1920*1080。在同一课程中，各讲的视频分辨率统一，统一高清。 </w:t>
            </w:r>
          </w:p>
          <w:p>
            <w:pPr>
              <w:widowControl/>
              <w:spacing w:line="360" w:lineRule="exact"/>
              <w:jc w:val="left"/>
              <w:rPr>
                <w:sz w:val="24"/>
              </w:rPr>
            </w:pPr>
            <w:r>
              <w:rPr>
                <w:rFonts w:hint="eastAsia"/>
                <w:sz w:val="24"/>
              </w:rPr>
              <w:t xml:space="preserve">（4）视频画幅宽高比：分辨率设定为 1920*1080 的，选定为 16:9。在同一课程中，各讲画幅的宽高比统一。视频帧率为 25 帧/秒。扫描方式采用逐行扫描。 </w:t>
            </w:r>
          </w:p>
          <w:p>
            <w:pPr>
              <w:widowControl/>
              <w:spacing w:line="360" w:lineRule="exact"/>
              <w:jc w:val="left"/>
              <w:rPr>
                <w:sz w:val="24"/>
              </w:rPr>
            </w:pPr>
            <w:r>
              <w:rPr>
                <w:rFonts w:hint="eastAsia"/>
                <w:sz w:val="24"/>
              </w:rPr>
              <w:t xml:space="preserve">7.2音频压缩格式及技术参数： </w:t>
            </w:r>
          </w:p>
          <w:p>
            <w:pPr>
              <w:widowControl/>
              <w:spacing w:line="360" w:lineRule="exact"/>
              <w:jc w:val="left"/>
              <w:rPr>
                <w:sz w:val="24"/>
              </w:rPr>
            </w:pPr>
            <w:r>
              <w:rPr>
                <w:rFonts w:hint="eastAsia"/>
                <w:sz w:val="24"/>
              </w:rPr>
              <w:t xml:space="preserve">音频压缩采用 AAC(MPEG4 Part3)格式。采样率 48KHz。音频码流率 128Kbps (恒定)。必须是双声道，须做混音处理。 </w:t>
            </w:r>
          </w:p>
          <w:p>
            <w:pPr>
              <w:widowControl/>
              <w:spacing w:line="360" w:lineRule="exact"/>
              <w:jc w:val="left"/>
              <w:rPr>
                <w:sz w:val="24"/>
              </w:rPr>
            </w:pPr>
            <w:r>
              <w:rPr>
                <w:rFonts w:hint="eastAsia"/>
                <w:sz w:val="24"/>
              </w:rPr>
              <w:t xml:space="preserve">8.外挂字幕文件 </w:t>
            </w:r>
          </w:p>
          <w:p>
            <w:pPr>
              <w:widowControl/>
              <w:spacing w:line="360" w:lineRule="exact"/>
              <w:jc w:val="left"/>
              <w:rPr>
                <w:sz w:val="24"/>
              </w:rPr>
            </w:pPr>
            <w:r>
              <w:rPr>
                <w:rFonts w:hint="eastAsia"/>
                <w:sz w:val="24"/>
              </w:rPr>
              <w:t xml:space="preserve">8.1字幕要使用符合国家标准的规范字，不出现繁体字、异体字（国家规定的除外）、错别字。 </w:t>
            </w:r>
          </w:p>
          <w:p>
            <w:pPr>
              <w:widowControl/>
              <w:spacing w:line="360" w:lineRule="exact"/>
              <w:jc w:val="left"/>
              <w:rPr>
                <w:sz w:val="24"/>
              </w:rPr>
            </w:pPr>
            <w:r>
              <w:rPr>
                <w:rFonts w:hint="eastAsia"/>
                <w:sz w:val="24"/>
              </w:rPr>
              <w:t>8.2字幕无口述性逻辑错误，单行显示，每行不超过 15 字。</w:t>
            </w:r>
          </w:p>
          <w:p>
            <w:pPr>
              <w:widowControl/>
              <w:spacing w:line="360" w:lineRule="exact"/>
              <w:jc w:val="left"/>
              <w:rPr>
                <w:sz w:val="24"/>
              </w:rPr>
            </w:pPr>
            <w:r>
              <w:rPr>
                <w:rFonts w:hint="eastAsia"/>
                <w:sz w:val="24"/>
              </w:rPr>
              <w:t xml:space="preserve">8.3字幕的字体、大小、 色彩搭配、摆放位置、停留时间、出入屏方式力求与其他要素（画面、解说词、音乐）配合适当，不破坏原有画面。 </w:t>
            </w:r>
          </w:p>
          <w:p>
            <w:pPr>
              <w:widowControl/>
              <w:spacing w:line="360" w:lineRule="exact"/>
              <w:jc w:val="left"/>
              <w:rPr>
                <w:sz w:val="24"/>
              </w:rPr>
            </w:pPr>
            <w:r>
              <w:rPr>
                <w:rFonts w:hint="eastAsia"/>
                <w:sz w:val="24"/>
              </w:rPr>
              <w:t xml:space="preserve">8.4字幕不能固定加在视频上，必须以单独的 SRT 文件格式提供。 </w:t>
            </w:r>
          </w:p>
          <w:p>
            <w:pPr>
              <w:widowControl/>
              <w:spacing w:line="360" w:lineRule="exact"/>
              <w:jc w:val="left"/>
              <w:rPr>
                <w:sz w:val="24"/>
              </w:rPr>
            </w:pPr>
            <w:r>
              <w:rPr>
                <w:rFonts w:hint="eastAsia"/>
                <w:sz w:val="24"/>
              </w:rPr>
              <w:t xml:space="preserve">8.5字幕采用 UTF-8 编码，时间轴准确，字幕出现时间与视频声音一致，音频对轨误差不超过 500 毫秒。 </w:t>
            </w:r>
          </w:p>
          <w:p>
            <w:pPr>
              <w:widowControl/>
              <w:spacing w:line="360" w:lineRule="exact"/>
              <w:jc w:val="left"/>
              <w:rPr>
                <w:sz w:val="24"/>
              </w:rPr>
            </w:pPr>
            <w:r>
              <w:rPr>
                <w:rFonts w:hint="eastAsia"/>
                <w:sz w:val="24"/>
              </w:rPr>
              <w:t xml:space="preserve">9.视频包装 </w:t>
            </w:r>
          </w:p>
          <w:p>
            <w:pPr>
              <w:widowControl/>
              <w:spacing w:line="360" w:lineRule="exact"/>
              <w:jc w:val="left"/>
              <w:rPr>
                <w:sz w:val="24"/>
              </w:rPr>
            </w:pPr>
            <w:r>
              <w:rPr>
                <w:rFonts w:hint="eastAsia"/>
                <w:sz w:val="24"/>
              </w:rPr>
              <w:t xml:space="preserve">9.1调色师使用专业后期调色软件对视频进行后期调色。 </w:t>
            </w:r>
          </w:p>
          <w:p>
            <w:pPr>
              <w:widowControl/>
              <w:spacing w:line="360" w:lineRule="exact"/>
              <w:jc w:val="left"/>
              <w:rPr>
                <w:sz w:val="24"/>
              </w:rPr>
            </w:pPr>
            <w:r>
              <w:rPr>
                <w:rFonts w:hint="eastAsia"/>
                <w:sz w:val="24"/>
              </w:rPr>
              <w:t xml:space="preserve">9.2特效包装师使用但不限于 AE、Photoshop、3DMax、Maya 等软件进行视频包装。 </w:t>
            </w:r>
          </w:p>
          <w:p>
            <w:pPr>
              <w:widowControl/>
              <w:spacing w:line="360" w:lineRule="exact"/>
              <w:jc w:val="left"/>
              <w:rPr>
                <w:sz w:val="24"/>
              </w:rPr>
            </w:pPr>
            <w:r>
              <w:rPr>
                <w:rFonts w:hint="eastAsia"/>
                <w:sz w:val="24"/>
              </w:rPr>
              <w:t xml:space="preserve">9.3根据要求把成品视频转换成高清、标清、网络播放等 AVI、MPEG、MP4、MOV、FLV 格式等。 </w:t>
            </w:r>
          </w:p>
          <w:p>
            <w:pPr>
              <w:widowControl/>
              <w:spacing w:line="360" w:lineRule="exact"/>
              <w:jc w:val="left"/>
              <w:rPr>
                <w:sz w:val="24"/>
              </w:rPr>
            </w:pPr>
            <w:r>
              <w:rPr>
                <w:rFonts w:hint="eastAsia"/>
                <w:sz w:val="24"/>
              </w:rPr>
              <w:t xml:space="preserve">10.制作能力 </w:t>
            </w:r>
          </w:p>
          <w:p>
            <w:pPr>
              <w:widowControl/>
              <w:spacing w:line="360" w:lineRule="exact"/>
              <w:ind w:firstLine="240" w:firstLineChars="100"/>
              <w:jc w:val="left"/>
              <w:rPr>
                <w:sz w:val="24"/>
              </w:rPr>
            </w:pPr>
            <w:r>
              <w:rPr>
                <w:rFonts w:hint="eastAsia"/>
                <w:sz w:val="24"/>
              </w:rPr>
              <w:t>要求供应商具有完善的课程建设项目管理机制和线上项目进度管理系统，供应商提供的管理平台应起到充分的项目过程管理作用，保障项目进度，有可视化可追踪的功能模块辅助招标方全面掌控项目质量和效率。此项功能要求演示。</w:t>
            </w:r>
          </w:p>
          <w:p>
            <w:pPr>
              <w:widowControl/>
              <w:spacing w:line="360" w:lineRule="exact"/>
              <w:jc w:val="left"/>
              <w:rPr>
                <w:sz w:val="24"/>
              </w:rPr>
            </w:pPr>
            <w:r>
              <w:rPr>
                <w:rFonts w:hint="eastAsia"/>
                <w:sz w:val="24"/>
              </w:rPr>
              <w:t>10.1教师录制排期：由课程顾问根据老师实际情况进行排期及调整，并即时通报排期完成及调整情况，确保在要求的制作周期内为老师安排最优计划进行拍摄录制工作。</w:t>
            </w:r>
          </w:p>
          <w:p>
            <w:pPr>
              <w:widowControl/>
              <w:spacing w:line="360" w:lineRule="exact"/>
              <w:jc w:val="left"/>
              <w:rPr>
                <w:sz w:val="24"/>
              </w:rPr>
            </w:pPr>
            <w:r>
              <w:rPr>
                <w:rFonts w:hint="eastAsia"/>
                <w:sz w:val="24"/>
              </w:rPr>
              <w:t>10.2在系统中可以生成课程制作进度链接，外网可以实时查询课程制作进度，可生成课程进度统计图，直观展示课程每一阶段的制作进度，并在课程主页显示课程总进度百分比%。</w:t>
            </w:r>
          </w:p>
          <w:p>
            <w:pPr>
              <w:widowControl/>
              <w:spacing w:line="360" w:lineRule="exact"/>
              <w:jc w:val="left"/>
              <w:rPr>
                <w:sz w:val="24"/>
              </w:rPr>
            </w:pPr>
            <w:r>
              <w:rPr>
                <w:rFonts w:hint="eastAsia"/>
                <w:sz w:val="24"/>
              </w:rPr>
              <w:t>10.3系统可追溯到课程制作中每一个环节的详细信息。</w:t>
            </w:r>
          </w:p>
          <w:p>
            <w:pPr>
              <w:widowControl/>
              <w:spacing w:line="360" w:lineRule="exact"/>
              <w:jc w:val="left"/>
              <w:rPr>
                <w:sz w:val="24"/>
              </w:rPr>
            </w:pPr>
            <w:r>
              <w:rPr>
                <w:rFonts w:hint="eastAsia"/>
                <w:sz w:val="24"/>
              </w:rPr>
              <w:t>10.4剪辑完成的知识点视频可以上传到平台进行在线播放。</w:t>
            </w:r>
          </w:p>
          <w:p>
            <w:pPr>
              <w:widowControl/>
              <w:spacing w:line="360" w:lineRule="exact"/>
              <w:jc w:val="left"/>
              <w:rPr>
                <w:sz w:val="24"/>
              </w:rPr>
            </w:pPr>
            <w:r>
              <w:rPr>
                <w:rFonts w:hint="eastAsia"/>
                <w:sz w:val="24"/>
              </w:rPr>
              <w:t>10.5视频修改意见：课程团队教师可在线对课程视频进行审核，视频播放过程中老师可以随时暂停，记录当前视频时间点撰写修改意见，供应商课程顾问及后期剪辑工作人员查看并及时沟通修改。</w:t>
            </w:r>
          </w:p>
          <w:p>
            <w:pPr>
              <w:widowControl/>
              <w:spacing w:line="360" w:lineRule="exact"/>
              <w:jc w:val="left"/>
              <w:rPr>
                <w:sz w:val="24"/>
              </w:rPr>
            </w:pPr>
            <w:r>
              <w:rPr>
                <w:rFonts w:hint="eastAsia"/>
                <w:sz w:val="24"/>
              </w:rPr>
              <w:t xml:space="preserve">11.版权问题 </w:t>
            </w:r>
          </w:p>
          <w:p>
            <w:pPr>
              <w:widowControl/>
              <w:spacing w:line="360" w:lineRule="exact"/>
              <w:jc w:val="left"/>
              <w:rPr>
                <w:sz w:val="24"/>
              </w:rPr>
            </w:pPr>
            <w:r>
              <w:rPr>
                <w:rFonts w:hint="eastAsia"/>
                <w:sz w:val="24"/>
              </w:rPr>
              <w:t>11.1在制作时需注意成片中所使用的图片、音视频等素材的版权问题。如出现版权纠纷，所有的法律责任和经济赔偿均由制作方承担；</w:t>
            </w:r>
          </w:p>
          <w:p>
            <w:pPr>
              <w:widowControl/>
              <w:spacing w:line="360" w:lineRule="exact"/>
              <w:jc w:val="left"/>
              <w:rPr>
                <w:sz w:val="24"/>
              </w:rPr>
            </w:pPr>
            <w:r>
              <w:rPr>
                <w:rFonts w:hint="eastAsia"/>
                <w:sz w:val="24"/>
              </w:rPr>
              <w:t xml:space="preserve">11.2对授课案例中的当事人肖像权、隐私等采取适当技术手段处理。如出现侵权纠纷，所有的法律责任和经济赔偿均由制作方承担； </w:t>
            </w:r>
          </w:p>
          <w:p>
            <w:pPr>
              <w:widowControl/>
              <w:spacing w:line="360" w:lineRule="exact"/>
              <w:jc w:val="left"/>
              <w:rPr>
                <w:sz w:val="24"/>
              </w:rPr>
            </w:pPr>
            <w:r>
              <w:rPr>
                <w:rFonts w:hint="eastAsia"/>
                <w:sz w:val="24"/>
              </w:rPr>
              <w:t xml:space="preserve">11.3所有制作完成的课程成品，其版权归青海民族大学所有，服务商必须尊重和保护青海民族大学的知识产权，未经允许，任何单位和个人不得进行商业传播。 </w:t>
            </w:r>
          </w:p>
          <w:p>
            <w:pPr>
              <w:widowControl/>
              <w:spacing w:line="360" w:lineRule="exact"/>
              <w:jc w:val="left"/>
              <w:rPr>
                <w:sz w:val="24"/>
              </w:rPr>
            </w:pPr>
            <w:r>
              <w:rPr>
                <w:rFonts w:hint="eastAsia"/>
                <w:sz w:val="24"/>
              </w:rPr>
              <w:t>11.4所有资料提供出处并在片尾声明。</w:t>
            </w:r>
          </w:p>
          <w:p>
            <w:pPr>
              <w:widowControl/>
              <w:spacing w:line="360" w:lineRule="exact"/>
              <w:jc w:val="left"/>
              <w:rPr>
                <w:sz w:val="24"/>
              </w:rPr>
            </w:pPr>
            <w:r>
              <w:rPr>
                <w:rFonts w:hint="eastAsia"/>
                <w:sz w:val="24"/>
              </w:rPr>
              <w:t>12.课程上线及运行</w:t>
            </w:r>
          </w:p>
          <w:p>
            <w:pPr>
              <w:widowControl/>
              <w:spacing w:line="360" w:lineRule="exact"/>
              <w:jc w:val="left"/>
              <w:rPr>
                <w:sz w:val="24"/>
              </w:rPr>
            </w:pPr>
            <w:r>
              <w:rPr>
                <w:rFonts w:hint="eastAsia"/>
                <w:sz w:val="24"/>
              </w:rPr>
              <w:t>12.1交付的课程能在校内平台运行的同时，制作人可提供全国在线开放课程平台并负责本项目课程免费上线，有能力对需要推广的课程进行全国公开共享，投标人提供的平台须为符合教育部在线精品课程认定、信息安全等级保护认证符合国家有关规定的在线开放课程平台，提供相关证明。</w:t>
            </w:r>
          </w:p>
          <w:p>
            <w:pPr>
              <w:widowControl/>
              <w:spacing w:line="360" w:lineRule="exact"/>
              <w:jc w:val="left"/>
              <w:rPr>
                <w:sz w:val="24"/>
              </w:rPr>
            </w:pPr>
            <w:r>
              <w:rPr>
                <w:rFonts w:hint="eastAsia"/>
                <w:sz w:val="24"/>
              </w:rPr>
              <w:t>12.2投标人有专业的选课运营服务团队，提供2019年后专职服务人员合同复印件并加盖公章。可面向全体社会学习者免费提供在线学习服务，支持高校开展开放式教学，提升学校影响力。</w:t>
            </w:r>
          </w:p>
          <w:p>
            <w:pPr>
              <w:widowControl/>
              <w:spacing w:line="360" w:lineRule="exact"/>
              <w:jc w:val="left"/>
              <w:rPr>
                <w:sz w:val="24"/>
              </w:rPr>
            </w:pPr>
            <w:r>
              <w:rPr>
                <w:rFonts w:hint="eastAsia"/>
                <w:sz w:val="24"/>
              </w:rPr>
              <w:t>12.3平台有课程专属推广页面，在课程运行推广时能够同时显示本门课程运行基本情况，如全国选课学校的数量、选课学校名称、运行周期、选课学生总人数、未报到人数等信息。要求提供图片证明。</w:t>
            </w:r>
          </w:p>
          <w:p>
            <w:pPr>
              <w:widowControl/>
              <w:spacing w:line="360" w:lineRule="exact"/>
              <w:jc w:val="left"/>
              <w:rPr>
                <w:sz w:val="24"/>
              </w:rPr>
            </w:pPr>
            <w:r>
              <w:rPr>
                <w:rFonts w:hint="eastAsia"/>
                <w:sz w:val="24"/>
              </w:rPr>
              <w:t>12.4投标人提供的课程运行平台需属于自有平台，符合国家级在线精品课程运行要求。所在平台可为教师完成课程建设、教学互动管理、教学事务处理、直播服务、教学研讨服务和课程质量分析服务。</w:t>
            </w:r>
          </w:p>
          <w:p>
            <w:pPr>
              <w:widowControl/>
              <w:spacing w:line="360" w:lineRule="exact"/>
              <w:jc w:val="left"/>
              <w:rPr>
                <w:sz w:val="24"/>
              </w:rPr>
            </w:pPr>
            <w:r>
              <w:rPr>
                <w:rFonts w:hint="eastAsia"/>
                <w:sz w:val="24"/>
              </w:rPr>
              <w:t>12.5投标人制作课程可通过其提供的平台为主申报平台进行申报评审，提供国家级线上课程认定结果达100门（含）以上的申报业绩证明。要求投标人企业与投标人提供的平台为同一厂商，提供国家教育部公示的课程评审名单证明。</w:t>
            </w:r>
          </w:p>
        </w:tc>
        <w:tc>
          <w:tcPr>
            <w:tcW w:w="58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left"/>
              <w:rPr>
                <w:sz w:val="24"/>
              </w:rPr>
            </w:pPr>
            <w:r>
              <w:rPr>
                <w:sz w:val="24"/>
              </w:rPr>
              <w:t>8</w:t>
            </w:r>
          </w:p>
        </w:tc>
        <w:tc>
          <w:tcPr>
            <w:tcW w:w="33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left"/>
              <w:rPr>
                <w:sz w:val="24"/>
              </w:rPr>
            </w:pPr>
            <w:r>
              <w:rPr>
                <w:rFonts w:hint="eastAsia"/>
                <w:sz w:val="24"/>
              </w:rPr>
              <w:t>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3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left"/>
              <w:rPr>
                <w:rFonts w:eastAsia="宋体"/>
                <w:sz w:val="24"/>
              </w:rPr>
            </w:pPr>
            <w:r>
              <w:rPr>
                <w:rFonts w:hint="eastAsia" w:eastAsia="宋体"/>
                <w:sz w:val="24"/>
              </w:rPr>
              <w:t>2</w:t>
            </w:r>
          </w:p>
        </w:tc>
        <w:tc>
          <w:tcPr>
            <w:tcW w:w="82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left"/>
              <w:rPr>
                <w:sz w:val="24"/>
              </w:rPr>
            </w:pPr>
            <w:r>
              <w:rPr>
                <w:rFonts w:hint="eastAsia"/>
                <w:sz w:val="24"/>
              </w:rPr>
              <w:t>虚拟仿真实验课程建设</w:t>
            </w:r>
          </w:p>
        </w:tc>
        <w:tc>
          <w:tcPr>
            <w:tcW w:w="788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exact"/>
              <w:jc w:val="left"/>
              <w:rPr>
                <w:sz w:val="24"/>
              </w:rPr>
            </w:pPr>
            <w:r>
              <w:rPr>
                <w:rFonts w:hint="eastAsia"/>
                <w:sz w:val="24"/>
              </w:rPr>
              <w:t>1.虚拟仿真实验课程技术要求</w:t>
            </w:r>
          </w:p>
          <w:p>
            <w:pPr>
              <w:widowControl/>
              <w:spacing w:line="360" w:lineRule="exact"/>
              <w:jc w:val="left"/>
              <w:rPr>
                <w:sz w:val="24"/>
              </w:rPr>
            </w:pPr>
            <w:r>
              <w:rPr>
                <w:rFonts w:hint="eastAsia"/>
                <w:sz w:val="24"/>
              </w:rPr>
              <w:t>虚拟仿真实验课程每门完整操作步骤不少于10步，实验教学简介视频不超过3分钟，教学引导视频5-8分钟，虚拟仿真实验课程运行平台1套。 1.1真实3D模型设计需具有典型性、还原逼真、比例适当、应具有光源影响和阴影效果，利于学生熟悉真实场景，提高实验效果。</w:t>
            </w:r>
          </w:p>
          <w:p>
            <w:pPr>
              <w:widowControl/>
              <w:spacing w:line="360" w:lineRule="exact"/>
              <w:jc w:val="left"/>
              <w:rPr>
                <w:sz w:val="24"/>
              </w:rPr>
            </w:pPr>
            <w:r>
              <w:rPr>
                <w:rFonts w:hint="eastAsia"/>
                <w:sz w:val="24"/>
              </w:rPr>
              <w:t>1.2系统实验场景内的全部模型需要采用法线贴图来描绘物体表面细节的凸凹变化、使用颜色贴图表现物体的颜色和纹理、使用高光贴图表现物体在光线照射条件下体现出的质感。</w:t>
            </w:r>
          </w:p>
          <w:p>
            <w:pPr>
              <w:widowControl/>
              <w:spacing w:line="360" w:lineRule="exact"/>
              <w:jc w:val="left"/>
              <w:rPr>
                <w:sz w:val="24"/>
              </w:rPr>
            </w:pPr>
            <w:r>
              <w:rPr>
                <w:rFonts w:hint="eastAsia"/>
                <w:sz w:val="24"/>
              </w:rPr>
              <w:t>1.3系统操作方式简洁、直观、易于理解，符合常规操作习惯，不能经常造成大多数用户的不适；操作应自由灵活，符合实际情况；系统不能卡顿，崩溃或丢失数据；应用程序必须摆脱颠簸、抖动和黑色拖尾效应。</w:t>
            </w:r>
          </w:p>
          <w:p>
            <w:pPr>
              <w:widowControl/>
              <w:spacing w:line="360" w:lineRule="exact"/>
              <w:jc w:val="left"/>
              <w:rPr>
                <w:sz w:val="24"/>
              </w:rPr>
            </w:pPr>
            <w:r>
              <w:rPr>
                <w:rFonts w:hint="eastAsia"/>
                <w:sz w:val="24"/>
              </w:rPr>
              <w:t>1.4系统二维界面应符合课程特色，与学科内容相结合。</w:t>
            </w:r>
          </w:p>
          <w:p>
            <w:pPr>
              <w:widowControl/>
              <w:spacing w:line="360" w:lineRule="exact"/>
              <w:jc w:val="left"/>
              <w:rPr>
                <w:sz w:val="24"/>
              </w:rPr>
            </w:pPr>
            <w:r>
              <w:rPr>
                <w:rFonts w:hint="eastAsia"/>
                <w:sz w:val="24"/>
              </w:rPr>
              <w:t>1.5实验教学简介视频及教学引导视频要求画面清晰、图像稳定，声音与画面同步且无杂音。如有解说应采用标准普通话配音。分辨率：1920*1080 25P 或以上；编码为：H.264，H.264/AVC High Profile Level 4.2 或以上；封装格式为：MP4；码流为：不小于 2 Mbps。视频文件不超过 500MB。</w:t>
            </w:r>
          </w:p>
          <w:p>
            <w:pPr>
              <w:widowControl/>
              <w:spacing w:line="360" w:lineRule="exact"/>
              <w:jc w:val="left"/>
              <w:rPr>
                <w:sz w:val="24"/>
              </w:rPr>
            </w:pPr>
            <w:r>
              <w:rPr>
                <w:rFonts w:hint="eastAsia"/>
                <w:sz w:val="24"/>
              </w:rPr>
              <w:t>音频格式为：混合立体声；编码为：AAC、MP3；码流为：不低于 128kbps，采样率 48000Hz。</w:t>
            </w:r>
          </w:p>
          <w:p>
            <w:pPr>
              <w:widowControl/>
              <w:spacing w:line="360" w:lineRule="exact"/>
              <w:jc w:val="left"/>
              <w:rPr>
                <w:sz w:val="24"/>
              </w:rPr>
            </w:pPr>
            <w:r>
              <w:rPr>
                <w:rFonts w:hint="eastAsia"/>
                <w:sz w:val="24"/>
              </w:rPr>
              <w:t>字幕要求：直接压制在介质上</w:t>
            </w:r>
          </w:p>
          <w:p>
            <w:pPr>
              <w:widowControl/>
              <w:spacing w:line="360" w:lineRule="exact"/>
              <w:jc w:val="left"/>
              <w:rPr>
                <w:sz w:val="24"/>
              </w:rPr>
            </w:pPr>
            <w:r>
              <w:rPr>
                <w:rFonts w:hint="eastAsia"/>
                <w:sz w:val="24"/>
              </w:rPr>
              <w:t>1.6阶段漫游：可在虚拟环境中实现自主操控、按任意路径漫游，仿真度高；</w:t>
            </w:r>
          </w:p>
          <w:p>
            <w:pPr>
              <w:widowControl/>
              <w:spacing w:line="360" w:lineRule="exact"/>
              <w:jc w:val="left"/>
              <w:rPr>
                <w:sz w:val="24"/>
              </w:rPr>
            </w:pPr>
            <w:r>
              <w:rPr>
                <w:rFonts w:hint="eastAsia"/>
                <w:sz w:val="24"/>
              </w:rPr>
              <w:t>1.7以3D形式模拟实验流程所有关键点动态特性，能够体现实验操作过程，满足实验操作训练要求，能够安全、长周期运行；</w:t>
            </w:r>
          </w:p>
          <w:p>
            <w:pPr>
              <w:widowControl/>
              <w:spacing w:line="360" w:lineRule="exact"/>
              <w:jc w:val="left"/>
              <w:rPr>
                <w:sz w:val="24"/>
              </w:rPr>
            </w:pPr>
            <w:r>
              <w:rPr>
                <w:rFonts w:hint="eastAsia"/>
                <w:sz w:val="24"/>
              </w:rPr>
              <w:t>1.8虚实结合：本实验项目可在虚拟环境中单独实施，也可以结合硬件完成虚实结合实验内容；</w:t>
            </w:r>
          </w:p>
          <w:p>
            <w:pPr>
              <w:widowControl/>
              <w:spacing w:line="360" w:lineRule="exact"/>
              <w:jc w:val="left"/>
              <w:rPr>
                <w:sz w:val="24"/>
              </w:rPr>
            </w:pPr>
            <w:r>
              <w:rPr>
                <w:rFonts w:hint="eastAsia"/>
                <w:sz w:val="24"/>
              </w:rPr>
              <w:t>1.9在项目质保期内，提供免费的升级更新服务，并对项目进行维护和故障排除。</w:t>
            </w:r>
          </w:p>
          <w:p>
            <w:pPr>
              <w:widowControl/>
              <w:spacing w:line="360" w:lineRule="exact"/>
              <w:jc w:val="left"/>
              <w:rPr>
                <w:sz w:val="24"/>
              </w:rPr>
            </w:pPr>
            <w:r>
              <w:rPr>
                <w:rFonts w:hint="eastAsia"/>
                <w:sz w:val="24"/>
              </w:rPr>
              <w:t>1.10提供软件著作权申请材料</w:t>
            </w:r>
          </w:p>
          <w:p>
            <w:pPr>
              <w:widowControl/>
              <w:spacing w:line="360" w:lineRule="exact"/>
              <w:jc w:val="left"/>
              <w:rPr>
                <w:sz w:val="24"/>
              </w:rPr>
            </w:pPr>
            <w:r>
              <w:rPr>
                <w:rFonts w:hint="eastAsia"/>
                <w:sz w:val="24"/>
              </w:rPr>
              <w:t>2.虚拟仿真实验系统内容</w:t>
            </w:r>
          </w:p>
          <w:p>
            <w:pPr>
              <w:widowControl/>
              <w:spacing w:line="360" w:lineRule="exact"/>
              <w:jc w:val="left"/>
              <w:rPr>
                <w:sz w:val="24"/>
              </w:rPr>
            </w:pPr>
            <w:r>
              <w:rPr>
                <w:rFonts w:hint="eastAsia"/>
                <w:sz w:val="24"/>
              </w:rPr>
              <w:t>2.1系统概况</w:t>
            </w:r>
          </w:p>
          <w:p>
            <w:pPr>
              <w:widowControl/>
              <w:spacing w:line="360" w:lineRule="exact"/>
              <w:jc w:val="left"/>
              <w:rPr>
                <w:sz w:val="24"/>
              </w:rPr>
            </w:pPr>
            <w:r>
              <w:rPr>
                <w:rFonts w:hint="eastAsia"/>
                <w:sz w:val="24"/>
              </w:rPr>
              <w:t>该项目通过三维虚拟仿真技术，以网页为载体，呈现时间空间的仿真实验环境与实验过程。通过本仿真系统，让学生掌握了解相关课程内容。</w:t>
            </w:r>
          </w:p>
          <w:p>
            <w:pPr>
              <w:widowControl/>
              <w:spacing w:line="360" w:lineRule="exact"/>
              <w:jc w:val="left"/>
              <w:rPr>
                <w:sz w:val="24"/>
              </w:rPr>
            </w:pPr>
            <w:r>
              <w:rPr>
                <w:rFonts w:hint="eastAsia"/>
                <w:sz w:val="24"/>
              </w:rPr>
              <w:t>2.2系统架构</w:t>
            </w:r>
          </w:p>
          <w:p>
            <w:pPr>
              <w:widowControl/>
              <w:spacing w:line="360" w:lineRule="exact"/>
              <w:jc w:val="left"/>
              <w:rPr>
                <w:sz w:val="24"/>
              </w:rPr>
            </w:pPr>
            <w:r>
              <w:rPr>
                <w:rFonts w:hint="eastAsia"/>
                <w:sz w:val="24"/>
              </w:rPr>
              <w:t>实验者登录开放共享的实验平台验证权限后可加载该门课程的虚拟仿真实验资源，无需下载任何插件。系统可选择性设置学习模式和考核模式两种实验模式。</w:t>
            </w:r>
          </w:p>
          <w:p>
            <w:pPr>
              <w:widowControl/>
              <w:spacing w:line="360" w:lineRule="exact"/>
              <w:jc w:val="left"/>
              <w:rPr>
                <w:sz w:val="24"/>
              </w:rPr>
            </w:pPr>
            <w:r>
              <w:rPr>
                <w:rFonts w:hint="eastAsia"/>
                <w:sz w:val="24"/>
              </w:rPr>
              <w:t>(1)学习模式</w:t>
            </w:r>
          </w:p>
          <w:p>
            <w:pPr>
              <w:widowControl/>
              <w:spacing w:line="360" w:lineRule="exact"/>
              <w:jc w:val="left"/>
              <w:rPr>
                <w:sz w:val="24"/>
              </w:rPr>
            </w:pPr>
            <w:r>
              <w:rPr>
                <w:rFonts w:hint="eastAsia"/>
                <w:sz w:val="24"/>
              </w:rPr>
              <w:t>当学生完成学习模式之后就会解锁实验的考核模式，在考核模式中学生需要自主判断进行实验，并根据学生的操作情况获得对应的实验得分。</w:t>
            </w:r>
          </w:p>
          <w:p>
            <w:pPr>
              <w:widowControl/>
              <w:spacing w:line="360" w:lineRule="exact"/>
              <w:jc w:val="left"/>
              <w:rPr>
                <w:sz w:val="24"/>
              </w:rPr>
            </w:pPr>
            <w:r>
              <w:rPr>
                <w:rFonts w:hint="eastAsia"/>
                <w:sz w:val="24"/>
              </w:rPr>
              <w:t>(2)考核模式</w:t>
            </w:r>
          </w:p>
          <w:p>
            <w:pPr>
              <w:widowControl/>
              <w:spacing w:line="360" w:lineRule="exact"/>
              <w:jc w:val="left"/>
              <w:rPr>
                <w:sz w:val="24"/>
              </w:rPr>
            </w:pPr>
            <w:r>
              <w:rPr>
                <w:rFonts w:hint="eastAsia"/>
                <w:sz w:val="24"/>
              </w:rPr>
              <w:t>在考核模式中，可以进行随机模块的考核或指定模块进行考核，并获得对应考核的实验得分。</w:t>
            </w:r>
          </w:p>
          <w:p>
            <w:pPr>
              <w:widowControl/>
              <w:spacing w:line="360" w:lineRule="exact"/>
              <w:jc w:val="left"/>
              <w:rPr>
                <w:sz w:val="24"/>
              </w:rPr>
            </w:pPr>
            <w:r>
              <w:rPr>
                <w:rFonts w:hint="eastAsia"/>
                <w:sz w:val="24"/>
              </w:rPr>
              <w:t>2.3系统功能</w:t>
            </w:r>
          </w:p>
          <w:p>
            <w:pPr>
              <w:widowControl/>
              <w:spacing w:line="360" w:lineRule="exact"/>
              <w:jc w:val="left"/>
              <w:rPr>
                <w:sz w:val="24"/>
              </w:rPr>
            </w:pPr>
            <w:r>
              <w:rPr>
                <w:rFonts w:hint="eastAsia"/>
                <w:sz w:val="24"/>
              </w:rPr>
              <w:t>（1）要求系统采用B/S架构设计，系统架构要求具备开放性，提供完整规范的开发接口，能够满足主流平台和跨平台快速应用开发的需求，并可与国家教育部申报网站实验空间网站完成数据对接。</w:t>
            </w:r>
          </w:p>
          <w:p>
            <w:pPr>
              <w:widowControl/>
              <w:spacing w:line="360" w:lineRule="exact"/>
              <w:jc w:val="left"/>
              <w:rPr>
                <w:sz w:val="24"/>
              </w:rPr>
            </w:pPr>
            <w:r>
              <w:rPr>
                <w:rFonts w:hint="eastAsia"/>
                <w:sz w:val="24"/>
              </w:rPr>
              <w:t>（2）完全符合“国家虚拟仿真实验教学项目技术接口规范（2020 版）”的要求，识别后的用户在学校实验教学项目上的实验操作状态和产生的实验结果数据，将自动回传到实验空间，支撑数据统计和监测。</w:t>
            </w:r>
          </w:p>
          <w:p>
            <w:pPr>
              <w:widowControl/>
              <w:spacing w:line="360" w:lineRule="exact"/>
              <w:jc w:val="left"/>
              <w:rPr>
                <w:sz w:val="24"/>
              </w:rPr>
            </w:pPr>
            <w:r>
              <w:rPr>
                <w:rFonts w:hint="eastAsia"/>
                <w:sz w:val="24"/>
              </w:rPr>
              <w:t>（3）采用主流虚拟引擎制作工具，确保技术先进。支持网页界面三维虚拟仿真操作方式；采用分步骤的展示实验操作过程，支持 3D 模型任意角度的旋转、移动、缩放操作；通过键盘+鼠标的方式进行操作，体现实验资源教学过程中的人机交互功能。</w:t>
            </w:r>
          </w:p>
          <w:p>
            <w:pPr>
              <w:widowControl/>
              <w:spacing w:line="360" w:lineRule="exact"/>
              <w:jc w:val="left"/>
              <w:rPr>
                <w:sz w:val="24"/>
              </w:rPr>
            </w:pPr>
            <w:r>
              <w:rPr>
                <w:rFonts w:hint="eastAsia"/>
                <w:sz w:val="24"/>
              </w:rPr>
              <w:t>（4）要求系统可以直接发布WebGL网页版本，不用安装任何插件，通过主流浏览器直接进入实验系统完成实验操作，满足在线操作实验系统的要求。</w:t>
            </w:r>
          </w:p>
          <w:p>
            <w:pPr>
              <w:widowControl/>
              <w:spacing w:line="360" w:lineRule="exact"/>
              <w:jc w:val="left"/>
              <w:rPr>
                <w:sz w:val="24"/>
              </w:rPr>
            </w:pPr>
            <w:r>
              <w:rPr>
                <w:rFonts w:hint="eastAsia"/>
                <w:sz w:val="24"/>
              </w:rPr>
              <w:t>（5）提供课程运行共享平台，包括学生及教师账号的单点登录、课程理论学习、实验安排、实验操作、实验报告填写与提交、实验批改、实验成绩管理、课程学习情况统计、优秀实验案例展示等。</w:t>
            </w:r>
          </w:p>
          <w:p>
            <w:pPr>
              <w:widowControl/>
              <w:spacing w:line="360" w:lineRule="exact"/>
              <w:jc w:val="left"/>
              <w:rPr>
                <w:sz w:val="24"/>
              </w:rPr>
            </w:pPr>
            <w:r>
              <w:rPr>
                <w:rFonts w:hint="eastAsia"/>
                <w:sz w:val="24"/>
              </w:rPr>
              <w:t>（6）提供专属的课程展示页，包含可视化的累计课程运行数据和实时运行数据、课程介绍、师资介绍、实验操作指南、课程资料、学习记录、评审数据等。</w:t>
            </w:r>
          </w:p>
          <w:p>
            <w:pPr>
              <w:widowControl/>
              <w:spacing w:line="360" w:lineRule="exact"/>
              <w:jc w:val="left"/>
              <w:rPr>
                <w:sz w:val="24"/>
              </w:rPr>
            </w:pPr>
            <w:r>
              <w:rPr>
                <w:rFonts w:hint="eastAsia"/>
                <w:sz w:val="24"/>
              </w:rPr>
              <w:t>（7）学生能够通过互联网在线开放共享平台完成整个实验流程，以及协助教师完成实验课程相关的教学工作，协助校方的虚拟仿真课程实现校内外的线上运行管理、课程资源整合。</w:t>
            </w:r>
          </w:p>
          <w:p>
            <w:pPr>
              <w:widowControl/>
              <w:spacing w:line="360" w:lineRule="exact"/>
              <w:jc w:val="left"/>
              <w:rPr>
                <w:sz w:val="24"/>
              </w:rPr>
            </w:pPr>
            <w:r>
              <w:rPr>
                <w:rFonts w:hint="eastAsia"/>
                <w:sz w:val="24"/>
              </w:rPr>
              <w:t>（8）实验报告功能，教师可评选优秀实验报告，并展示给所有学生查看学习，促进学生间的学习交流。</w:t>
            </w:r>
          </w:p>
          <w:p>
            <w:pPr>
              <w:widowControl/>
              <w:spacing w:line="360" w:lineRule="exact"/>
              <w:jc w:val="left"/>
              <w:rPr>
                <w:sz w:val="24"/>
              </w:rPr>
            </w:pPr>
            <w:r>
              <w:rPr>
                <w:rFonts w:hint="eastAsia"/>
                <w:sz w:val="24"/>
              </w:rPr>
              <w:t>（9）课程平台需要具有一定量级的其他高校同类专业的流量资源，便于课程开放共享运行阶段积累运行数据。</w:t>
            </w:r>
          </w:p>
          <w:p>
            <w:pPr>
              <w:widowControl/>
              <w:spacing w:line="360" w:lineRule="exact"/>
              <w:jc w:val="left"/>
              <w:rPr>
                <w:sz w:val="24"/>
              </w:rPr>
            </w:pPr>
            <w:r>
              <w:rPr>
                <w:rFonts w:hint="eastAsia"/>
                <w:sz w:val="24"/>
              </w:rPr>
              <w:t>（10）要求开发的虚拟仿真系统可与校方建设的指定在线视频课程有机结合，形成理论认知与实际操作相结合的课程内容，提高课程教学和学生的学习效果。</w:t>
            </w:r>
          </w:p>
          <w:p>
            <w:pPr>
              <w:widowControl/>
              <w:spacing w:line="360" w:lineRule="exact"/>
              <w:jc w:val="left"/>
              <w:rPr>
                <w:sz w:val="24"/>
              </w:rPr>
            </w:pPr>
            <w:r>
              <w:rPr>
                <w:rFonts w:hint="eastAsia"/>
                <w:sz w:val="24"/>
              </w:rPr>
              <w:t>2.4实验交互操作内容</w:t>
            </w:r>
          </w:p>
          <w:p>
            <w:pPr>
              <w:widowControl/>
              <w:spacing w:line="360" w:lineRule="exact"/>
              <w:jc w:val="left"/>
              <w:rPr>
                <w:sz w:val="24"/>
              </w:rPr>
            </w:pPr>
            <w:r>
              <w:rPr>
                <w:rFonts w:hint="eastAsia"/>
                <w:sz w:val="24"/>
              </w:rPr>
              <w:t>在虚拟仿真实验中学生可以第一人称或第三人称视角的形式进行实验操作，进入实验；</w:t>
            </w:r>
          </w:p>
          <w:p>
            <w:pPr>
              <w:widowControl/>
              <w:spacing w:line="360" w:lineRule="exact"/>
              <w:jc w:val="left"/>
              <w:rPr>
                <w:sz w:val="24"/>
              </w:rPr>
            </w:pPr>
            <w:r>
              <w:rPr>
                <w:rFonts w:hint="eastAsia"/>
                <w:sz w:val="24"/>
              </w:rPr>
              <w:t>2.5其他要求</w:t>
            </w:r>
          </w:p>
          <w:p>
            <w:pPr>
              <w:widowControl/>
              <w:spacing w:line="360" w:lineRule="exact"/>
              <w:jc w:val="left"/>
              <w:rPr>
                <w:sz w:val="24"/>
              </w:rPr>
            </w:pPr>
            <w:r>
              <w:rPr>
                <w:rFonts w:hint="eastAsia"/>
                <w:sz w:val="24"/>
              </w:rPr>
              <w:t>（1）制作软件：选择通用的软件进行三维模型制作，如3D MAX、MAYA、ZRUSH；贴图制作常用软件Adobe Photoshop CS6、Substance Painter、BodyPaint_3D。三维模型使用贴图进行覆盖，使模型更加细致并且看起来更加真实。使用凸凹纹理映射方法，使物体看起来更立体；部分模型效果运用PBR制作流程，真实法线+高光贴图来表现物体在光线照射条件下体现出的质感，增加贴图的大小，就是画质更高、特效品质更高、动作和场景更逼真的三维场景。</w:t>
            </w:r>
          </w:p>
          <w:p>
            <w:pPr>
              <w:widowControl/>
              <w:spacing w:line="360" w:lineRule="exact"/>
              <w:jc w:val="left"/>
              <w:rPr>
                <w:sz w:val="24"/>
              </w:rPr>
            </w:pPr>
            <w:r>
              <w:rPr>
                <w:rFonts w:hint="eastAsia"/>
                <w:sz w:val="24"/>
              </w:rPr>
              <w:t>（2）模型要求：根据实验制作效果好且画面逼真的三维场景。制作要求精细、结构清晰、色彩饱和；动画连续，节奏合适；模型仿真程度高，贴图材质真实；天气等表现合理真实；建模的比例设计、实施方案符合实际需求情况；动画制作要根据人体，物体等运动规律进行制作。</w:t>
            </w:r>
          </w:p>
          <w:p>
            <w:pPr>
              <w:widowControl/>
              <w:spacing w:line="360" w:lineRule="exact"/>
              <w:jc w:val="left"/>
              <w:rPr>
                <w:sz w:val="24"/>
              </w:rPr>
            </w:pPr>
            <w:r>
              <w:rPr>
                <w:rFonts w:hint="eastAsia"/>
                <w:sz w:val="24"/>
              </w:rPr>
              <w:t>（3）模型制作基本要求；模型的效果和面数是有息息相关的，对于模型的基本要求如下，人物类：单个人物模型不少于8000面；室内场景：面数不少于15000面；室外场景：在展示的范围内不得少于10件物品，能保证画面的饱满，构图不空旷。物品器械等模型除特殊要求外需将物体进行倒角，且不得少于两条边，结构清晰展示以便更加真实。贴图要求，常规贴图尺寸要求1024*1024、2048*2048，除在最后的场景整合时增加项目进行压缩整体资源包情况，充分利用好UV进行绘制贴图；满足动画中运动规律要，所有动画要动的合理、自然、顺畅，动的符合规律。挤压与拉伸、节奏与重量，预备动作、递推动画、曲线运动、跟随运动和次要动作。</w:t>
            </w:r>
          </w:p>
          <w:p>
            <w:pPr>
              <w:widowControl/>
              <w:spacing w:line="360" w:lineRule="exact"/>
              <w:jc w:val="left"/>
              <w:rPr>
                <w:sz w:val="24"/>
              </w:rPr>
            </w:pPr>
            <w:r>
              <w:rPr>
                <w:rFonts w:hint="eastAsia"/>
                <w:sz w:val="24"/>
              </w:rPr>
              <w:t>3.虚拟仿真课程运行平台技术参数指标</w:t>
            </w:r>
          </w:p>
          <w:p>
            <w:pPr>
              <w:widowControl/>
              <w:spacing w:line="360" w:lineRule="exact"/>
              <w:jc w:val="left"/>
              <w:rPr>
                <w:sz w:val="24"/>
              </w:rPr>
            </w:pPr>
            <w:r>
              <w:rPr>
                <w:rFonts w:hint="eastAsia"/>
                <w:sz w:val="24"/>
              </w:rPr>
              <w:t>3.1要求提供虚拟仿真课程上线运行共享平台，以满足课程共享推广应用，功能要求如下：</w:t>
            </w:r>
          </w:p>
          <w:p>
            <w:pPr>
              <w:widowControl/>
              <w:spacing w:line="360" w:lineRule="exact"/>
              <w:jc w:val="left"/>
              <w:rPr>
                <w:sz w:val="24"/>
              </w:rPr>
            </w:pPr>
            <w:r>
              <w:rPr>
                <w:rFonts w:hint="eastAsia"/>
                <w:sz w:val="24"/>
              </w:rPr>
              <w:t>（1）要求平台依托云服务，可直接浏览器访问，无需下载任何插件，方便快捷，安全，稳定，快速，智能，拓展性强。</w:t>
            </w:r>
          </w:p>
          <w:p>
            <w:pPr>
              <w:widowControl/>
              <w:spacing w:line="360" w:lineRule="exact"/>
              <w:jc w:val="left"/>
              <w:rPr>
                <w:sz w:val="24"/>
              </w:rPr>
            </w:pPr>
            <w:r>
              <w:rPr>
                <w:rFonts w:hint="eastAsia"/>
                <w:sz w:val="24"/>
              </w:rPr>
              <w:t>（2）要求虚拟仿真课程内容都有独立的课程页，并可根据老师在后台设置的内容，展示实验对应的基本信息，主要包括：项目介绍、师资介绍、实验指南、实验资源、考核要求、优秀案例展示、学习记录、数据分析等。</w:t>
            </w:r>
          </w:p>
          <w:p>
            <w:pPr>
              <w:widowControl/>
              <w:spacing w:line="360" w:lineRule="exact"/>
              <w:jc w:val="left"/>
              <w:rPr>
                <w:sz w:val="24"/>
              </w:rPr>
            </w:pPr>
            <w:r>
              <w:rPr>
                <w:rFonts w:hint="eastAsia"/>
                <w:sz w:val="24"/>
              </w:rPr>
              <w:t>（3）要求附带虚仿课程资源库，方便校内学生随时加入学习更多感兴趣虚仿课程，且资源库随时添加更新资源。</w:t>
            </w:r>
          </w:p>
          <w:p>
            <w:pPr>
              <w:widowControl/>
              <w:spacing w:line="360" w:lineRule="exact"/>
              <w:jc w:val="left"/>
              <w:rPr>
                <w:sz w:val="24"/>
              </w:rPr>
            </w:pPr>
            <w:r>
              <w:rPr>
                <w:rFonts w:hint="eastAsia"/>
                <w:sz w:val="24"/>
              </w:rPr>
              <w:t>3.2管理端功能要求</w:t>
            </w:r>
          </w:p>
          <w:p>
            <w:pPr>
              <w:widowControl/>
              <w:spacing w:line="360" w:lineRule="exact"/>
              <w:jc w:val="left"/>
              <w:rPr>
                <w:sz w:val="24"/>
              </w:rPr>
            </w:pPr>
            <w:r>
              <w:rPr>
                <w:rFonts w:hint="eastAsia"/>
                <w:sz w:val="24"/>
              </w:rPr>
              <w:t>（1）要求具有账户管理功能，支持增删改查用户账户。其中权限选择：超级管理员、教师、学生。通过选择不同角色给用户分配不同的操作权限。允许批量导入账户，下载导入格式后，根据导入字段要求填写并且批量创建用户账户。</w:t>
            </w:r>
          </w:p>
          <w:p>
            <w:pPr>
              <w:widowControl/>
              <w:spacing w:line="360" w:lineRule="exact"/>
              <w:jc w:val="left"/>
              <w:rPr>
                <w:sz w:val="24"/>
              </w:rPr>
            </w:pPr>
            <w:r>
              <w:rPr>
                <w:rFonts w:hint="eastAsia"/>
                <w:sz w:val="24"/>
              </w:rPr>
              <w:t>（2）要求具有课程管理功能，根据账号的不同权限可以看到不同的课程数据，支持对待发布建课课程的编辑和删除。</w:t>
            </w:r>
          </w:p>
          <w:p>
            <w:pPr>
              <w:widowControl/>
              <w:spacing w:line="360" w:lineRule="exact"/>
              <w:jc w:val="left"/>
              <w:rPr>
                <w:sz w:val="24"/>
              </w:rPr>
            </w:pPr>
            <w:r>
              <w:rPr>
                <w:rFonts w:hint="eastAsia"/>
                <w:sz w:val="24"/>
              </w:rPr>
              <w:t>（3）要求具有学期管理功能，超级管理员可以对学期进行增、删、改、查。可以新建学期，可以设置学期名称、学期起止时间。</w:t>
            </w:r>
          </w:p>
          <w:p>
            <w:pPr>
              <w:widowControl/>
              <w:spacing w:line="360" w:lineRule="exact"/>
              <w:jc w:val="left"/>
              <w:rPr>
                <w:sz w:val="24"/>
              </w:rPr>
            </w:pPr>
            <w:r>
              <w:rPr>
                <w:rFonts w:hint="eastAsia"/>
                <w:sz w:val="24"/>
              </w:rPr>
              <w:t>（4）要求课程可以设置校外选课学期与校内选课学期，实现不同期次针对不同使用人群的灵活设置，并对校内选课群体能够进行统一管理。</w:t>
            </w:r>
          </w:p>
          <w:p>
            <w:pPr>
              <w:widowControl/>
              <w:spacing w:line="360" w:lineRule="exact"/>
              <w:jc w:val="left"/>
              <w:rPr>
                <w:sz w:val="24"/>
              </w:rPr>
            </w:pPr>
            <w:r>
              <w:rPr>
                <w:rFonts w:hint="eastAsia"/>
                <w:sz w:val="24"/>
              </w:rPr>
              <w:t>3.3教师端功能要求</w:t>
            </w:r>
          </w:p>
          <w:p>
            <w:pPr>
              <w:widowControl/>
              <w:spacing w:line="360" w:lineRule="exact"/>
              <w:jc w:val="left"/>
              <w:rPr>
                <w:sz w:val="24"/>
              </w:rPr>
            </w:pPr>
            <w:r>
              <w:rPr>
                <w:rFonts w:hint="eastAsia"/>
                <w:sz w:val="24"/>
              </w:rPr>
              <w:t>（1）要求具有学生管理功能，支持按期次（批次）维护学生，优先设置期次，确认期次结束时间。进入对应期次后，可以直接按班级导入学生。同时可以配置每个班级的负责教师。</w:t>
            </w:r>
          </w:p>
          <w:p>
            <w:pPr>
              <w:widowControl/>
              <w:spacing w:line="360" w:lineRule="exact"/>
              <w:jc w:val="left"/>
              <w:rPr>
                <w:sz w:val="24"/>
              </w:rPr>
            </w:pPr>
            <w:r>
              <w:rPr>
                <w:rFonts w:hint="eastAsia"/>
                <w:sz w:val="24"/>
              </w:rPr>
              <w:t>（2）要求具有学习记录管理功能，学生练习情况，按照班级列出平时训练情况汇总。全部训练日志，按时间排显示学生的训练日志流水，支持筛选实验、用户、状态，支持查看实验报告，若需要批阅，可直接在报告中批阅实验成绩。</w:t>
            </w:r>
          </w:p>
          <w:p>
            <w:pPr>
              <w:widowControl/>
              <w:spacing w:line="360" w:lineRule="exact"/>
              <w:jc w:val="left"/>
              <w:rPr>
                <w:sz w:val="24"/>
              </w:rPr>
            </w:pPr>
            <w:r>
              <w:rPr>
                <w:rFonts w:hint="eastAsia"/>
                <w:sz w:val="24"/>
              </w:rPr>
              <w:t>（3）要求具有问答论坛功能，支持对实验进行讨论，发表问题，并可以对学生讨论进行回答和管理，设置精华和置顶操作。</w:t>
            </w:r>
          </w:p>
          <w:p>
            <w:pPr>
              <w:widowControl/>
              <w:spacing w:line="360" w:lineRule="exact"/>
              <w:jc w:val="left"/>
              <w:rPr>
                <w:sz w:val="24"/>
              </w:rPr>
            </w:pPr>
            <w:r>
              <w:rPr>
                <w:rFonts w:hint="eastAsia"/>
                <w:sz w:val="24"/>
              </w:rPr>
              <w:t>（4）要求具有课程资料功能，教师可以上传课程资料，维护课程相关的文件，并可设置相关开放权限。</w:t>
            </w:r>
          </w:p>
          <w:p>
            <w:pPr>
              <w:widowControl/>
              <w:spacing w:line="360" w:lineRule="exact"/>
              <w:jc w:val="left"/>
              <w:rPr>
                <w:sz w:val="24"/>
              </w:rPr>
            </w:pPr>
            <w:r>
              <w:rPr>
                <w:rFonts w:hint="eastAsia"/>
                <w:sz w:val="24"/>
              </w:rPr>
              <w:t>（5）要求具有批阅实验报告功能，平台支持不同批阅形式的实验报告，包括机器批阅/人工批阅/机器人工共同批阅，并且实验报告内容能够支持静态图/动态图/文本信息/音频等格式的数据上传。</w:t>
            </w:r>
          </w:p>
          <w:p>
            <w:pPr>
              <w:widowControl/>
              <w:spacing w:line="360" w:lineRule="exact"/>
              <w:jc w:val="left"/>
              <w:rPr>
                <w:sz w:val="24"/>
              </w:rPr>
            </w:pPr>
            <w:r>
              <w:rPr>
                <w:rFonts w:hint="eastAsia"/>
                <w:sz w:val="24"/>
              </w:rPr>
              <w:t>（6）要求教师可以设置课程助教以及班级老师角色，并可对于角色权限进行控制。</w:t>
            </w:r>
          </w:p>
          <w:p>
            <w:pPr>
              <w:widowControl/>
              <w:spacing w:line="360" w:lineRule="exact"/>
              <w:jc w:val="left"/>
              <w:rPr>
                <w:sz w:val="24"/>
              </w:rPr>
            </w:pPr>
            <w:r>
              <w:rPr>
                <w:rFonts w:hint="eastAsia"/>
                <w:sz w:val="24"/>
              </w:rPr>
              <w:t>3.4学生端功能要求</w:t>
            </w:r>
          </w:p>
          <w:p>
            <w:pPr>
              <w:widowControl/>
              <w:spacing w:line="360" w:lineRule="exact"/>
              <w:jc w:val="left"/>
              <w:rPr>
                <w:sz w:val="24"/>
              </w:rPr>
            </w:pPr>
            <w:r>
              <w:rPr>
                <w:rFonts w:hint="eastAsia"/>
                <w:sz w:val="24"/>
              </w:rPr>
              <w:t>（1）学生端展示学生的所有虚仿实验课列表，学生具有个人学堂中心可以看到所学课程。</w:t>
            </w:r>
          </w:p>
          <w:p>
            <w:pPr>
              <w:widowControl/>
              <w:spacing w:line="360" w:lineRule="exact"/>
              <w:jc w:val="left"/>
              <w:rPr>
                <w:sz w:val="24"/>
              </w:rPr>
            </w:pPr>
            <w:r>
              <w:rPr>
                <w:rFonts w:hint="eastAsia"/>
                <w:sz w:val="24"/>
              </w:rPr>
              <w:t>（2）要求具有课程学习功能，显示出允许学生自行训练的全部实验资源，点击后可以进入对应的资源进行练习，系统会自动记录练习次数，还可看到自己的实验练习记录，列出该学生的实验训练流水，记录每次实验的结果，包含实验起止时间、实验成绩，若该实验有报告，还可以点击查看具体的实验报告，并且在实验报告内可设置该份报告申请教师批阅。</w:t>
            </w:r>
          </w:p>
          <w:p>
            <w:pPr>
              <w:widowControl/>
              <w:spacing w:line="360" w:lineRule="exact"/>
              <w:jc w:val="left"/>
              <w:rPr>
                <w:rFonts w:hint="eastAsia" w:eastAsia="宋体"/>
                <w:sz w:val="24"/>
                <w:lang w:eastAsia="zh-CN"/>
              </w:rPr>
            </w:pPr>
            <w:r>
              <w:rPr>
                <w:rFonts w:hint="eastAsia"/>
                <w:sz w:val="24"/>
              </w:rPr>
              <w:t>（3）要求具有问答论坛功能，可以看到该实验下的所有问答讨论，并可以进行提问、围观、回答等多种操作，和老师以及同学进行在线交流。</w:t>
            </w:r>
          </w:p>
        </w:tc>
        <w:tc>
          <w:tcPr>
            <w:tcW w:w="58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left"/>
              <w:rPr>
                <w:sz w:val="24"/>
              </w:rPr>
            </w:pPr>
            <w:r>
              <w:rPr>
                <w:sz w:val="24"/>
              </w:rPr>
              <w:t>2</w:t>
            </w:r>
          </w:p>
        </w:tc>
        <w:tc>
          <w:tcPr>
            <w:tcW w:w="33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300" w:lineRule="exact"/>
              <w:jc w:val="left"/>
              <w:rPr>
                <w:sz w:val="24"/>
              </w:rPr>
            </w:pPr>
            <w:r>
              <w:rPr>
                <w:rFonts w:hint="eastAsia"/>
                <w:sz w:val="24"/>
              </w:rPr>
              <w:t>门</w:t>
            </w:r>
          </w:p>
        </w:tc>
      </w:tr>
    </w:tbl>
    <w:p>
      <w:pPr>
        <w:widowControl/>
        <w:spacing w:line="360" w:lineRule="exact"/>
        <w:jc w:val="left"/>
        <w:rPr>
          <w:rFonts w:hint="eastAsia"/>
          <w:sz w:val="24"/>
        </w:rPr>
      </w:pPr>
    </w:p>
    <w:p>
      <w:pPr>
        <w:widowControl/>
        <w:spacing w:line="360" w:lineRule="exact"/>
        <w:jc w:val="left"/>
        <w:rPr>
          <w:rFonts w:hint="eastAsia" w:eastAsia="宋体"/>
          <w:sz w:val="24"/>
          <w:lang w:eastAsia="zh-CN"/>
        </w:rPr>
      </w:pPr>
      <w:r>
        <w:rPr>
          <w:rFonts w:hint="eastAsia"/>
          <w:sz w:val="24"/>
        </w:rPr>
        <w:t>售后服务内容</w:t>
      </w:r>
      <w:r>
        <w:rPr>
          <w:rFonts w:hint="eastAsia" w:eastAsia="宋体"/>
          <w:sz w:val="24"/>
          <w:lang w:eastAsia="zh-CN"/>
        </w:rPr>
        <w:t>：</w:t>
      </w:r>
    </w:p>
    <w:p>
      <w:pPr>
        <w:widowControl/>
        <w:spacing w:line="360" w:lineRule="exact"/>
        <w:ind w:firstLine="240" w:firstLineChars="100"/>
        <w:jc w:val="left"/>
        <w:rPr>
          <w:sz w:val="24"/>
        </w:rPr>
      </w:pPr>
      <w:r>
        <w:rPr>
          <w:rFonts w:hint="eastAsia"/>
          <w:sz w:val="24"/>
        </w:rPr>
        <w:t xml:space="preserve">质保期三年，根据课程在学校指定的网络教学平台使用过程中反馈的意见和建议，配合学校及时进行内容的修改与更新。 </w:t>
      </w:r>
    </w:p>
    <w:p>
      <w:pPr>
        <w:widowControl/>
        <w:spacing w:line="360" w:lineRule="exact"/>
        <w:ind w:firstLine="240" w:firstLineChars="100"/>
        <w:jc w:val="left"/>
        <w:rPr>
          <w:sz w:val="24"/>
        </w:rPr>
      </w:pPr>
      <w:r>
        <w:rPr>
          <w:rFonts w:hint="eastAsia"/>
          <w:sz w:val="24"/>
        </w:rPr>
        <w:t xml:space="preserve">设有专项售后服务机构人员名单及联系方式，出现问题供应商需在2小时内响应，并在 48 小时内解决问题。 </w:t>
      </w:r>
    </w:p>
    <w:p>
      <w:pPr>
        <w:widowControl/>
        <w:spacing w:line="360" w:lineRule="exact"/>
        <w:ind w:firstLine="240" w:firstLineChars="100"/>
        <w:jc w:val="left"/>
        <w:rPr>
          <w:sz w:val="24"/>
        </w:rPr>
      </w:pPr>
      <w:r>
        <w:rPr>
          <w:rFonts w:hint="eastAsia"/>
          <w:sz w:val="24"/>
        </w:rPr>
        <w:t xml:space="preserve">供应商须向学校提供相应培训：免费提供至少 3 次总计不低于 6 学时针对老师的课程建设培训服务。 </w:t>
      </w:r>
    </w:p>
    <w:p>
      <w:pPr>
        <w:widowControl/>
        <w:spacing w:line="360" w:lineRule="exact"/>
        <w:ind w:firstLine="240" w:firstLineChars="100"/>
        <w:jc w:val="left"/>
        <w:rPr>
          <w:sz w:val="24"/>
        </w:rPr>
      </w:pPr>
      <w:r>
        <w:rPr>
          <w:rFonts w:hint="eastAsia"/>
          <w:sz w:val="24"/>
        </w:rPr>
        <w:t>提供教师端及学生使用端的在线客服，确保及时处理使用过程中出现的系统问题；</w:t>
      </w:r>
    </w:p>
    <w:p>
      <w:pPr>
        <w:pStyle w:val="10"/>
        <w:jc w:val="left"/>
      </w:pPr>
      <w:r>
        <w:rPr>
          <w:rFonts w:hint="eastAsia"/>
          <w:sz w:val="24"/>
        </w:rPr>
        <w:t>实施及交付使用过程中，如遇使用问题，中标方需在24小时内给出响应，并提出具体解决方案。</w:t>
      </w:r>
    </w:p>
    <w:p>
      <w:pPr>
        <w:pStyle w:val="10"/>
        <w:jc w:val="left"/>
      </w:pPr>
    </w:p>
    <w:sectPr>
      <w:footerReference r:id="rId13" w:type="default"/>
      <w:pgSz w:w="11906" w:h="16838"/>
      <w:pgMar w:top="1440" w:right="1080" w:bottom="1440" w:left="1080" w:header="1021" w:footer="868" w:gutter="0"/>
      <w:pgBorders w:offsetFrom="page">
        <w:top w:val="single" w:color="auto" w:sz="12" w:space="24"/>
        <w:left w:val="single" w:color="auto" w:sz="12" w:space="24"/>
        <w:bottom w:val="single" w:color="auto" w:sz="12" w:space="24"/>
        <w:right w:val="single" w:color="auto" w:sz="12" w:space="24"/>
      </w:pgBorders>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Cambria">
    <w:panose1 w:val="02040503050406030204"/>
    <w:charset w:val="00"/>
    <w:family w:val="roman"/>
    <w:pitch w:val="default"/>
    <w:sig w:usb0="E00006FF" w:usb1="420024FF" w:usb2="02000000" w:usb3="00000000" w:csb0="2000019F" w:csb1="00000000"/>
  </w:font>
  <w:font w:name="Adobe 仿宋 Std R">
    <w:altName w:val="仿宋"/>
    <w:panose1 w:val="00000000000000000000"/>
    <w:charset w:val="86"/>
    <w:family w:val="roman"/>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时尚中黑简体">
    <w:panose1 w:val="01010104010101010101"/>
    <w:charset w:val="86"/>
    <w:family w:val="auto"/>
    <w:pitch w:val="default"/>
    <w:sig w:usb0="800002BF" w:usb1="184F6CF8"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enter" w:pos="4153"/>
        <w:tab w:val="right" w:pos="8306"/>
        <w:tab w:val="clear" w:pos="4140"/>
        <w:tab w:val="clear" w:pos="8300"/>
      </w:tabs>
      <w:ind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1"/>
      <w:tabs>
        <w:tab w:val="center" w:pos="4153"/>
        <w:tab w:val="right" w:pos="8306"/>
        <w:tab w:val="clear" w:pos="4140"/>
        <w:tab w:val="clear" w:pos="8300"/>
      </w:tabs>
      <w:ind w:firstLine="360"/>
      <w:rPr>
        <w:rStyle w:val="26"/>
      </w:rPr>
    </w:pPr>
    <w:r>
      <w:fldChar w:fldCharType="begin"/>
    </w:r>
    <w:r>
      <w:rPr>
        <w:rStyle w:val="26"/>
      </w:rPr>
      <w:instrText xml:space="preserve">PAGE  </w:instrText>
    </w:r>
    <w:r>
      <w:fldChar w:fldCharType="end"/>
    </w:r>
  </w:p>
  <w:p>
    <w:pPr>
      <w:pStyle w:val="16"/>
      <w:tabs>
        <w:tab w:val="center" w:pos="4153"/>
        <w:tab w:val="right" w:pos="8306"/>
        <w:tab w:val="clear" w:pos="4140"/>
        <w:tab w:val="clear" w:pos="8300"/>
      </w:tabs>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enter" w:pos="4153"/>
        <w:tab w:val="right" w:pos="8306"/>
        <w:tab w:val="clear" w:pos="4140"/>
        <w:tab w:val="clear" w:pos="8300"/>
      </w:tabs>
      <w:ind w:firstLine="36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enter" w:pos="4153"/>
        <w:tab w:val="right" w:pos="8306"/>
        <w:tab w:val="clear" w:pos="4140"/>
        <w:tab w:val="clear" w:pos="8300"/>
      </w:tabs>
      <w:ind w:firstLine="360"/>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6"/>
                          </w:pPr>
                          <w:r>
                            <w:fldChar w:fldCharType="begin"/>
                          </w:r>
                          <w:r>
                            <w:instrText xml:space="preserve"> PAGE  \* MERGEFORMAT </w:instrText>
                          </w:r>
                          <w:r>
                            <w:fldChar w:fldCharType="separate"/>
                          </w:r>
                          <w:r>
                            <w:t>17</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BcPHcUBAACbAwAADgAAAGRycy9lMm9Eb2MueG1srVPNjtMwEL4j8Q6W&#10;7zTZHFAVNV2BqkVICJAWHsB1Jo0l/8njNukLwBtw4sKd5+pzMHaS7rJc9sDFmT9/M9/nyeZ2NJqd&#10;IKBytuE3q5IzsNK1yh4a/vXL3as1ZxiFbYV2Fhp+BuS325cvNoOvoXK90y0ERiAW68E3vI/R10WB&#10;sgcjcOU8WEp2LhgRyQ2Hog1iIHSji6osXxeDC60PTgIiRXdTks+I4TmAruuUhJ2TRwM2TqgBtIhE&#10;CXvlkW/ztF0HMn7qOoTIdMOJacwnNSF7n85iuxH1IQjfKzmPIJ4zwhNORihLTa9QOxEFOwb1D5RR&#10;Mjh0XVxJZ4qJSFaEWNyUT7S574WHzIWkRn8VHf8frPx4+hyYahtecWaFoQe//Ph++fn78usbq5I8&#10;g8eaqu491cXxrRtpaZY4UjCxHrtg0pf4MMqTuOeruDBGJtOldbVel5SSlFscwi8ervuA8R04w5LR&#10;8ECvl0UVpw8Yp9KlJHWz7k5pnV9Q278ChDlFIK/AfDsxmSZOVhz340xv79ozsRtoDRpuaes50+8t&#10;qZw2ZjHCYuxnI3VE/+YYaYw8XUKdoIhVcujNMr95v9JSPPZz1cM/tf0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HwXDx3FAQAAmwMAAA4AAAAAAAAAAQAgAAAAHgEAAGRycy9lMm9Eb2MueG1s&#10;UEsFBgAAAAAGAAYAWQEAAFUFAAAAAA==&#10;">
              <v:fill on="f" focussize="0,0"/>
              <v:stroke on="f"/>
              <v:imagedata o:title=""/>
              <o:lock v:ext="edit" aspectratio="f"/>
              <v:textbox inset="0mm,0mm,0mm,0mm" style="mso-fit-shape-to-text:t;">
                <w:txbxContent>
                  <w:p>
                    <w:pPr>
                      <w:pStyle w:val="16"/>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enter" w:pos="4153"/>
        <w:tab w:val="right" w:pos="8306"/>
        <w:tab w:val="clear" w:pos="4140"/>
        <w:tab w:val="clear" w:pos="8300"/>
      </w:tabs>
      <w:ind w:firstLine="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6"/>
                          </w:pPr>
                          <w:r>
                            <w:fldChar w:fldCharType="begin"/>
                          </w:r>
                          <w:r>
                            <w:instrText xml:space="preserve"> PAGE  \* MERGEFORMAT </w:instrText>
                          </w:r>
                          <w:r>
                            <w:fldChar w:fldCharType="separate"/>
                          </w:r>
                          <w:r>
                            <w:t>18</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HaDCsYBAACb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SkjuhvD5HGyNMl1BGKWCWH3izzm/YrLcVjP1c9/FOb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CsdoMKxgEAAJsDAAAOAAAAAAAAAAEAIAAAAB4BAABkcnMvZTJvRG9jLnht&#10;bFBLBQYAAAAABgAGAFkBAABWBQAAAAA=&#10;">
              <v:fill on="f" focussize="0,0"/>
              <v:stroke on="f"/>
              <v:imagedata o:title=""/>
              <o:lock v:ext="edit" aspectratio="f"/>
              <v:textbox inset="0mm,0mm,0mm,0mm" style="mso-fit-shape-to-text:t;">
                <w:txbxContent>
                  <w:p>
                    <w:pPr>
                      <w:pStyle w:val="16"/>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enter" w:pos="4153"/>
        <w:tab w:val="right" w:pos="8306"/>
        <w:tab w:val="clear" w:pos="4140"/>
        <w:tab w:val="clear" w:pos="8300"/>
      </w:tabs>
      <w:ind w:firstLine="36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6"/>
                          </w:pPr>
                          <w:r>
                            <w:fldChar w:fldCharType="begin"/>
                          </w:r>
                          <w:r>
                            <w:instrText xml:space="preserve"> PAGE  \* MERGEFORMAT </w:instrText>
                          </w:r>
                          <w:r>
                            <w:fldChar w:fldCharType="separate"/>
                          </w:r>
                          <w:r>
                            <w:t>19</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wVircYBAACb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SkjuhvD5HGyNMl1BGKWCWH3izzm/YrLcVjP1c9/FOb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bBWKtxgEAAJsDAAAOAAAAAAAAAAEAIAAAAB4BAABkcnMvZTJvRG9jLnht&#10;bFBLBQYAAAAABgAGAFkBAABWBQAAAAA=&#10;">
              <v:fill on="f" focussize="0,0"/>
              <v:stroke on="f"/>
              <v:imagedata o:title=""/>
              <o:lock v:ext="edit" aspectratio="f"/>
              <v:textbox inset="0mm,0mm,0mm,0mm" style="mso-fit-shape-to-text:t;">
                <w:txbxContent>
                  <w:p>
                    <w:pPr>
                      <w:pStyle w:val="16"/>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1"/>
      </w:pBdr>
      <w:jc w:val="both"/>
    </w:pPr>
    <w:r>
      <w:rPr>
        <w:rFonts w:hint="eastAsia"/>
        <w:b/>
        <w:color w:val="C00000"/>
      </w:rPr>
      <w:drawing>
        <wp:anchor distT="0" distB="0" distL="114300" distR="114300" simplePos="0" relativeHeight="251659264" behindDoc="1" locked="0" layoutInCell="1" allowOverlap="1">
          <wp:simplePos x="0" y="0"/>
          <wp:positionH relativeFrom="column">
            <wp:posOffset>12700</wp:posOffset>
          </wp:positionH>
          <wp:positionV relativeFrom="paragraph">
            <wp:posOffset>-147320</wp:posOffset>
          </wp:positionV>
          <wp:extent cx="401320" cy="396240"/>
          <wp:effectExtent l="0" t="0" r="17780" b="3810"/>
          <wp:wrapTight wrapText="bothSides">
            <wp:wrapPolygon>
              <wp:start x="0" y="0"/>
              <wp:lineTo x="0" y="20769"/>
              <wp:lineTo x="20506" y="20769"/>
              <wp:lineTo x="20506" y="0"/>
              <wp:lineTo x="0" y="0"/>
            </wp:wrapPolygon>
          </wp:wrapTight>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pic:cNvPicPr>
                </pic:nvPicPr>
                <pic:blipFill>
                  <a:blip r:embed="rId1"/>
                  <a:stretch>
                    <a:fillRect/>
                  </a:stretch>
                </pic:blipFill>
                <pic:spPr>
                  <a:xfrm>
                    <a:off x="0" y="0"/>
                    <a:ext cx="401320" cy="396240"/>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153"/>
        <w:tab w:val="right" w:pos="8306"/>
        <w:tab w:val="clear" w:pos="4140"/>
        <w:tab w:val="clear" w:pos="8300"/>
      </w:tabs>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153"/>
        <w:tab w:val="right" w:pos="8306"/>
        <w:tab w:val="clear" w:pos="4140"/>
        <w:tab w:val="clear" w:pos="8300"/>
      </w:tabs>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23F3F9"/>
    <w:multiLevelType w:val="singleLevel"/>
    <w:tmpl w:val="D323F3F9"/>
    <w:lvl w:ilvl="0" w:tentative="0">
      <w:start w:val="6"/>
      <w:numFmt w:val="chineseCounting"/>
      <w:suff w:val="space"/>
      <w:lvlText w:val="第%1部分"/>
      <w:lvlJc w:val="left"/>
      <w:rPr>
        <w:rFonts w:hint="eastAsia"/>
      </w:rPr>
    </w:lvl>
  </w:abstractNum>
  <w:abstractNum w:abstractNumId="1">
    <w:nsid w:val="F57CDFB4"/>
    <w:multiLevelType w:val="singleLevel"/>
    <w:tmpl w:val="F57CDFB4"/>
    <w:lvl w:ilvl="0" w:tentative="0">
      <w:start w:val="1"/>
      <w:numFmt w:val="chineseCounting"/>
      <w:suff w:val="space"/>
      <w:lvlText w:val="第%1部分"/>
      <w:lvlJc w:val="left"/>
      <w:pPr>
        <w:ind w:left="3132" w:firstLine="0"/>
      </w:pPr>
      <w:rPr>
        <w:rFonts w:hint="eastAsia"/>
      </w:rPr>
    </w:lvl>
  </w:abstractNum>
  <w:abstractNum w:abstractNumId="2">
    <w:nsid w:val="00000002"/>
    <w:multiLevelType w:val="singleLevel"/>
    <w:tmpl w:val="00000002"/>
    <w:lvl w:ilvl="0" w:tentative="0">
      <w:start w:val="1"/>
      <w:numFmt w:val="decimal"/>
      <w:suff w:val="nothing"/>
      <w:lvlText w:val="%1"/>
      <w:lvlJc w:val="left"/>
      <w:pPr>
        <w:tabs>
          <w:tab w:val="left" w:pos="0"/>
        </w:tabs>
        <w:ind w:left="0" w:firstLine="0"/>
      </w:pPr>
      <w:rPr>
        <w:rFonts w:hint="default"/>
      </w:rPr>
    </w:lvl>
  </w:abstractNum>
  <w:abstractNum w:abstractNumId="3">
    <w:nsid w:val="00000003"/>
    <w:multiLevelType w:val="multilevel"/>
    <w:tmpl w:val="00000003"/>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720"/>
        </w:tabs>
        <w:ind w:left="567" w:hanging="567"/>
      </w:pPr>
      <w:rPr>
        <w:rFonts w:hint="eastAsia"/>
      </w:rPr>
    </w:lvl>
    <w:lvl w:ilvl="2" w:tentative="0">
      <w:start w:val="1"/>
      <w:numFmt w:val="chineseCountingThousand"/>
      <w:pStyle w:val="4"/>
      <w:lvlText w:val="%3、"/>
      <w:lvlJc w:val="left"/>
      <w:pPr>
        <w:tabs>
          <w:tab w:val="left" w:pos="709"/>
        </w:tabs>
        <w:ind w:left="709" w:hanging="709"/>
      </w:pPr>
      <w:rPr>
        <w:rFonts w:hint="eastAsia"/>
        <w:b/>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0000004"/>
    <w:multiLevelType w:val="multilevel"/>
    <w:tmpl w:val="00000004"/>
    <w:lvl w:ilvl="0" w:tentative="0">
      <w:start w:val="1"/>
      <w:numFmt w:val="decimal"/>
      <w:lvlText w:val="（%1）"/>
      <w:lvlJc w:val="left"/>
      <w:pPr>
        <w:ind w:left="845" w:hanging="420"/>
      </w:pPr>
    </w:lvl>
    <w:lvl w:ilvl="1" w:tentative="0">
      <w:start w:val="1"/>
      <w:numFmt w:val="decimal"/>
      <w:lvlText w:val="%2."/>
      <w:lvlJc w:val="left"/>
      <w:pPr>
        <w:ind w:left="1130" w:hanging="420"/>
      </w:pPr>
      <w:rPr>
        <w:rFonts w:hint="eastAsia"/>
      </w:r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5">
    <w:nsid w:val="7A0D97CE"/>
    <w:multiLevelType w:val="singleLevel"/>
    <w:tmpl w:val="7A0D97CE"/>
    <w:lvl w:ilvl="0" w:tentative="0">
      <w:start w:val="1"/>
      <w:numFmt w:val="ideographTraditional"/>
      <w:suff w:val="nothing"/>
      <w:lvlText w:val="%1、"/>
      <w:lvlJc w:val="left"/>
      <w:rPr>
        <w:rFonts w:hint="eastAsia"/>
      </w:rPr>
    </w:lvl>
  </w:abstractNum>
  <w:num w:numId="1">
    <w:abstractNumId w:val="3"/>
  </w:num>
  <w:num w:numId="2">
    <w:abstractNumId w:val="1"/>
  </w:num>
  <w:num w:numId="3">
    <w:abstractNumId w:val="2"/>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xOTA4NmE2ZWQxMjkyMGFiNWZiODE5OTlhYzUwYzIifQ=="/>
  </w:docVars>
  <w:rsids>
    <w:rsidRoot w:val="25F948EC"/>
    <w:rsid w:val="00000E97"/>
    <w:rsid w:val="00004F47"/>
    <w:rsid w:val="00195304"/>
    <w:rsid w:val="002F5204"/>
    <w:rsid w:val="00336D57"/>
    <w:rsid w:val="003502E2"/>
    <w:rsid w:val="00364E03"/>
    <w:rsid w:val="0048430B"/>
    <w:rsid w:val="004E0227"/>
    <w:rsid w:val="004E6BE9"/>
    <w:rsid w:val="00534150"/>
    <w:rsid w:val="005D07E0"/>
    <w:rsid w:val="0062303D"/>
    <w:rsid w:val="00677F33"/>
    <w:rsid w:val="00727E41"/>
    <w:rsid w:val="0074096D"/>
    <w:rsid w:val="007437F6"/>
    <w:rsid w:val="007965CF"/>
    <w:rsid w:val="00866CE6"/>
    <w:rsid w:val="00894E8E"/>
    <w:rsid w:val="008E3298"/>
    <w:rsid w:val="008E72E8"/>
    <w:rsid w:val="009A3653"/>
    <w:rsid w:val="00A250BD"/>
    <w:rsid w:val="00AC2372"/>
    <w:rsid w:val="00B10459"/>
    <w:rsid w:val="00B84EC3"/>
    <w:rsid w:val="00C12DE3"/>
    <w:rsid w:val="00C76F6F"/>
    <w:rsid w:val="00D67BA0"/>
    <w:rsid w:val="00E4187B"/>
    <w:rsid w:val="00E52D22"/>
    <w:rsid w:val="00F104E2"/>
    <w:rsid w:val="00F865ED"/>
    <w:rsid w:val="00FE0DAC"/>
    <w:rsid w:val="02070CCA"/>
    <w:rsid w:val="0210747C"/>
    <w:rsid w:val="04C13EAF"/>
    <w:rsid w:val="05147ADE"/>
    <w:rsid w:val="06D118A6"/>
    <w:rsid w:val="06E23AB3"/>
    <w:rsid w:val="09BC05EC"/>
    <w:rsid w:val="0A374116"/>
    <w:rsid w:val="0BDC2FC6"/>
    <w:rsid w:val="0E3666AB"/>
    <w:rsid w:val="0ED87C76"/>
    <w:rsid w:val="0FD96814"/>
    <w:rsid w:val="1008074F"/>
    <w:rsid w:val="10E723F2"/>
    <w:rsid w:val="127E6D86"/>
    <w:rsid w:val="138008DC"/>
    <w:rsid w:val="14C314DD"/>
    <w:rsid w:val="156511EA"/>
    <w:rsid w:val="15FA4976"/>
    <w:rsid w:val="163A2FC4"/>
    <w:rsid w:val="16A82624"/>
    <w:rsid w:val="17571174"/>
    <w:rsid w:val="1768590F"/>
    <w:rsid w:val="17EF6030"/>
    <w:rsid w:val="183323C1"/>
    <w:rsid w:val="184C6FDF"/>
    <w:rsid w:val="1AEB6F83"/>
    <w:rsid w:val="1CE92045"/>
    <w:rsid w:val="1D387767"/>
    <w:rsid w:val="1D475ADC"/>
    <w:rsid w:val="1E2E2EFC"/>
    <w:rsid w:val="1F617814"/>
    <w:rsid w:val="1FED554B"/>
    <w:rsid w:val="20176124"/>
    <w:rsid w:val="214116AB"/>
    <w:rsid w:val="239A6A17"/>
    <w:rsid w:val="25261856"/>
    <w:rsid w:val="25BC57A4"/>
    <w:rsid w:val="25D759B8"/>
    <w:rsid w:val="25F948EC"/>
    <w:rsid w:val="26083896"/>
    <w:rsid w:val="27767BD4"/>
    <w:rsid w:val="27982240"/>
    <w:rsid w:val="27A16CFB"/>
    <w:rsid w:val="27E45486"/>
    <w:rsid w:val="29847B3B"/>
    <w:rsid w:val="29CE019B"/>
    <w:rsid w:val="2B28614F"/>
    <w:rsid w:val="2D067291"/>
    <w:rsid w:val="2DF45CF7"/>
    <w:rsid w:val="31A231EE"/>
    <w:rsid w:val="32056724"/>
    <w:rsid w:val="3225686A"/>
    <w:rsid w:val="334119DE"/>
    <w:rsid w:val="352549E8"/>
    <w:rsid w:val="35DA3A24"/>
    <w:rsid w:val="37BA1D5F"/>
    <w:rsid w:val="396032A8"/>
    <w:rsid w:val="3B556027"/>
    <w:rsid w:val="3CCF005B"/>
    <w:rsid w:val="3D76683E"/>
    <w:rsid w:val="406B1CA2"/>
    <w:rsid w:val="412F731A"/>
    <w:rsid w:val="418D21FF"/>
    <w:rsid w:val="41931455"/>
    <w:rsid w:val="42DF7BFF"/>
    <w:rsid w:val="44305883"/>
    <w:rsid w:val="44675C90"/>
    <w:rsid w:val="46841EB6"/>
    <w:rsid w:val="4A791606"/>
    <w:rsid w:val="4BB30F1E"/>
    <w:rsid w:val="4BFA0981"/>
    <w:rsid w:val="4D57689F"/>
    <w:rsid w:val="4F6801C7"/>
    <w:rsid w:val="5079410E"/>
    <w:rsid w:val="52554706"/>
    <w:rsid w:val="53576042"/>
    <w:rsid w:val="53D0673A"/>
    <w:rsid w:val="56020C81"/>
    <w:rsid w:val="5641015F"/>
    <w:rsid w:val="56DA342C"/>
    <w:rsid w:val="56F02C50"/>
    <w:rsid w:val="59965D30"/>
    <w:rsid w:val="59BA1552"/>
    <w:rsid w:val="5A0031AA"/>
    <w:rsid w:val="5CCE4A88"/>
    <w:rsid w:val="5DDD2B9A"/>
    <w:rsid w:val="5F4A047A"/>
    <w:rsid w:val="610E2650"/>
    <w:rsid w:val="63DF6526"/>
    <w:rsid w:val="6439501F"/>
    <w:rsid w:val="66460FB7"/>
    <w:rsid w:val="685E3CCF"/>
    <w:rsid w:val="69313380"/>
    <w:rsid w:val="69601EB7"/>
    <w:rsid w:val="6A372FA9"/>
    <w:rsid w:val="6A890F99"/>
    <w:rsid w:val="6ABB6A1B"/>
    <w:rsid w:val="6AFE1987"/>
    <w:rsid w:val="6C7812C6"/>
    <w:rsid w:val="6D1C60F5"/>
    <w:rsid w:val="6DB30807"/>
    <w:rsid w:val="6E3000AA"/>
    <w:rsid w:val="6FC50295"/>
    <w:rsid w:val="701337DF"/>
    <w:rsid w:val="73073697"/>
    <w:rsid w:val="73CC61CA"/>
    <w:rsid w:val="74866C17"/>
    <w:rsid w:val="74AE5001"/>
    <w:rsid w:val="74DC13E8"/>
    <w:rsid w:val="76FF2D94"/>
    <w:rsid w:val="77626DFA"/>
    <w:rsid w:val="785C63D1"/>
    <w:rsid w:val="78F8388C"/>
    <w:rsid w:val="7B937ECA"/>
    <w:rsid w:val="7C727ADF"/>
    <w:rsid w:val="7CA53A11"/>
    <w:rsid w:val="7CFC55FB"/>
    <w:rsid w:val="7E83422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nhideWhenUsed="0" w:uiPriority="1"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00" w:lineRule="atLeast"/>
      <w:jc w:val="both"/>
    </w:pPr>
    <w:rPr>
      <w:rFonts w:ascii="宋体" w:hAnsi="宋体" w:eastAsia="Times New Roman" w:cs="宋体"/>
      <w:color w:val="000000"/>
      <w:sz w:val="21"/>
      <w:lang w:val="en-US" w:eastAsia="zh-CN" w:bidi="ar-SA"/>
    </w:rPr>
  </w:style>
  <w:style w:type="paragraph" w:styleId="2">
    <w:name w:val="heading 1"/>
    <w:basedOn w:val="1"/>
    <w:next w:val="1"/>
    <w:qFormat/>
    <w:uiPriority w:val="0"/>
    <w:pPr>
      <w:keepNext/>
      <w:keepLines/>
      <w:spacing w:before="340" w:after="330" w:line="360" w:lineRule="auto"/>
      <w:jc w:val="center"/>
      <w:outlineLvl w:val="0"/>
    </w:pPr>
    <w:rPr>
      <w:rFonts w:ascii="Times New Roman" w:hAnsi="Times New Roman" w:eastAsia="宋体" w:cs="Times New Roman"/>
      <w:b/>
      <w:bCs/>
      <w:color w:val="auto"/>
      <w:kern w:val="44"/>
      <w:sz w:val="32"/>
      <w:szCs w:val="44"/>
    </w:rPr>
  </w:style>
  <w:style w:type="paragraph" w:styleId="3">
    <w:name w:val="heading 2"/>
    <w:basedOn w:val="1"/>
    <w:next w:val="1"/>
    <w:qFormat/>
    <w:uiPriority w:val="0"/>
    <w:pPr>
      <w:keepNext/>
      <w:keepLines/>
      <w:spacing w:line="360" w:lineRule="auto"/>
      <w:jc w:val="left"/>
      <w:outlineLvl w:val="1"/>
    </w:pPr>
    <w:rPr>
      <w:rFonts w:ascii="Arial" w:hAnsi="Arial" w:eastAsia="宋体" w:cs="Times New Roman"/>
      <w:b/>
      <w:bCs/>
      <w:iCs/>
      <w:sz w:val="24"/>
      <w:szCs w:val="32"/>
    </w:rPr>
  </w:style>
  <w:style w:type="paragraph" w:styleId="4">
    <w:name w:val="heading 3"/>
    <w:basedOn w:val="1"/>
    <w:next w:val="1"/>
    <w:qFormat/>
    <w:uiPriority w:val="0"/>
    <w:pPr>
      <w:numPr>
        <w:ilvl w:val="2"/>
        <w:numId w:val="1"/>
      </w:numPr>
      <w:outlineLvl w:val="2"/>
    </w:pPr>
    <w:rPr>
      <w:rFonts w:cs="Times New Roman"/>
    </w:rPr>
  </w:style>
  <w:style w:type="paragraph" w:styleId="5">
    <w:name w:val="heading 4"/>
    <w:basedOn w:val="1"/>
    <w:next w:val="1"/>
    <w:qFormat/>
    <w:uiPriority w:val="0"/>
    <w:pPr>
      <w:keepNext/>
      <w:keepLines/>
      <w:spacing w:line="376" w:lineRule="auto"/>
      <w:outlineLvl w:val="3"/>
    </w:pPr>
    <w:rPr>
      <w:rFonts w:ascii="Calibri Light" w:hAnsi="Calibri Light" w:eastAsia="宋体" w:cs="Times New Roman"/>
      <w:b/>
      <w:bCs/>
      <w:sz w:val="28"/>
      <w:szCs w:val="28"/>
    </w:rPr>
  </w:style>
  <w:style w:type="paragraph" w:styleId="6">
    <w:name w:val="heading 7"/>
    <w:basedOn w:val="1"/>
    <w:next w:val="1"/>
    <w:qFormat/>
    <w:uiPriority w:val="1"/>
    <w:pPr>
      <w:spacing w:before="1"/>
      <w:ind w:left="1541"/>
      <w:outlineLvl w:val="6"/>
    </w:pPr>
    <w:rPr>
      <w:b/>
      <w:bCs/>
      <w:sz w:val="24"/>
      <w:szCs w:val="24"/>
    </w:rPr>
  </w:style>
  <w:style w:type="character" w:default="1" w:styleId="25">
    <w:name w:val="Default Paragraph Font"/>
    <w:semiHidden/>
    <w:unhideWhenUsed/>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ind w:firstLine="420" w:firstLineChars="200"/>
    </w:pPr>
    <w:rPr>
      <w:rFonts w:ascii="Times New Roman" w:hAnsi="Times New Roman" w:cs="Times New Roman"/>
    </w:rPr>
  </w:style>
  <w:style w:type="paragraph" w:styleId="8">
    <w:name w:val="annotation text"/>
    <w:basedOn w:val="1"/>
    <w:qFormat/>
    <w:uiPriority w:val="0"/>
    <w:pPr>
      <w:jc w:val="left"/>
    </w:pPr>
    <w:rPr>
      <w:rFonts w:ascii="Times New Roman" w:hAnsi="Times New Roman" w:eastAsia="宋体" w:cs="Times New Roman"/>
    </w:rPr>
  </w:style>
  <w:style w:type="paragraph" w:styleId="9">
    <w:name w:val="Body Text"/>
    <w:basedOn w:val="1"/>
    <w:qFormat/>
    <w:uiPriority w:val="0"/>
    <w:pPr>
      <w:spacing w:line="360" w:lineRule="atLeast"/>
    </w:pPr>
    <w:rPr>
      <w:rFonts w:eastAsia="宋体"/>
      <w:sz w:val="24"/>
    </w:rPr>
  </w:style>
  <w:style w:type="paragraph" w:styleId="10">
    <w:name w:val="Plain Text"/>
    <w:basedOn w:val="1"/>
    <w:link w:val="44"/>
    <w:qFormat/>
    <w:uiPriority w:val="99"/>
    <w:rPr>
      <w:rFonts w:hAnsi="Courier New" w:eastAsia="宋体"/>
    </w:rPr>
  </w:style>
  <w:style w:type="paragraph" w:styleId="11">
    <w:name w:val="Date"/>
    <w:basedOn w:val="1"/>
    <w:next w:val="1"/>
    <w:qFormat/>
    <w:uiPriority w:val="0"/>
    <w:pPr>
      <w:spacing w:line="240" w:lineRule="auto"/>
      <w:jc w:val="left"/>
    </w:pPr>
  </w:style>
  <w:style w:type="paragraph" w:styleId="12">
    <w:name w:val="Body Text Indent 2"/>
    <w:basedOn w:val="1"/>
    <w:next w:val="13"/>
    <w:qFormat/>
    <w:uiPriority w:val="0"/>
    <w:pPr>
      <w:spacing w:after="120" w:line="480" w:lineRule="auto"/>
      <w:ind w:left="420" w:leftChars="200"/>
    </w:pPr>
  </w:style>
  <w:style w:type="paragraph" w:customStyle="1" w:styleId="13">
    <w:name w:val="reader-word-layer reader-word-s46-2"/>
    <w:basedOn w:val="1"/>
    <w:next w:val="14"/>
    <w:qFormat/>
    <w:uiPriority w:val="0"/>
    <w:pPr>
      <w:widowControl/>
    </w:pPr>
    <w:rPr>
      <w:sz w:val="24"/>
    </w:rPr>
  </w:style>
  <w:style w:type="paragraph" w:customStyle="1" w:styleId="14">
    <w:name w:val="xl35"/>
    <w:basedOn w:val="1"/>
    <w:next w:val="1"/>
    <w:qFormat/>
    <w:uiPriority w:val="0"/>
    <w:pPr>
      <w:widowControl/>
      <w:shd w:val="clear" w:color="FFFFFF" w:fill="FFFFFF"/>
    </w:pPr>
    <w:rPr>
      <w:rFonts w:ascii="Arial Unicode MS" w:eastAsia="Arial Unicode MS"/>
      <w:sz w:val="24"/>
    </w:rPr>
  </w:style>
  <w:style w:type="paragraph" w:styleId="15">
    <w:name w:val="Balloon Text"/>
    <w:basedOn w:val="1"/>
    <w:link w:val="45"/>
    <w:qFormat/>
    <w:uiPriority w:val="0"/>
    <w:pPr>
      <w:spacing w:line="240" w:lineRule="auto"/>
    </w:pPr>
    <w:rPr>
      <w:sz w:val="18"/>
      <w:szCs w:val="18"/>
    </w:rPr>
  </w:style>
  <w:style w:type="paragraph" w:styleId="16">
    <w:name w:val="footer"/>
    <w:basedOn w:val="1"/>
    <w:qFormat/>
    <w:uiPriority w:val="0"/>
    <w:pPr>
      <w:tabs>
        <w:tab w:val="center" w:pos="4140"/>
        <w:tab w:val="right" w:pos="8300"/>
      </w:tabs>
      <w:snapToGrid w:val="0"/>
      <w:jc w:val="left"/>
    </w:pPr>
    <w:rPr>
      <w:rFonts w:eastAsia="宋体" w:cs="Times New Roman"/>
      <w:bCs/>
      <w:iCs/>
      <w:sz w:val="18"/>
    </w:rPr>
  </w:style>
  <w:style w:type="paragraph" w:styleId="17">
    <w:name w:val="header"/>
    <w:basedOn w:val="1"/>
    <w:qFormat/>
    <w:uiPriority w:val="0"/>
    <w:pPr>
      <w:pBdr>
        <w:bottom w:val="single" w:color="auto" w:sz="6" w:space="1"/>
      </w:pBdr>
      <w:tabs>
        <w:tab w:val="center" w:pos="4140"/>
        <w:tab w:val="right" w:pos="8300"/>
      </w:tabs>
      <w:snapToGrid w:val="0"/>
      <w:jc w:val="center"/>
    </w:pPr>
    <w:rPr>
      <w:rFonts w:eastAsia="宋体"/>
      <w:sz w:val="18"/>
      <w:szCs w:val="18"/>
    </w:rPr>
  </w:style>
  <w:style w:type="paragraph" w:styleId="18">
    <w:name w:val="Subtitle"/>
    <w:basedOn w:val="1"/>
    <w:next w:val="1"/>
    <w:qFormat/>
    <w:uiPriority w:val="0"/>
    <w:pPr>
      <w:spacing w:before="240" w:after="60" w:line="312" w:lineRule="auto"/>
      <w:jc w:val="center"/>
      <w:outlineLvl w:val="1"/>
    </w:pPr>
    <w:rPr>
      <w:rFonts w:ascii="Calibri Light" w:hAnsi="Calibri Light" w:cs="Times New Roman"/>
      <w:b/>
      <w:bCs/>
      <w:kern w:val="28"/>
      <w:sz w:val="32"/>
      <w:szCs w:val="32"/>
    </w:rPr>
  </w:style>
  <w:style w:type="paragraph" w:styleId="19">
    <w:name w:val="HTML Preformatted"/>
    <w:basedOn w:val="1"/>
    <w:qFormat/>
    <w:uiPriority w:val="0"/>
    <w:pPr>
      <w:widowControl/>
      <w:tabs>
        <w:tab w:val="left" w:pos="900"/>
        <w:tab w:val="left" w:pos="1820"/>
        <w:tab w:val="left" w:pos="2740"/>
        <w:tab w:val="left" w:pos="3660"/>
        <w:tab w:val="left" w:pos="4580"/>
        <w:tab w:val="left" w:pos="5480"/>
        <w:tab w:val="left" w:pos="6400"/>
        <w:tab w:val="left" w:pos="7320"/>
        <w:tab w:val="left" w:pos="8240"/>
        <w:tab w:val="left" w:pos="9160"/>
        <w:tab w:val="left" w:pos="10060"/>
        <w:tab w:val="left" w:pos="10980"/>
        <w:tab w:val="left" w:pos="11900"/>
        <w:tab w:val="left" w:pos="12820"/>
        <w:tab w:val="left" w:pos="13740"/>
        <w:tab w:val="left" w:pos="14640"/>
      </w:tabs>
      <w:spacing w:line="330" w:lineRule="atLeast"/>
      <w:jc w:val="left"/>
    </w:pPr>
    <w:rPr>
      <w:rFonts w:ascii="Arial" w:hAnsi="Arial" w:cs="Times New Roman"/>
      <w:szCs w:val="21"/>
    </w:rPr>
  </w:style>
  <w:style w:type="paragraph" w:styleId="20">
    <w:name w:val="Normal (Web)"/>
    <w:basedOn w:val="1"/>
    <w:qFormat/>
    <w:uiPriority w:val="0"/>
    <w:pPr>
      <w:spacing w:before="100" w:beforeAutospacing="1" w:after="100" w:afterAutospacing="1"/>
      <w:jc w:val="left"/>
    </w:pPr>
    <w:rPr>
      <w:rFonts w:eastAsia="宋体"/>
      <w:sz w:val="24"/>
    </w:rPr>
  </w:style>
  <w:style w:type="paragraph" w:styleId="21">
    <w:name w:val="Title"/>
    <w:basedOn w:val="1"/>
    <w:next w:val="1"/>
    <w:qFormat/>
    <w:uiPriority w:val="0"/>
    <w:pPr>
      <w:spacing w:before="120" w:after="120" w:line="360" w:lineRule="auto"/>
      <w:jc w:val="center"/>
      <w:outlineLvl w:val="0"/>
    </w:pPr>
    <w:rPr>
      <w:rFonts w:ascii="Cambria" w:hAnsi="Cambria" w:eastAsia="宋体"/>
      <w:b/>
      <w:bCs/>
      <w:sz w:val="36"/>
      <w:szCs w:val="32"/>
    </w:rPr>
  </w:style>
  <w:style w:type="paragraph" w:styleId="22">
    <w:name w:val="Body Text First Indent"/>
    <w:basedOn w:val="9"/>
    <w:unhideWhenUsed/>
    <w:qFormat/>
    <w:uiPriority w:val="99"/>
    <w:pPr>
      <w:ind w:firstLine="420" w:firstLineChars="100"/>
    </w:pPr>
  </w:style>
  <w:style w:type="table" w:styleId="24">
    <w:name w:val="Table Grid"/>
    <w:basedOn w:val="23"/>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character" w:styleId="26">
    <w:name w:val="page number"/>
    <w:qFormat/>
    <w:uiPriority w:val="0"/>
    <w:rPr>
      <w:rFonts w:ascii="Times New Roman" w:hAnsi="Times New Roman" w:eastAsia="宋体" w:cs="Times New Roman"/>
    </w:rPr>
  </w:style>
  <w:style w:type="character" w:styleId="27">
    <w:name w:val="HTML Sample"/>
    <w:basedOn w:val="25"/>
    <w:qFormat/>
    <w:uiPriority w:val="0"/>
    <w:rPr>
      <w:rFonts w:ascii="Courier New" w:hAnsi="Courier New"/>
    </w:rPr>
  </w:style>
  <w:style w:type="paragraph" w:customStyle="1" w:styleId="28">
    <w:name w:val="Body Text First Indent 21"/>
    <w:basedOn w:val="29"/>
    <w:qFormat/>
    <w:uiPriority w:val="0"/>
    <w:pPr>
      <w:ind w:firstLine="420" w:firstLineChars="200"/>
    </w:pPr>
  </w:style>
  <w:style w:type="paragraph" w:customStyle="1" w:styleId="29">
    <w:name w:val="Body Text Indent1"/>
    <w:basedOn w:val="1"/>
    <w:qFormat/>
    <w:uiPriority w:val="0"/>
    <w:pPr>
      <w:ind w:left="420" w:leftChars="200"/>
    </w:pPr>
    <w:rPr>
      <w:rFonts w:ascii="Times New Roman" w:hAnsi="Times New Roman" w:eastAsia="宋体" w:cs="Times New Roman"/>
      <w:szCs w:val="24"/>
    </w:rPr>
  </w:style>
  <w:style w:type="paragraph" w:customStyle="1" w:styleId="30">
    <w:name w:val="正文1"/>
    <w:qFormat/>
    <w:uiPriority w:val="99"/>
    <w:pPr>
      <w:adjustRightInd w:val="0"/>
      <w:spacing w:before="120" w:after="120" w:line="180" w:lineRule="auto"/>
      <w:ind w:firstLine="200" w:firstLineChars="200"/>
      <w:contextualSpacing/>
    </w:pPr>
    <w:rPr>
      <w:rFonts w:ascii="Times New Roman" w:hAnsi="Times New Roman" w:eastAsia="Adobe 仿宋 Std R" w:cs="Times New Roman"/>
      <w:kern w:val="2"/>
      <w:sz w:val="21"/>
      <w:szCs w:val="21"/>
      <w:lang w:val="en-US" w:eastAsia="zh-CN" w:bidi="ar-SA"/>
    </w:rPr>
  </w:style>
  <w:style w:type="paragraph" w:customStyle="1" w:styleId="31">
    <w:name w:val="WPSOffice手动目录 1"/>
    <w:qFormat/>
    <w:uiPriority w:val="0"/>
    <w:rPr>
      <w:rFonts w:ascii="Calibri" w:hAnsi="Calibri" w:eastAsia="宋体" w:cs="Times New Roman"/>
      <w:lang w:val="en-US" w:eastAsia="zh-CN" w:bidi="ar-SA"/>
    </w:rPr>
  </w:style>
  <w:style w:type="paragraph" w:customStyle="1" w:styleId="32">
    <w:name w:val="WPSOffice手动目录 2"/>
    <w:qFormat/>
    <w:uiPriority w:val="0"/>
    <w:pPr>
      <w:ind w:left="200" w:leftChars="200"/>
    </w:pPr>
    <w:rPr>
      <w:rFonts w:ascii="Calibri" w:hAnsi="Calibri" w:eastAsia="宋体" w:cs="Times New Roman"/>
      <w:lang w:val="en-US" w:eastAsia="zh-CN" w:bidi="ar-SA"/>
    </w:rPr>
  </w:style>
  <w:style w:type="paragraph" w:customStyle="1" w:styleId="33">
    <w:name w:val="Normal_4"/>
    <w:qFormat/>
    <w:uiPriority w:val="0"/>
    <w:pPr>
      <w:spacing w:before="120" w:after="240"/>
      <w:jc w:val="both"/>
    </w:pPr>
    <w:rPr>
      <w:rFonts w:ascii="Calibri" w:hAnsi="Calibri" w:eastAsia="Calibri" w:cs="Times New Roman"/>
      <w:sz w:val="22"/>
      <w:szCs w:val="22"/>
      <w:lang w:val="ru-RU" w:eastAsia="en-US" w:bidi="ar-SA"/>
    </w:rPr>
  </w:style>
  <w:style w:type="paragraph" w:styleId="34">
    <w:name w:val="List Paragraph"/>
    <w:basedOn w:val="1"/>
    <w:qFormat/>
    <w:uiPriority w:val="34"/>
    <w:pPr>
      <w:ind w:firstLine="420" w:firstLineChars="200"/>
    </w:pPr>
    <w:rPr>
      <w:rFonts w:ascii="Calibri" w:hAnsi="Calibri" w:eastAsia="宋体" w:cs="Times New Roman"/>
      <w:szCs w:val="22"/>
    </w:rPr>
  </w:style>
  <w:style w:type="paragraph" w:customStyle="1" w:styleId="35">
    <w:name w:val="正文（正式）"/>
    <w:basedOn w:val="1"/>
    <w:qFormat/>
    <w:uiPriority w:val="0"/>
    <w:pPr>
      <w:adjustRightInd w:val="0"/>
      <w:snapToGrid w:val="0"/>
      <w:spacing w:line="312" w:lineRule="auto"/>
      <w:ind w:firstLine="200" w:firstLineChars="200"/>
    </w:pPr>
    <w:rPr>
      <w:rFonts w:ascii="Times New Roman" w:hAnsi="Times New Roman" w:cs="Times New Roman"/>
      <w:bCs/>
      <w:sz w:val="24"/>
      <w:szCs w:val="28"/>
    </w:rPr>
  </w:style>
  <w:style w:type="paragraph" w:customStyle="1" w:styleId="36">
    <w:name w:val="一级条标题"/>
    <w:basedOn w:val="37"/>
    <w:next w:val="38"/>
    <w:qFormat/>
    <w:uiPriority w:val="0"/>
    <w:pPr>
      <w:spacing w:line="240" w:lineRule="auto"/>
      <w:ind w:left="420"/>
      <w:outlineLvl w:val="2"/>
    </w:pPr>
    <w:rPr>
      <w:rFonts w:ascii="Times New Roman" w:hAnsi="Times New Roman" w:eastAsia="宋体"/>
    </w:rPr>
  </w:style>
  <w:style w:type="paragraph" w:customStyle="1" w:styleId="37">
    <w:name w:val="章标题"/>
    <w:next w:val="1"/>
    <w:qFormat/>
    <w:uiPriority w:val="0"/>
    <w:pPr>
      <w:spacing w:line="360" w:lineRule="auto"/>
      <w:jc w:val="both"/>
      <w:outlineLvl w:val="1"/>
    </w:pPr>
    <w:rPr>
      <w:rFonts w:ascii="黑体" w:hAnsi="Calibri" w:eastAsia="黑体" w:cs="Times New Roman"/>
      <w:sz w:val="21"/>
      <w:szCs w:val="22"/>
      <w:lang w:val="en-US" w:eastAsia="zh-CN" w:bidi="ar-SA"/>
    </w:rPr>
  </w:style>
  <w:style w:type="paragraph" w:customStyle="1" w:styleId="38">
    <w:name w:val="段"/>
    <w:next w:val="1"/>
    <w:qFormat/>
    <w:uiPriority w:val="0"/>
    <w:pPr>
      <w:autoSpaceDE w:val="0"/>
      <w:autoSpaceDN w:val="0"/>
      <w:spacing w:line="360" w:lineRule="auto"/>
      <w:ind w:firstLine="200" w:firstLineChars="200"/>
      <w:jc w:val="both"/>
    </w:pPr>
    <w:rPr>
      <w:rFonts w:ascii="宋体" w:hAnsi="Calibri" w:eastAsia="Times New Roman" w:cs="Times New Roman"/>
      <w:sz w:val="21"/>
      <w:szCs w:val="22"/>
      <w:lang w:val="en-US" w:eastAsia="zh-CN" w:bidi="ar-SA"/>
    </w:rPr>
  </w:style>
  <w:style w:type="paragraph" w:customStyle="1" w:styleId="39">
    <w:name w:val="Table Paragraph"/>
    <w:basedOn w:val="1"/>
    <w:qFormat/>
    <w:uiPriority w:val="1"/>
  </w:style>
  <w:style w:type="paragraph" w:customStyle="1" w:styleId="40">
    <w:name w:val="HtmlNormal"/>
    <w:basedOn w:val="1"/>
    <w:qFormat/>
    <w:uiPriority w:val="0"/>
    <w:pPr>
      <w:spacing w:before="100" w:beforeAutospacing="1" w:after="100" w:afterAutospacing="1"/>
      <w:jc w:val="left"/>
      <w:textAlignment w:val="baseline"/>
    </w:pPr>
    <w:rPr>
      <w:sz w:val="24"/>
      <w:szCs w:val="24"/>
    </w:rPr>
  </w:style>
  <w:style w:type="paragraph" w:customStyle="1" w:styleId="41">
    <w:name w:val="_Style 29"/>
    <w:basedOn w:val="1"/>
    <w:qFormat/>
    <w:uiPriority w:val="0"/>
    <w:pPr>
      <w:ind w:firstLine="420" w:firstLineChars="200"/>
    </w:pPr>
    <w:rPr>
      <w:rFonts w:ascii="Times New Roman" w:hAnsi="Times New Roman" w:cs="Times New Roman"/>
    </w:rPr>
  </w:style>
  <w:style w:type="paragraph" w:customStyle="1" w:styleId="42">
    <w:name w:val="正文_0"/>
    <w:qFormat/>
    <w:uiPriority w:val="0"/>
    <w:pPr>
      <w:widowControl w:val="0"/>
      <w:spacing w:line="360" w:lineRule="auto"/>
      <w:jc w:val="both"/>
    </w:pPr>
    <w:rPr>
      <w:rFonts w:ascii="Calibri" w:hAnsi="Calibri" w:eastAsia="Times New Roman" w:cs="Times New Roman"/>
      <w:kern w:val="2"/>
      <w:sz w:val="21"/>
      <w:szCs w:val="24"/>
      <w:lang w:val="en-US" w:eastAsia="zh-CN" w:bidi="ar-SA"/>
    </w:rPr>
  </w:style>
  <w:style w:type="paragraph" w:customStyle="1" w:styleId="43">
    <w:name w:val="Normal_55"/>
    <w:qFormat/>
    <w:uiPriority w:val="0"/>
    <w:pPr>
      <w:spacing w:before="120" w:after="240"/>
      <w:jc w:val="both"/>
    </w:pPr>
    <w:rPr>
      <w:rFonts w:ascii="Calibri" w:hAnsi="Calibri" w:eastAsia="Calibri" w:cs="Times New Roman"/>
      <w:sz w:val="22"/>
      <w:szCs w:val="22"/>
      <w:lang w:val="ru-RU" w:eastAsia="en-US" w:bidi="ar-SA"/>
    </w:rPr>
  </w:style>
  <w:style w:type="character" w:customStyle="1" w:styleId="44">
    <w:name w:val="纯文本 字符"/>
    <w:basedOn w:val="25"/>
    <w:link w:val="10"/>
    <w:qFormat/>
    <w:uiPriority w:val="99"/>
    <w:rPr>
      <w:rFonts w:ascii="宋体" w:hAnsi="Courier New" w:cs="宋体"/>
      <w:color w:val="000000"/>
      <w:sz w:val="21"/>
    </w:rPr>
  </w:style>
  <w:style w:type="character" w:customStyle="1" w:styleId="45">
    <w:name w:val="批注框文本 字符"/>
    <w:basedOn w:val="25"/>
    <w:link w:val="15"/>
    <w:qFormat/>
    <w:uiPriority w:val="0"/>
    <w:rPr>
      <w:rFonts w:ascii="宋体" w:hAnsi="宋体" w:eastAsia="Times New Roman" w:cs="宋体"/>
      <w:color w:val="000000"/>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67</Pages>
  <Words>29960</Words>
  <Characters>32501</Characters>
  <Lines>277</Lines>
  <Paragraphs>78</Paragraphs>
  <TotalTime>32</TotalTime>
  <ScaleCrop>false</ScaleCrop>
  <LinksUpToDate>false</LinksUpToDate>
  <CharactersWithSpaces>34150</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2022-04-21T08:41:00Z</dcterms:created>
  <dc:creator>Administrator</dc:creator>
  <cp:lastModifiedBy>凌夜</cp:lastModifiedBy>
  <cp:lastPrinted>2022-07-14T07:27:00Z</cp:lastPrinted>
  <dcterms:modified xsi:type="dcterms:W3CDTF">2022-07-20T07:47:42Z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758246ED4C424ECA8E9549377941A9AE</vt:lpwstr>
  </property>
</Properties>
</file>