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rPr>
          <w:rFonts w:hint="eastAsia"/>
        </w:rPr>
      </w:pPr>
      <w:bookmarkStart w:id="0" w:name="_GoBack"/>
      <w:bookmarkEnd w:id="0"/>
      <w:r>
        <w:rPr>
          <w:rFonts w:hint="eastAsia"/>
        </w:rPr>
        <w:t>附件2：专用资质业绩要求</w:t>
      </w:r>
    </w:p>
    <w:tbl>
      <w:tblPr>
        <w:tblStyle w:val="77"/>
        <w:tblW w:w="133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276"/>
        <w:gridCol w:w="918"/>
        <w:gridCol w:w="1157"/>
        <w:gridCol w:w="865"/>
        <w:gridCol w:w="1043"/>
        <w:gridCol w:w="2157"/>
        <w:gridCol w:w="913"/>
        <w:gridCol w:w="1364"/>
        <w:gridCol w:w="1505"/>
        <w:gridCol w:w="953"/>
        <w:gridCol w:w="116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6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适用标包</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sz w:val="18"/>
                <w:szCs w:val="18"/>
                <w:u w:val="none"/>
                <w:lang w:val="en-US" w:eastAsia="zh-CN"/>
              </w:rPr>
              <w:t>小类</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sz w:val="18"/>
                <w:szCs w:val="18"/>
                <w:u w:val="none"/>
                <w:lang w:val="en-US" w:eastAsia="zh-CN"/>
              </w:rPr>
              <w:t>注册资金及供货业绩</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sz w:val="18"/>
                <w:szCs w:val="18"/>
                <w:u w:val="none"/>
                <w:lang w:val="en-US" w:eastAsia="zh-CN"/>
              </w:rPr>
              <w:t>生产设备</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sz w:val="18"/>
                <w:szCs w:val="18"/>
                <w:u w:val="none"/>
                <w:lang w:val="en-US" w:eastAsia="zh-CN"/>
              </w:rPr>
              <w:t>生产能力</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sz w:val="18"/>
                <w:szCs w:val="18"/>
                <w:u w:val="none"/>
                <w:lang w:val="en-US" w:eastAsia="zh-CN"/>
              </w:rPr>
              <w:t>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sz w:val="18"/>
                <w:szCs w:val="18"/>
                <w:u w:val="none"/>
                <w:lang w:val="en-US" w:eastAsia="zh-CN"/>
              </w:rPr>
              <w:t>生产许可证</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sz w:val="18"/>
                <w:szCs w:val="18"/>
                <w:u w:val="none"/>
                <w:lang w:val="en-US" w:eastAsia="zh-CN"/>
              </w:rPr>
              <w:t>入网许可证/其他资质要求</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sz w:val="18"/>
                <w:szCs w:val="18"/>
                <w:u w:val="none"/>
                <w:lang w:val="en-US" w:eastAsia="zh-CN"/>
              </w:rPr>
              <w:t>产品型式试验报告或检测报告或鉴定报告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sz w:val="18"/>
                <w:szCs w:val="18"/>
                <w:u w:val="none"/>
                <w:lang w:val="en-US" w:eastAsia="zh-CN"/>
              </w:rPr>
              <w:t>3C认证证书</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sz w:val="18"/>
                <w:szCs w:val="18"/>
                <w:u w:val="none"/>
                <w:lang w:val="en-US" w:eastAsia="zh-CN"/>
              </w:rPr>
              <w:t>其他</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001电力电容器</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单台电容器</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应提供国家认可第三方权威检测机构的有效的型式试验报告（检测报告或鉴定报告）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002箱式变电站</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箱式变电站</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 xml:space="preserve">注册资本金2000万及以上 </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具有完整的制造、工艺装备和试验设备；具有同类产品研发、设计、制造和出厂试验的能力。</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应提供国家认可第三方权威检测机构的有效的型式试验报告（检测报告或鉴定报告）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海拔修正3000米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003矩形母线</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矩形母线</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004变电在线监测装置</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变电在线监测装置</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应提供国家认可第三方权威检测机构的有效的型式试验报告（检测报告或鉴定报告）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005防误闭锁系统</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防误闭锁系统</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006线路在线监测装置</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线路在线监测装置</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应提供国家认可第三方权威检测机构的有效的型式试验报告（检测报告或鉴定报告）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007在线监测系统</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在线监测系统</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 具有ISO27001系列信息安全管理体系认证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具有软件集成成熟度模型CMMI3级及以上认证资质</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008太阳能电源</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太阳能电源</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009UPS电源（不间断电源）</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交流电源系统</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应提供国家认可第三方权威检测机构的有效的型式试验报告（检测报告或鉴定报告）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010一体化电源系统等</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一体化电源系统</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应提供国家认可第三方权威检测机构的有效的型式试验报告（检测报告或鉴定报告）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011智能一体化电源系统（用能优化）</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智能一体化电源系统</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应提供国家认可第三方权威检测机构的有效的型式试验报告（检测报告或鉴定报告）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投标人中标后30个工作日内对现场开展勘察，确定安装调试时间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012智能变电站电源系统</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智能一体化电源系统</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013直流-48V通信电源成套设备</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直流电源系统</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注册资本金3000万及以上</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应提供国家认可第三方权威检测机构的有效的型式试验报告（检测报告或鉴定报告）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014GIS综合带电检测仪</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测量控制装置</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 xml:space="preserve">投标截至日前近两年内在国内销售业绩不少于60台 </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具备国网公司省公司及以上电科院出具的相关检测报告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015GIS手持式带电检测仪</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测量控制装置</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具备专业的技术服务团队 具有局部放电故障成功检测案例并提供相关报告及用户使用证明文件 具有局部放电实验室并提供实验室介绍及照片等证明材料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016GIS带电检测模拟装置</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实验台</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 xml:space="preserve">投标截至日前近三年内在国内销售业绩不少于15台 </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017红外精确测温模拟装置</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实验台</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018保护信息管理子站等</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小电流接地选线装置</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019远动终端设备（RTU）</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远动终端设备（RTU）</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应提供国家认可第三方权威检测机构的有效的型式试验报告（检测报告或鉴定报告）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020数据网网络管理系统</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数据网网络管理系统</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具备由中国电科院出具的配电自动化主站入网专业检测报告 国产Linux安全操作系统，具备国家级安全等保测试证明。投标方应对合同设备的材料和零部件选购、加工、制造、集成组态、试验等过程建立严格的质量保证体系。投标方提供的所有设备均应附有制造商发出的，有投标方签字的检查记录、质量保证书</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021变电站培训仿真系统</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变电站培训仿真系统</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022能量管理系统</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能量管理系统</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023集控站监控系统</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集控站监控系统</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024智能变电站辅助系统综合监控平台</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智能变电站辅助系统综合监控平台</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025智能终端</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智能终端</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026电能量采集终端等</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智能变电站电能量采集终端</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027低压屏（柜）等</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低压屏（柜）</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应提供国家认可第三方权威检测机构的有效的型式试验报告（检测报告或鉴定报告）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028输电线路仿真培训系统</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输电线路仿真培训系统</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029数据复制软件</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数据复制软件</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具有CMMI5级资质、ISO27001资质、ITSS叁级及以上资质</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030数据挖掘软件</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数据挖掘软件</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ISO9000/ISO9001系列质量管理体系认证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具有CMMI软件成熟度三级及以上资质证书 具有ISO14001环境管理体系认证证书</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031监控系统</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环境监控系统</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032交换系统</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综合接入设备</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033同步时钟设备</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同步时钟设备</w:t>
            </w:r>
          </w:p>
        </w:tc>
        <w:tc>
          <w:tcPr>
            <w:tcW w:w="1157" w:type="dxa"/>
            <w:tcBorders>
              <w:top w:val="nil"/>
              <w:left w:val="nil"/>
              <w:bottom w:val="nil"/>
              <w:right w:val="nil"/>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注册资本金3000万及以上</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应提供国家认可第三方权威检测机构的有效的型式试验报告（检测报告或鉴定报告）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034铁塔</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铁塔</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035光缆</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普通光缆</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036交流盘形悬式瓷复合绝缘子</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交流盘形悬式瓷复合绝缘子</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037电力专用作业车（无人机）</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电力专用作业车</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车辆应提供国家认可第三方权威检测机构的有效的型式试验报告（检测报告或鉴定报告）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038普通客车</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普通客车</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具有车辆销售资质</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039变压器灭火装置</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变压器灭火装置</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具有公安消防部门颁发的产品生成许可证</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应提供国家认可第三方权威检测机构的有效的型式试验报告（检测报告或鉴定报告）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040防雷设备</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防雷设备</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041防鸟设备</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042消防系统</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火灾报警系统</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043图像监视系统</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图像监视系统</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注册资本金1000万及以上</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044无人机</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无人机</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045厨房成套设备</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厨房成套设备</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近三年同类项目业绩500万及以上</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具有质量管理体系认证证书、环境管理体系认证证书、职业健康管理体系认证证书</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具有全国工业产品生产许可证书</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产品型式试验报告或检测报告或鉴定报告；提供所投产品省级及以上质量监督部门出具的产品检验报告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046电梯</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电梯</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具备《中华人民共和国特种设备安装改造维修（修理）生成许可证》（乘客电梯B级及以上）资质或市场监管部门颁发的有效的《中华人民共和国特种设备生产许可证》【许可项目含：电梯安装（含修理），许可子项目包含：曳引驱动乘客电梯】</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047升降平台</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工作台</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近三年同类项目业绩不少于5台 注册资本金不低于600万元</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90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048制氧设备</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制氧设备</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提供制造商经省级及以上第三方检测机构出具的制氧设备检测报告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4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049变压器油处理系统</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变压器油处理系统</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57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050自动化检定实验台</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实验台</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具有相关建设相关业绩，应提供国家认可第三方权威检测机构的标准表、时钟测试仪、耐压仪有效的型式试验报告（检测报告或鉴定报告）</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应提供国家认可第三方权威检测机构的标准表、时钟测试仪、耐压仪有效的型式试验报告（检测报告或鉴定报告）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Ex>
        <w:trPr>
          <w:trHeight w:val="1125"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051电取暖设备</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电取暖设备</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应提供国家认可第三方权威检测机构的有效的型式试验报告（检测报告或鉴定报告）</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720" w:hRule="atLeast"/>
        </w:trPr>
        <w:tc>
          <w:tcPr>
            <w:tcW w:w="1276"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052电视后期制作系统</w:t>
            </w:r>
          </w:p>
        </w:tc>
        <w:tc>
          <w:tcPr>
            <w:tcW w:w="91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电视后期制作系统</w:t>
            </w:r>
          </w:p>
        </w:tc>
        <w:tc>
          <w:tcPr>
            <w:tcW w:w="1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86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04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15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364"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50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953"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167"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bl>
    <w:p>
      <w:pPr>
        <w:rPr>
          <w:rFonts w:hint="eastAsia"/>
        </w:rPr>
      </w:pPr>
    </w:p>
    <w:p>
      <w:pPr>
        <w:pStyle w:val="2"/>
      </w:pPr>
    </w:p>
    <w:p>
      <w:pPr>
        <w:rPr>
          <w:b/>
        </w:rPr>
      </w:pPr>
    </w:p>
    <w:p>
      <w:pPr>
        <w:pStyle w:val="3"/>
        <w:bidi w:val="0"/>
      </w:pPr>
      <w:r>
        <w:rPr>
          <w:rFonts w:hint="eastAsia"/>
        </w:rPr>
        <w:t>附件3：</w:t>
      </w:r>
      <w:r>
        <w:rPr>
          <w:rFonts w:hint="eastAsia"/>
          <w:lang w:eastAsia="zh-CN"/>
        </w:rPr>
        <w:t>国网青海省电力公司2022年第</w:t>
      </w:r>
      <w:r>
        <w:rPr>
          <w:rFonts w:hint="eastAsia"/>
          <w:lang w:val="en-US" w:eastAsia="zh-CN"/>
        </w:rPr>
        <w:t>二</w:t>
      </w:r>
      <w:r>
        <w:rPr>
          <w:rFonts w:hint="eastAsia"/>
          <w:lang w:eastAsia="zh-CN"/>
        </w:rPr>
        <w:t>次物资招标采购(批次编号：28220</w:t>
      </w:r>
      <w:r>
        <w:rPr>
          <w:rFonts w:hint="eastAsia"/>
          <w:lang w:val="en-US" w:eastAsia="zh-CN"/>
        </w:rPr>
        <w:t>2</w:t>
      </w:r>
      <w:r>
        <w:rPr>
          <w:rFonts w:hint="eastAsia"/>
          <w:lang w:eastAsia="zh-CN"/>
        </w:rPr>
        <w:t>)项目</w:t>
      </w:r>
      <w:r>
        <w:rPr>
          <w:rFonts w:hint="eastAsia"/>
        </w:rPr>
        <w:t>最高投标限价清单及特殊要求。</w:t>
      </w:r>
    </w:p>
    <w:tbl>
      <w:tblPr>
        <w:tblStyle w:val="77"/>
        <w:tblW w:w="13367" w:type="dxa"/>
        <w:tblInd w:w="0" w:type="dxa"/>
        <w:tblLayout w:type="fixed"/>
        <w:tblCellMar>
          <w:top w:w="15" w:type="dxa"/>
          <w:left w:w="15" w:type="dxa"/>
          <w:bottom w:w="15" w:type="dxa"/>
          <w:right w:w="15" w:type="dxa"/>
        </w:tblCellMar>
      </w:tblPr>
      <w:tblGrid>
        <w:gridCol w:w="666"/>
        <w:gridCol w:w="1143"/>
        <w:gridCol w:w="927"/>
        <w:gridCol w:w="514"/>
        <w:gridCol w:w="1305"/>
        <w:gridCol w:w="2695"/>
        <w:gridCol w:w="2156"/>
        <w:gridCol w:w="626"/>
        <w:gridCol w:w="818"/>
        <w:gridCol w:w="1264"/>
        <w:gridCol w:w="1253"/>
      </w:tblGrid>
      <w:tr>
        <w:tblPrEx>
          <w:tblLayout w:type="fixed"/>
          <w:tblCellMar>
            <w:top w:w="15" w:type="dxa"/>
            <w:left w:w="15" w:type="dxa"/>
            <w:bottom w:w="15" w:type="dxa"/>
            <w:right w:w="15" w:type="dxa"/>
          </w:tblCellMar>
        </w:tblPrEx>
        <w:trPr>
          <w:trHeight w:val="658" w:hRule="atLeast"/>
          <w:tblHeader/>
        </w:trPr>
        <w:tc>
          <w:tcPr>
            <w:tcW w:w="666"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00"/>
                <w:kern w:val="0"/>
                <w:sz w:val="18"/>
                <w:szCs w:val="18"/>
                <w:u w:val="none"/>
                <w:lang w:val="en-US" w:eastAsia="zh-CN" w:bidi="ar"/>
              </w:rPr>
            </w:pPr>
            <w:r>
              <w:rPr>
                <w:rFonts w:hint="default" w:ascii="Calibri" w:hAnsi="Calibri" w:eastAsia="宋体" w:cs="Calibri"/>
                <w:b/>
                <w:i w:val="0"/>
                <w:color w:val="000000"/>
                <w:kern w:val="0"/>
                <w:sz w:val="18"/>
                <w:szCs w:val="18"/>
                <w:u w:val="none"/>
                <w:lang w:val="en-US" w:eastAsia="zh-CN" w:bidi="ar"/>
              </w:rPr>
              <w:t>序号</w:t>
            </w:r>
          </w:p>
        </w:tc>
        <w:tc>
          <w:tcPr>
            <w:tcW w:w="1143"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00"/>
                <w:kern w:val="0"/>
                <w:sz w:val="18"/>
                <w:szCs w:val="18"/>
                <w:u w:val="none"/>
                <w:lang w:val="en-US" w:eastAsia="zh-CN" w:bidi="ar"/>
              </w:rPr>
            </w:pPr>
            <w:r>
              <w:rPr>
                <w:rFonts w:hint="eastAsia" w:ascii="Calibri" w:hAnsi="Calibri" w:eastAsia="宋体" w:cs="Calibri"/>
                <w:b/>
                <w:i w:val="0"/>
                <w:color w:val="000000"/>
                <w:kern w:val="0"/>
                <w:sz w:val="18"/>
                <w:szCs w:val="18"/>
                <w:u w:val="none"/>
                <w:lang w:val="en-US" w:eastAsia="zh-CN" w:bidi="ar"/>
              </w:rPr>
              <w:t>采购申请号帐号</w:t>
            </w:r>
          </w:p>
        </w:tc>
        <w:tc>
          <w:tcPr>
            <w:tcW w:w="927"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00"/>
                <w:kern w:val="0"/>
                <w:sz w:val="18"/>
                <w:szCs w:val="18"/>
                <w:u w:val="none"/>
                <w:lang w:val="en-US" w:eastAsia="zh-CN" w:bidi="ar"/>
              </w:rPr>
            </w:pPr>
            <w:r>
              <w:rPr>
                <w:rFonts w:hint="default" w:ascii="Calibri" w:hAnsi="Calibri" w:eastAsia="宋体" w:cs="Calibri"/>
                <w:b/>
                <w:i w:val="0"/>
                <w:color w:val="000000"/>
                <w:kern w:val="0"/>
                <w:sz w:val="18"/>
                <w:szCs w:val="18"/>
                <w:u w:val="none"/>
                <w:lang w:val="en-US" w:eastAsia="zh-CN" w:bidi="ar"/>
              </w:rPr>
              <w:t>分标名称</w:t>
            </w:r>
          </w:p>
        </w:tc>
        <w:tc>
          <w:tcPr>
            <w:tcW w:w="514"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00"/>
                <w:kern w:val="0"/>
                <w:sz w:val="18"/>
                <w:szCs w:val="18"/>
                <w:u w:val="none"/>
                <w:lang w:val="en-US" w:eastAsia="zh-CN" w:bidi="ar"/>
              </w:rPr>
            </w:pPr>
            <w:r>
              <w:rPr>
                <w:rFonts w:hint="eastAsia" w:ascii="Calibri" w:hAnsi="Calibri" w:eastAsia="宋体" w:cs="Calibri"/>
                <w:b/>
                <w:i w:val="0"/>
                <w:color w:val="000000"/>
                <w:kern w:val="0"/>
                <w:sz w:val="18"/>
                <w:szCs w:val="18"/>
                <w:u w:val="none"/>
                <w:lang w:val="en-US" w:eastAsia="zh-CN" w:bidi="ar"/>
              </w:rPr>
              <w:t>分包</w:t>
            </w:r>
          </w:p>
        </w:tc>
        <w:tc>
          <w:tcPr>
            <w:tcW w:w="1305"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00"/>
                <w:kern w:val="0"/>
                <w:sz w:val="18"/>
                <w:szCs w:val="18"/>
                <w:u w:val="none"/>
                <w:lang w:val="en-US" w:eastAsia="zh-CN" w:bidi="ar"/>
              </w:rPr>
            </w:pPr>
            <w:r>
              <w:rPr>
                <w:rFonts w:hint="eastAsia" w:ascii="Calibri" w:hAnsi="Calibri" w:eastAsia="宋体" w:cs="Calibri"/>
                <w:b/>
                <w:i w:val="0"/>
                <w:color w:val="000000"/>
                <w:kern w:val="0"/>
                <w:sz w:val="18"/>
                <w:szCs w:val="18"/>
                <w:u w:val="none"/>
                <w:lang w:val="en-US" w:eastAsia="zh-CN" w:bidi="ar"/>
              </w:rPr>
              <w:t>项目单位</w:t>
            </w:r>
          </w:p>
        </w:tc>
        <w:tc>
          <w:tcPr>
            <w:tcW w:w="2695"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00"/>
                <w:kern w:val="0"/>
                <w:sz w:val="18"/>
                <w:szCs w:val="18"/>
                <w:u w:val="none"/>
                <w:lang w:val="en-US" w:eastAsia="zh-CN" w:bidi="ar"/>
              </w:rPr>
            </w:pPr>
            <w:r>
              <w:rPr>
                <w:rFonts w:hint="eastAsia" w:ascii="Calibri" w:hAnsi="Calibri" w:eastAsia="宋体" w:cs="Calibri"/>
                <w:b/>
                <w:i w:val="0"/>
                <w:color w:val="000000"/>
                <w:kern w:val="0"/>
                <w:sz w:val="18"/>
                <w:szCs w:val="18"/>
                <w:u w:val="none"/>
                <w:lang w:val="en-US" w:eastAsia="zh-CN" w:bidi="ar"/>
              </w:rPr>
              <w:t>工程名称</w:t>
            </w:r>
          </w:p>
        </w:tc>
        <w:tc>
          <w:tcPr>
            <w:tcW w:w="2156"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00"/>
                <w:kern w:val="0"/>
                <w:sz w:val="18"/>
                <w:szCs w:val="18"/>
                <w:u w:val="none"/>
                <w:lang w:val="en-US" w:eastAsia="zh-CN" w:bidi="ar"/>
              </w:rPr>
            </w:pPr>
            <w:r>
              <w:rPr>
                <w:rFonts w:hint="default" w:ascii="Calibri" w:hAnsi="Calibri" w:eastAsia="宋体" w:cs="Calibri"/>
                <w:b/>
                <w:i w:val="0"/>
                <w:color w:val="000000"/>
                <w:kern w:val="0"/>
                <w:sz w:val="18"/>
                <w:szCs w:val="18"/>
                <w:u w:val="none"/>
                <w:lang w:val="en-US" w:eastAsia="zh-CN" w:bidi="ar"/>
              </w:rPr>
              <w:t>物资描述</w:t>
            </w:r>
          </w:p>
        </w:tc>
        <w:tc>
          <w:tcPr>
            <w:tcW w:w="626"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00"/>
                <w:kern w:val="0"/>
                <w:sz w:val="18"/>
                <w:szCs w:val="18"/>
                <w:u w:val="none"/>
                <w:lang w:val="en-US" w:eastAsia="zh-CN" w:bidi="ar"/>
              </w:rPr>
            </w:pPr>
            <w:r>
              <w:rPr>
                <w:rFonts w:hint="eastAsia" w:ascii="Calibri" w:hAnsi="Calibri" w:eastAsia="宋体" w:cs="Calibri"/>
                <w:b/>
                <w:i w:val="0"/>
                <w:color w:val="000000"/>
                <w:kern w:val="0"/>
                <w:sz w:val="18"/>
                <w:szCs w:val="18"/>
                <w:u w:val="none"/>
                <w:lang w:val="en-US" w:eastAsia="zh-CN" w:bidi="ar"/>
              </w:rPr>
              <w:t>单位</w:t>
            </w:r>
          </w:p>
        </w:tc>
        <w:tc>
          <w:tcPr>
            <w:tcW w:w="818"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00"/>
                <w:kern w:val="0"/>
                <w:sz w:val="18"/>
                <w:szCs w:val="18"/>
                <w:u w:val="none"/>
                <w:lang w:val="en-US" w:eastAsia="zh-CN" w:bidi="ar"/>
              </w:rPr>
            </w:pPr>
            <w:r>
              <w:rPr>
                <w:rFonts w:hint="default" w:ascii="Calibri" w:hAnsi="Calibri" w:eastAsia="宋体" w:cs="Calibri"/>
                <w:b/>
                <w:i w:val="0"/>
                <w:color w:val="000000"/>
                <w:kern w:val="0"/>
                <w:sz w:val="18"/>
                <w:szCs w:val="18"/>
                <w:u w:val="none"/>
                <w:lang w:val="en-US" w:eastAsia="zh-CN" w:bidi="ar"/>
              </w:rPr>
              <w:t>数量</w:t>
            </w:r>
          </w:p>
        </w:tc>
        <w:tc>
          <w:tcPr>
            <w:tcW w:w="1264"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eastAsia" w:ascii="Calibri" w:hAnsi="Calibri" w:eastAsia="宋体" w:cs="Calibri"/>
                <w:b/>
                <w:i w:val="0"/>
                <w:color w:val="000000"/>
                <w:kern w:val="0"/>
                <w:sz w:val="18"/>
                <w:szCs w:val="18"/>
                <w:u w:val="none"/>
                <w:lang w:val="en-US" w:eastAsia="zh-CN" w:bidi="ar"/>
              </w:rPr>
            </w:pPr>
            <w:r>
              <w:rPr>
                <w:rFonts w:hint="eastAsia" w:ascii="Calibri" w:hAnsi="Calibri" w:eastAsia="宋体" w:cs="Calibri"/>
                <w:b/>
                <w:i w:val="0"/>
                <w:color w:val="000000"/>
                <w:kern w:val="0"/>
                <w:sz w:val="18"/>
                <w:szCs w:val="18"/>
                <w:u w:val="none"/>
                <w:lang w:val="en-US" w:eastAsia="zh-CN" w:bidi="ar"/>
              </w:rPr>
              <w:t>最高限价（含税总价/万元）</w:t>
            </w:r>
          </w:p>
        </w:tc>
        <w:tc>
          <w:tcPr>
            <w:tcW w:w="1253" w:type="dxa"/>
            <w:tcBorders>
              <w:top w:val="single" w:color="000000" w:sz="4" w:space="0"/>
              <w:left w:val="single" w:color="000000" w:sz="4" w:space="0"/>
              <w:bottom w:val="single" w:color="000000" w:sz="4" w:space="0"/>
              <w:right w:val="single" w:color="000000" w:sz="4" w:space="0"/>
            </w:tcBorders>
            <w:shd w:val="clear" w:color="auto" w:fill="C0C0C0"/>
            <w:vAlign w:val="center"/>
          </w:tcPr>
          <w:p>
            <w:pPr>
              <w:keepNext w:val="0"/>
              <w:keepLines w:val="0"/>
              <w:widowControl/>
              <w:suppressLineNumbers w:val="0"/>
              <w:ind w:left="0" w:leftChars="0" w:firstLine="0" w:firstLineChars="0"/>
              <w:jc w:val="center"/>
              <w:textAlignment w:val="center"/>
              <w:rPr>
                <w:rFonts w:hint="default" w:ascii="Calibri" w:hAnsi="Calibri" w:eastAsia="宋体" w:cs="Calibri"/>
                <w:b/>
                <w:i w:val="0"/>
                <w:color w:val="000000"/>
                <w:kern w:val="0"/>
                <w:sz w:val="18"/>
                <w:szCs w:val="18"/>
                <w:u w:val="none"/>
                <w:lang w:val="en-US" w:eastAsia="zh-CN" w:bidi="ar"/>
              </w:rPr>
            </w:pPr>
            <w:r>
              <w:rPr>
                <w:rFonts w:hint="eastAsia" w:ascii="Calibri" w:hAnsi="Calibri" w:eastAsia="宋体" w:cs="Calibri"/>
                <w:b/>
                <w:i w:val="0"/>
                <w:color w:val="000000"/>
                <w:kern w:val="0"/>
                <w:sz w:val="18"/>
                <w:szCs w:val="18"/>
                <w:u w:val="none"/>
                <w:lang w:val="en-US" w:eastAsia="zh-CN" w:bidi="ar"/>
              </w:rPr>
              <w:t>特殊要求</w:t>
            </w: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050037642200010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001电力电容器</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国网青海省海西供电公司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国网青海海西供电公司110kV依克湖变10kV1号、2号电容器改造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单台电容器,AC10kV,334kvar,BAM-11/√3-334-1W</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18.000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11.249</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050037511700010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002箱式变电站</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国网青海省海东供电公司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国网青海海东供电公司物资周转库</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10kV箱式变电站,400kVA,欧式,硅钢片,普通,有环网柜</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23.24</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海拔修正3000米</w:t>
            </w: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050037511700020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002箱式变电站</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国网青海省海东供电公司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国网青海海东供电公司物资周转库</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10kV箱式变电站,630kVA,欧式,硅钢片,普通,有环网柜</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16.66</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海拔修正3000米</w:t>
            </w: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4</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050037579300010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003矩形母线</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国网青海省海西供电公司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青海海西冷湖110kV变电站2号主变扩建工程</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矩形母线,铜,2500A</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米</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135.000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16.9803</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5</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050037459100010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004变电在线监测装置</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国网青海省电力公司检修公司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国网青海检修公司750kV柴达木换流站柴鱼Ⅰ、Ⅱ线高抗油在线监测装置改造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变电在线监测装置,油色谱监测系统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6.000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199.56</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6</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050037424900020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006线路在线监测装置</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国网青海省电力公司检修公司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国网青海检修公司330kV柴拓线#89-#90等2处三跨隐患治理</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线路在线监测装置,图像在线监测装置</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7.5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7</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050036739700010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007在线监测系统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国网青海省电力公司物资供应公司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国网青海信通公司-智慧物联体系信息机房试点应用建设-软硬件购置及实施项目-资本性</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在线监测系统,省调</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68.98</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8</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030009622700010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008太阳能电源</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国网青海省青海电力科学试验研究院</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国网青海电科院2022年高功率移动电源购置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太阳能电源,2000W</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9</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050037405300010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009UPS电源（不间断电源）</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国网青海省电力公司信息通信公司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国网青海信通公司本部一楼配电室辅助设备改造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UPS电源（不间断电源）,30kVA</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14.2</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050037518800010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009UPS电源（不间断电源）</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国网青海省电力公司检修公司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国网青海检修公司</w:t>
            </w:r>
            <w:r>
              <w:rPr>
                <w:rFonts w:hint="default" w:ascii="Arial" w:hAnsi="Arial" w:eastAsia="宋体" w:cs="Arial"/>
                <w:i w:val="0"/>
                <w:color w:val="000000"/>
                <w:kern w:val="0"/>
                <w:sz w:val="20"/>
                <w:szCs w:val="20"/>
                <w:u w:val="none"/>
                <w:lang w:val="en-US" w:eastAsia="zh-CN" w:bidi="ar"/>
              </w:rPr>
              <w:t>330kV</w:t>
            </w:r>
            <w:r>
              <w:rPr>
                <w:rFonts w:hint="eastAsia" w:ascii="Arial" w:hAnsi="Arial" w:eastAsia="宋体" w:cs="Arial"/>
                <w:i w:val="0"/>
                <w:color w:val="000000"/>
                <w:kern w:val="0"/>
                <w:sz w:val="20"/>
                <w:szCs w:val="20"/>
                <w:u w:val="none"/>
                <w:lang w:val="en-US" w:eastAsia="zh-CN" w:bidi="ar"/>
              </w:rPr>
              <w:t>景阳变电站等</w:t>
            </w:r>
            <w:r>
              <w:rPr>
                <w:rFonts w:hint="default" w:ascii="Arial" w:hAnsi="Arial" w:eastAsia="宋体" w:cs="Arial"/>
                <w:i w:val="0"/>
                <w:color w:val="000000"/>
                <w:kern w:val="0"/>
                <w:sz w:val="20"/>
                <w:szCs w:val="20"/>
                <w:u w:val="none"/>
                <w:lang w:val="en-US" w:eastAsia="zh-CN" w:bidi="ar"/>
              </w:rPr>
              <w:t>9</w:t>
            </w:r>
            <w:r>
              <w:rPr>
                <w:rFonts w:hint="eastAsia" w:ascii="Arial" w:hAnsi="Arial" w:eastAsia="宋体" w:cs="Arial"/>
                <w:i w:val="0"/>
                <w:color w:val="000000"/>
                <w:kern w:val="0"/>
                <w:sz w:val="20"/>
                <w:szCs w:val="20"/>
                <w:u w:val="none"/>
                <w:lang w:val="en-US" w:eastAsia="zh-CN" w:bidi="ar"/>
              </w:rPr>
              <w:t>座变电站</w:t>
            </w:r>
            <w:r>
              <w:rPr>
                <w:rFonts w:hint="default" w:ascii="Arial" w:hAnsi="Arial" w:eastAsia="宋体" w:cs="Arial"/>
                <w:i w:val="0"/>
                <w:color w:val="000000"/>
                <w:kern w:val="0"/>
                <w:sz w:val="20"/>
                <w:szCs w:val="20"/>
                <w:u w:val="none"/>
                <w:lang w:val="en-US" w:eastAsia="zh-CN" w:bidi="ar"/>
              </w:rPr>
              <w:t>UPS</w:t>
            </w:r>
            <w:r>
              <w:rPr>
                <w:rFonts w:hint="eastAsia" w:ascii="Arial" w:hAnsi="Arial" w:eastAsia="宋体" w:cs="Arial"/>
                <w:i w:val="0"/>
                <w:color w:val="000000"/>
                <w:kern w:val="0"/>
                <w:sz w:val="20"/>
                <w:szCs w:val="20"/>
                <w:u w:val="none"/>
                <w:lang w:val="en-US" w:eastAsia="zh-CN" w:bidi="ar"/>
              </w:rPr>
              <w:t>电源系统更换</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UPS电源（不间断电源）,15kVA</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9.000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57</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11</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050037405300020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010</w:t>
            </w:r>
            <w:r>
              <w:rPr>
                <w:rFonts w:hint="eastAsia" w:ascii="Arial" w:hAnsi="Arial" w:eastAsia="宋体" w:cs="Arial"/>
                <w:i w:val="0"/>
                <w:color w:val="000000"/>
                <w:kern w:val="0"/>
                <w:sz w:val="20"/>
                <w:szCs w:val="20"/>
                <w:u w:val="none"/>
                <w:lang w:val="en-US" w:eastAsia="zh-CN" w:bidi="ar"/>
              </w:rPr>
              <w:t>一体化电源系统等</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国网青海省电力公司信息通信公司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国网青海信通公司本部一楼配电室辅助设备改造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一体化电源系统,DC220V,120A</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9.6</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12</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050037572100010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010</w:t>
            </w:r>
            <w:r>
              <w:rPr>
                <w:rFonts w:hint="eastAsia" w:ascii="Arial" w:hAnsi="Arial" w:eastAsia="宋体" w:cs="Arial"/>
                <w:i w:val="0"/>
                <w:color w:val="000000"/>
                <w:kern w:val="0"/>
                <w:sz w:val="20"/>
                <w:szCs w:val="20"/>
                <w:u w:val="none"/>
                <w:lang w:val="en-US" w:eastAsia="zh-CN" w:bidi="ar"/>
              </w:rPr>
              <w:t>一体化电源系统等</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国网青海省海西供电公司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青海海西冷湖110kV变电站2号主变扩建工程</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一体化电源系统,DC220V,50A</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050037693400010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010</w:t>
            </w:r>
            <w:r>
              <w:rPr>
                <w:rFonts w:hint="eastAsia" w:ascii="Arial" w:hAnsi="Arial" w:eastAsia="宋体" w:cs="Arial"/>
                <w:i w:val="0"/>
                <w:color w:val="000000"/>
                <w:kern w:val="0"/>
                <w:sz w:val="20"/>
                <w:szCs w:val="20"/>
                <w:u w:val="none"/>
                <w:lang w:val="en-US" w:eastAsia="zh-CN" w:bidi="ar"/>
              </w:rPr>
              <w:t>一体化电源系统等</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国网青海省西宁供电公司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国网青海西宁供电公司110kV新城变等4座变电站直流系统改造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一体化电源系统,DC220V,40A</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8.39</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14</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050037693400020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010</w:t>
            </w:r>
            <w:r>
              <w:rPr>
                <w:rFonts w:hint="eastAsia" w:ascii="Arial" w:hAnsi="Arial" w:eastAsia="宋体" w:cs="Arial"/>
                <w:i w:val="0"/>
                <w:color w:val="000000"/>
                <w:kern w:val="0"/>
                <w:sz w:val="20"/>
                <w:szCs w:val="20"/>
                <w:u w:val="none"/>
                <w:lang w:val="en-US" w:eastAsia="zh-CN" w:bidi="ar"/>
              </w:rPr>
              <w:t>一体化电源系统等</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国网青海省西宁供电公司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国网青海西宁供电公司110kV新城变等4座变电站直流系统改造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一体化电源系统,DC220V,100A</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14</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15</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050037693400030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010</w:t>
            </w:r>
            <w:r>
              <w:rPr>
                <w:rFonts w:hint="eastAsia" w:ascii="Arial" w:hAnsi="Arial" w:eastAsia="宋体" w:cs="Arial"/>
                <w:i w:val="0"/>
                <w:color w:val="000000"/>
                <w:kern w:val="0"/>
                <w:sz w:val="20"/>
                <w:szCs w:val="20"/>
                <w:u w:val="none"/>
                <w:lang w:val="en-US" w:eastAsia="zh-CN" w:bidi="ar"/>
              </w:rPr>
              <w:t>一体化电源系统等</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国网青海省西宁供电公司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国网青海西宁供电公司110kV新城变等4座变电站直流系统改造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一体化电源系统,DC220V,50A</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28</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16</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050037701600010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010</w:t>
            </w:r>
            <w:r>
              <w:rPr>
                <w:rFonts w:hint="eastAsia" w:ascii="Arial" w:hAnsi="Arial" w:eastAsia="宋体" w:cs="Arial"/>
                <w:i w:val="0"/>
                <w:color w:val="000000"/>
                <w:kern w:val="0"/>
                <w:sz w:val="20"/>
                <w:szCs w:val="20"/>
                <w:u w:val="none"/>
                <w:lang w:val="en-US" w:eastAsia="zh-CN" w:bidi="ar"/>
              </w:rPr>
              <w:t>一体化电源系统等</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国网青海省西宁供电公司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国网青海西宁供电公司35kV水草滩变电站二次设备改造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一体化电源系统,DC220V,40A</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6.5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17</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050036763800010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011</w:t>
            </w:r>
            <w:r>
              <w:rPr>
                <w:rFonts w:hint="eastAsia" w:ascii="Arial" w:hAnsi="Arial" w:eastAsia="宋体" w:cs="Arial"/>
                <w:i w:val="0"/>
                <w:color w:val="000000"/>
                <w:kern w:val="0"/>
                <w:sz w:val="20"/>
                <w:szCs w:val="20"/>
                <w:u w:val="none"/>
                <w:lang w:val="en-US" w:eastAsia="zh-CN" w:bidi="ar"/>
              </w:rPr>
              <w:t>智能一体化电源系统（用能优化）</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国网青海省西宁供电公司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国网青海西宁供电公司</w:t>
            </w:r>
            <w:r>
              <w:rPr>
                <w:rFonts w:hint="default" w:ascii="Arial" w:hAnsi="Arial" w:eastAsia="宋体" w:cs="Arial"/>
                <w:i w:val="0"/>
                <w:color w:val="000000"/>
                <w:kern w:val="0"/>
                <w:sz w:val="20"/>
                <w:szCs w:val="20"/>
                <w:u w:val="none"/>
                <w:lang w:val="en-US" w:eastAsia="zh-CN" w:bidi="ar"/>
              </w:rPr>
              <w:t>2022</w:t>
            </w:r>
            <w:r>
              <w:rPr>
                <w:rFonts w:hint="eastAsia" w:ascii="Arial" w:hAnsi="Arial" w:eastAsia="宋体" w:cs="Arial"/>
                <w:i w:val="0"/>
                <w:color w:val="000000"/>
                <w:kern w:val="0"/>
                <w:sz w:val="20"/>
                <w:szCs w:val="20"/>
                <w:u w:val="none"/>
                <w:lang w:val="en-US" w:eastAsia="zh-CN" w:bidi="ar"/>
              </w:rPr>
              <w:t>年办公楼宇用能优化项目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智能一体化电源系统,DC220V,80A</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26.01</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18</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050036766100010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011</w:t>
            </w:r>
            <w:r>
              <w:rPr>
                <w:rFonts w:hint="eastAsia" w:ascii="Arial" w:hAnsi="Arial" w:eastAsia="宋体" w:cs="Arial"/>
                <w:i w:val="0"/>
                <w:color w:val="000000"/>
                <w:kern w:val="0"/>
                <w:sz w:val="20"/>
                <w:szCs w:val="20"/>
                <w:u w:val="none"/>
                <w:lang w:val="en-US" w:eastAsia="zh-CN" w:bidi="ar"/>
              </w:rPr>
              <w:t>智能一体化电源系统（用能优化）</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国网青海省黄化供电公司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国网青海黄化供电公司2022年办公楼宇用能优化项目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智能一体化电源系统,DC220V,80A</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33.8</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19</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050037402900010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013</w:t>
            </w:r>
            <w:r>
              <w:rPr>
                <w:rFonts w:hint="eastAsia" w:ascii="Arial" w:hAnsi="Arial" w:eastAsia="宋体" w:cs="Arial"/>
                <w:i w:val="0"/>
                <w:color w:val="000000"/>
                <w:kern w:val="0"/>
                <w:sz w:val="20"/>
                <w:szCs w:val="20"/>
                <w:u w:val="none"/>
                <w:lang w:val="en-US" w:eastAsia="zh-CN" w:bidi="ar"/>
              </w:rPr>
              <w:t>直流</w:t>
            </w:r>
            <w:r>
              <w:rPr>
                <w:rFonts w:hint="default" w:ascii="Arial" w:hAnsi="Arial" w:eastAsia="宋体" w:cs="Arial"/>
                <w:i w:val="0"/>
                <w:color w:val="000000"/>
                <w:kern w:val="0"/>
                <w:sz w:val="20"/>
                <w:szCs w:val="20"/>
                <w:u w:val="none"/>
                <w:lang w:val="en-US" w:eastAsia="zh-CN" w:bidi="ar"/>
              </w:rPr>
              <w:t>-48V</w:t>
            </w:r>
            <w:r>
              <w:rPr>
                <w:rFonts w:hint="eastAsia" w:ascii="Arial" w:hAnsi="Arial" w:eastAsia="宋体" w:cs="Arial"/>
                <w:i w:val="0"/>
                <w:color w:val="000000"/>
                <w:kern w:val="0"/>
                <w:sz w:val="20"/>
                <w:szCs w:val="20"/>
                <w:u w:val="none"/>
                <w:lang w:val="en-US" w:eastAsia="zh-CN" w:bidi="ar"/>
              </w:rPr>
              <w:t>通信电源成套设备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国网青海省电力公司信息通信公司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国网青海信通公司</w:t>
            </w:r>
            <w:r>
              <w:rPr>
                <w:rFonts w:hint="default" w:ascii="Arial" w:hAnsi="Arial" w:eastAsia="宋体" w:cs="Arial"/>
                <w:i w:val="0"/>
                <w:color w:val="000000"/>
                <w:kern w:val="0"/>
                <w:sz w:val="20"/>
                <w:szCs w:val="20"/>
                <w:u w:val="none"/>
                <w:lang w:val="en-US" w:eastAsia="zh-CN" w:bidi="ar"/>
              </w:rPr>
              <w:t>330kV</w:t>
            </w:r>
            <w:r>
              <w:rPr>
                <w:rFonts w:hint="eastAsia" w:ascii="Arial" w:hAnsi="Arial" w:eastAsia="宋体" w:cs="Arial"/>
                <w:i w:val="0"/>
                <w:color w:val="000000"/>
                <w:kern w:val="0"/>
                <w:sz w:val="20"/>
                <w:szCs w:val="20"/>
                <w:u w:val="none"/>
                <w:lang w:val="en-US" w:eastAsia="zh-CN" w:bidi="ar"/>
              </w:rPr>
              <w:t>康城变电站等</w:t>
            </w:r>
            <w:r>
              <w:rPr>
                <w:rFonts w:hint="default" w:ascii="Arial" w:hAnsi="Arial" w:eastAsia="宋体" w:cs="Arial"/>
                <w:i w:val="0"/>
                <w:color w:val="000000"/>
                <w:kern w:val="0"/>
                <w:sz w:val="20"/>
                <w:szCs w:val="20"/>
                <w:u w:val="none"/>
                <w:lang w:val="en-US" w:eastAsia="zh-CN" w:bidi="ar"/>
              </w:rPr>
              <w:t>10</w:t>
            </w:r>
            <w:r>
              <w:rPr>
                <w:rFonts w:hint="eastAsia" w:ascii="Arial" w:hAnsi="Arial" w:eastAsia="宋体" w:cs="Arial"/>
                <w:i w:val="0"/>
                <w:color w:val="000000"/>
                <w:kern w:val="0"/>
                <w:sz w:val="20"/>
                <w:szCs w:val="20"/>
                <w:u w:val="none"/>
                <w:lang w:val="en-US" w:eastAsia="zh-CN" w:bidi="ar"/>
              </w:rPr>
              <w:t>个站点通信电源设备改造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直流-48V通信电源成套设备,500A,500Ah</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11.83999988</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20</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050037402900020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013</w:t>
            </w:r>
            <w:r>
              <w:rPr>
                <w:rFonts w:hint="eastAsia" w:ascii="Arial" w:hAnsi="Arial" w:eastAsia="宋体" w:cs="Arial"/>
                <w:i w:val="0"/>
                <w:color w:val="000000"/>
                <w:kern w:val="0"/>
                <w:sz w:val="20"/>
                <w:szCs w:val="20"/>
                <w:u w:val="none"/>
                <w:lang w:val="en-US" w:eastAsia="zh-CN" w:bidi="ar"/>
              </w:rPr>
              <w:t>直流</w:t>
            </w:r>
            <w:r>
              <w:rPr>
                <w:rFonts w:hint="default" w:ascii="Arial" w:hAnsi="Arial" w:eastAsia="宋体" w:cs="Arial"/>
                <w:i w:val="0"/>
                <w:color w:val="000000"/>
                <w:kern w:val="0"/>
                <w:sz w:val="20"/>
                <w:szCs w:val="20"/>
                <w:u w:val="none"/>
                <w:lang w:val="en-US" w:eastAsia="zh-CN" w:bidi="ar"/>
              </w:rPr>
              <w:t>-48V</w:t>
            </w:r>
            <w:r>
              <w:rPr>
                <w:rFonts w:hint="eastAsia" w:ascii="Arial" w:hAnsi="Arial" w:eastAsia="宋体" w:cs="Arial"/>
                <w:i w:val="0"/>
                <w:color w:val="000000"/>
                <w:kern w:val="0"/>
                <w:sz w:val="20"/>
                <w:szCs w:val="20"/>
                <w:u w:val="none"/>
                <w:lang w:val="en-US" w:eastAsia="zh-CN" w:bidi="ar"/>
              </w:rPr>
              <w:t>通信电源成套设备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国网青海省电力公司信息通信公司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国网青海信通公司330kV康城变电站等10个站点通信电源设备改造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直流-48V通信电源成套设备,500A,500Ah</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5.91999994</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21</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050037402900030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013</w:t>
            </w:r>
            <w:r>
              <w:rPr>
                <w:rFonts w:hint="eastAsia" w:ascii="Arial" w:hAnsi="Arial" w:eastAsia="宋体" w:cs="Arial"/>
                <w:i w:val="0"/>
                <w:color w:val="000000"/>
                <w:kern w:val="0"/>
                <w:sz w:val="20"/>
                <w:szCs w:val="20"/>
                <w:u w:val="none"/>
                <w:lang w:val="en-US" w:eastAsia="zh-CN" w:bidi="ar"/>
              </w:rPr>
              <w:t>直流</w:t>
            </w:r>
            <w:r>
              <w:rPr>
                <w:rFonts w:hint="default" w:ascii="Arial" w:hAnsi="Arial" w:eastAsia="宋体" w:cs="Arial"/>
                <w:i w:val="0"/>
                <w:color w:val="000000"/>
                <w:kern w:val="0"/>
                <w:sz w:val="20"/>
                <w:szCs w:val="20"/>
                <w:u w:val="none"/>
                <w:lang w:val="en-US" w:eastAsia="zh-CN" w:bidi="ar"/>
              </w:rPr>
              <w:t>-48V</w:t>
            </w:r>
            <w:r>
              <w:rPr>
                <w:rFonts w:hint="eastAsia" w:ascii="Arial" w:hAnsi="Arial" w:eastAsia="宋体" w:cs="Arial"/>
                <w:i w:val="0"/>
                <w:color w:val="000000"/>
                <w:kern w:val="0"/>
                <w:sz w:val="20"/>
                <w:szCs w:val="20"/>
                <w:u w:val="none"/>
                <w:lang w:val="en-US" w:eastAsia="zh-CN" w:bidi="ar"/>
              </w:rPr>
              <w:t>通信电源成套设备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国网青海省电力公司信息通信公司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国网青海信通公司330kV康城变电站等10个站点通信电源设备改造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直流-48V通信电源成套设备,500A,500Ah</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11.83999988</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22</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050037402900040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013</w:t>
            </w:r>
            <w:r>
              <w:rPr>
                <w:rFonts w:hint="eastAsia" w:ascii="Arial" w:hAnsi="Arial" w:eastAsia="宋体" w:cs="Arial"/>
                <w:i w:val="0"/>
                <w:color w:val="000000"/>
                <w:kern w:val="0"/>
                <w:sz w:val="20"/>
                <w:szCs w:val="20"/>
                <w:u w:val="none"/>
                <w:lang w:val="en-US" w:eastAsia="zh-CN" w:bidi="ar"/>
              </w:rPr>
              <w:t>直流</w:t>
            </w:r>
            <w:r>
              <w:rPr>
                <w:rFonts w:hint="default" w:ascii="Arial" w:hAnsi="Arial" w:eastAsia="宋体" w:cs="Arial"/>
                <w:i w:val="0"/>
                <w:color w:val="000000"/>
                <w:kern w:val="0"/>
                <w:sz w:val="20"/>
                <w:szCs w:val="20"/>
                <w:u w:val="none"/>
                <w:lang w:val="en-US" w:eastAsia="zh-CN" w:bidi="ar"/>
              </w:rPr>
              <w:t>-48V</w:t>
            </w:r>
            <w:r>
              <w:rPr>
                <w:rFonts w:hint="eastAsia" w:ascii="Arial" w:hAnsi="Arial" w:eastAsia="宋体" w:cs="Arial"/>
                <w:i w:val="0"/>
                <w:color w:val="000000"/>
                <w:kern w:val="0"/>
                <w:sz w:val="20"/>
                <w:szCs w:val="20"/>
                <w:u w:val="none"/>
                <w:lang w:val="en-US" w:eastAsia="zh-CN" w:bidi="ar"/>
              </w:rPr>
              <w:t>通信电源成套设备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国网青海省电力公司信息通信公司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国网青海信通公司330kV康城变电站等10个站点通信电源设备改造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直流-48V通信电源成套设备,500A,500Ah</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7.83999989</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050037402900050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013</w:t>
            </w:r>
            <w:r>
              <w:rPr>
                <w:rFonts w:hint="eastAsia" w:ascii="Arial" w:hAnsi="Arial" w:eastAsia="宋体" w:cs="Arial"/>
                <w:i w:val="0"/>
                <w:color w:val="000000"/>
                <w:kern w:val="0"/>
                <w:sz w:val="20"/>
                <w:szCs w:val="20"/>
                <w:u w:val="none"/>
                <w:lang w:val="en-US" w:eastAsia="zh-CN" w:bidi="ar"/>
              </w:rPr>
              <w:t>直流</w:t>
            </w:r>
            <w:r>
              <w:rPr>
                <w:rFonts w:hint="default" w:ascii="Arial" w:hAnsi="Arial" w:eastAsia="宋体" w:cs="Arial"/>
                <w:i w:val="0"/>
                <w:color w:val="000000"/>
                <w:kern w:val="0"/>
                <w:sz w:val="20"/>
                <w:szCs w:val="20"/>
                <w:u w:val="none"/>
                <w:lang w:val="en-US" w:eastAsia="zh-CN" w:bidi="ar"/>
              </w:rPr>
              <w:t>-48V</w:t>
            </w:r>
            <w:r>
              <w:rPr>
                <w:rFonts w:hint="eastAsia" w:ascii="Arial" w:hAnsi="Arial" w:eastAsia="宋体" w:cs="Arial"/>
                <w:i w:val="0"/>
                <w:color w:val="000000"/>
                <w:kern w:val="0"/>
                <w:sz w:val="20"/>
                <w:szCs w:val="20"/>
                <w:u w:val="none"/>
                <w:lang w:val="en-US" w:eastAsia="zh-CN" w:bidi="ar"/>
              </w:rPr>
              <w:t>通信电源成套设备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国网青海省电力公司信息通信公司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国网青海信通公司330kV康城变电站等10个站点通信电源设备改造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直流-48V通信电源成套设备,500A,500Ah</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5.91999994</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24</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050037402900060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013</w:t>
            </w:r>
            <w:r>
              <w:rPr>
                <w:rFonts w:hint="eastAsia" w:ascii="Arial" w:hAnsi="Arial" w:eastAsia="宋体" w:cs="Arial"/>
                <w:i w:val="0"/>
                <w:color w:val="000000"/>
                <w:kern w:val="0"/>
                <w:sz w:val="20"/>
                <w:szCs w:val="20"/>
                <w:u w:val="none"/>
                <w:lang w:val="en-US" w:eastAsia="zh-CN" w:bidi="ar"/>
              </w:rPr>
              <w:t>直流</w:t>
            </w:r>
            <w:r>
              <w:rPr>
                <w:rFonts w:hint="default" w:ascii="Arial" w:hAnsi="Arial" w:eastAsia="宋体" w:cs="Arial"/>
                <w:i w:val="0"/>
                <w:color w:val="000000"/>
                <w:kern w:val="0"/>
                <w:sz w:val="20"/>
                <w:szCs w:val="20"/>
                <w:u w:val="none"/>
                <w:lang w:val="en-US" w:eastAsia="zh-CN" w:bidi="ar"/>
              </w:rPr>
              <w:t>-48V</w:t>
            </w:r>
            <w:r>
              <w:rPr>
                <w:rFonts w:hint="eastAsia" w:ascii="Arial" w:hAnsi="Arial" w:eastAsia="宋体" w:cs="Arial"/>
                <w:i w:val="0"/>
                <w:color w:val="000000"/>
                <w:kern w:val="0"/>
                <w:sz w:val="20"/>
                <w:szCs w:val="20"/>
                <w:u w:val="none"/>
                <w:lang w:val="en-US" w:eastAsia="zh-CN" w:bidi="ar"/>
              </w:rPr>
              <w:t>通信电源成套设备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国网青海省电力公司信息通信公司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国网青海信通公司330kV康城变电站等10个站点通信电源设备改造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直流-48V通信电源成套设备,500A,500Ah</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11.83999988</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25</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050037402900070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013</w:t>
            </w:r>
            <w:r>
              <w:rPr>
                <w:rFonts w:hint="eastAsia" w:ascii="Arial" w:hAnsi="Arial" w:eastAsia="宋体" w:cs="Arial"/>
                <w:i w:val="0"/>
                <w:color w:val="000000"/>
                <w:kern w:val="0"/>
                <w:sz w:val="20"/>
                <w:szCs w:val="20"/>
                <w:u w:val="none"/>
                <w:lang w:val="en-US" w:eastAsia="zh-CN" w:bidi="ar"/>
              </w:rPr>
              <w:t>直流</w:t>
            </w:r>
            <w:r>
              <w:rPr>
                <w:rFonts w:hint="default" w:ascii="Arial" w:hAnsi="Arial" w:eastAsia="宋体" w:cs="Arial"/>
                <w:i w:val="0"/>
                <w:color w:val="000000"/>
                <w:kern w:val="0"/>
                <w:sz w:val="20"/>
                <w:szCs w:val="20"/>
                <w:u w:val="none"/>
                <w:lang w:val="en-US" w:eastAsia="zh-CN" w:bidi="ar"/>
              </w:rPr>
              <w:t>-48V</w:t>
            </w:r>
            <w:r>
              <w:rPr>
                <w:rFonts w:hint="eastAsia" w:ascii="Arial" w:hAnsi="Arial" w:eastAsia="宋体" w:cs="Arial"/>
                <w:i w:val="0"/>
                <w:color w:val="000000"/>
                <w:kern w:val="0"/>
                <w:sz w:val="20"/>
                <w:szCs w:val="20"/>
                <w:u w:val="none"/>
                <w:lang w:val="en-US" w:eastAsia="zh-CN" w:bidi="ar"/>
              </w:rPr>
              <w:t>通信电源成套设备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国网青海省电力公司信息通信公司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国网青海信通公司330kV康城变电站等10个站点通信电源设备改造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直流电源系统,DC48V,500A</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3.99999999</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26</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050037402900080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013</w:t>
            </w:r>
            <w:r>
              <w:rPr>
                <w:rFonts w:hint="eastAsia" w:ascii="Arial" w:hAnsi="Arial" w:eastAsia="宋体" w:cs="Arial"/>
                <w:i w:val="0"/>
                <w:color w:val="000000"/>
                <w:kern w:val="0"/>
                <w:sz w:val="20"/>
                <w:szCs w:val="20"/>
                <w:u w:val="none"/>
                <w:lang w:val="en-US" w:eastAsia="zh-CN" w:bidi="ar"/>
              </w:rPr>
              <w:t>直流</w:t>
            </w:r>
            <w:r>
              <w:rPr>
                <w:rFonts w:hint="default" w:ascii="Arial" w:hAnsi="Arial" w:eastAsia="宋体" w:cs="Arial"/>
                <w:i w:val="0"/>
                <w:color w:val="000000"/>
                <w:kern w:val="0"/>
                <w:sz w:val="20"/>
                <w:szCs w:val="20"/>
                <w:u w:val="none"/>
                <w:lang w:val="en-US" w:eastAsia="zh-CN" w:bidi="ar"/>
              </w:rPr>
              <w:t>-48V</w:t>
            </w:r>
            <w:r>
              <w:rPr>
                <w:rFonts w:hint="eastAsia" w:ascii="Arial" w:hAnsi="Arial" w:eastAsia="宋体" w:cs="Arial"/>
                <w:i w:val="0"/>
                <w:color w:val="000000"/>
                <w:kern w:val="0"/>
                <w:sz w:val="20"/>
                <w:szCs w:val="20"/>
                <w:u w:val="none"/>
                <w:lang w:val="en-US" w:eastAsia="zh-CN" w:bidi="ar"/>
              </w:rPr>
              <w:t>通信电源成套设备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国网青海省电力公司信息通信公司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国网青海信通公司330kV康城变电站等10个站点通信电源设备改造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直流-48V通信电源成套设备,500A,500Ah</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4.000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23.67999976</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27</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050037402900090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013</w:t>
            </w:r>
            <w:r>
              <w:rPr>
                <w:rFonts w:hint="eastAsia" w:ascii="Arial" w:hAnsi="Arial" w:eastAsia="宋体" w:cs="Arial"/>
                <w:i w:val="0"/>
                <w:color w:val="000000"/>
                <w:kern w:val="0"/>
                <w:sz w:val="20"/>
                <w:szCs w:val="20"/>
                <w:u w:val="none"/>
                <w:lang w:val="en-US" w:eastAsia="zh-CN" w:bidi="ar"/>
              </w:rPr>
              <w:t>直流</w:t>
            </w:r>
            <w:r>
              <w:rPr>
                <w:rFonts w:hint="default" w:ascii="Arial" w:hAnsi="Arial" w:eastAsia="宋体" w:cs="Arial"/>
                <w:i w:val="0"/>
                <w:color w:val="000000"/>
                <w:kern w:val="0"/>
                <w:sz w:val="20"/>
                <w:szCs w:val="20"/>
                <w:u w:val="none"/>
                <w:lang w:val="en-US" w:eastAsia="zh-CN" w:bidi="ar"/>
              </w:rPr>
              <w:t>-48V</w:t>
            </w:r>
            <w:r>
              <w:rPr>
                <w:rFonts w:hint="eastAsia" w:ascii="Arial" w:hAnsi="Arial" w:eastAsia="宋体" w:cs="Arial"/>
                <w:i w:val="0"/>
                <w:color w:val="000000"/>
                <w:kern w:val="0"/>
                <w:sz w:val="20"/>
                <w:szCs w:val="20"/>
                <w:u w:val="none"/>
                <w:lang w:val="en-US" w:eastAsia="zh-CN" w:bidi="ar"/>
              </w:rPr>
              <w:t>通信电源成套设备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国网青海省电力公司信息通信公司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国网青海信通公司330kV康城变电站等10个站点通信电源设备改造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直流电源系统,DC48V,500A</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3.99999999</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28</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030009823200010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014GIS综合带电检测仪</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国网青海省电力公司培训中心</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国网青海培训中心2022年变电运维一体化培训GIS综合带电检测仪购置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测量控制装置,AC330kV</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66</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29</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030009818900010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015GIS</w:t>
            </w:r>
            <w:r>
              <w:rPr>
                <w:rFonts w:hint="eastAsia" w:ascii="Arial" w:hAnsi="Arial" w:eastAsia="宋体" w:cs="Arial"/>
                <w:i w:val="0"/>
                <w:color w:val="000000"/>
                <w:kern w:val="0"/>
                <w:sz w:val="20"/>
                <w:szCs w:val="20"/>
                <w:u w:val="none"/>
                <w:lang w:val="en-US" w:eastAsia="zh-CN" w:bidi="ar"/>
              </w:rPr>
              <w:t>手持式带电检测仪</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国网青海省电力公司培训中心</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国网青海培训中心2022年变电运维一体化培训GIS手持式带电检测仪购置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测量控制装置,AC330kV</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70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30</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030009844600010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016GIS</w:t>
            </w:r>
            <w:r>
              <w:rPr>
                <w:rFonts w:hint="eastAsia" w:ascii="Arial" w:hAnsi="Arial" w:eastAsia="宋体" w:cs="Arial"/>
                <w:i w:val="0"/>
                <w:color w:val="000000"/>
                <w:kern w:val="0"/>
                <w:sz w:val="20"/>
                <w:szCs w:val="20"/>
                <w:u w:val="none"/>
                <w:lang w:val="en-US" w:eastAsia="zh-CN" w:bidi="ar"/>
              </w:rPr>
              <w:t>带电检测模拟装置</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国网青海省电力公司培训中心</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国网青海培训中心2022年变电运维一体化培训GIS带电检测模拟装置购置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实验台</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165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31</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030009844500010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017</w:t>
            </w:r>
            <w:r>
              <w:rPr>
                <w:rFonts w:hint="eastAsia" w:ascii="Arial" w:hAnsi="Arial" w:eastAsia="宋体" w:cs="Arial"/>
                <w:i w:val="0"/>
                <w:color w:val="000000"/>
                <w:kern w:val="0"/>
                <w:sz w:val="20"/>
                <w:szCs w:val="20"/>
                <w:u w:val="none"/>
                <w:lang w:val="en-US" w:eastAsia="zh-CN" w:bidi="ar"/>
              </w:rPr>
              <w:t>红外精确测温模拟装置</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国网青海省电力公司培训中心</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国网青海培训中心2022年变电运维一体化培训红外精确测温模拟装置购置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实验台</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4.000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120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32</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050037654700010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019</w:t>
            </w:r>
            <w:r>
              <w:rPr>
                <w:rFonts w:hint="eastAsia" w:ascii="Arial" w:hAnsi="Arial" w:eastAsia="宋体" w:cs="Arial"/>
                <w:i w:val="0"/>
                <w:color w:val="000000"/>
                <w:kern w:val="0"/>
                <w:sz w:val="20"/>
                <w:szCs w:val="20"/>
                <w:u w:val="none"/>
                <w:lang w:val="en-US" w:eastAsia="zh-CN" w:bidi="ar"/>
              </w:rPr>
              <w:t>远动终端设备（</w:t>
            </w:r>
            <w:r>
              <w:rPr>
                <w:rFonts w:hint="default" w:ascii="Arial" w:hAnsi="Arial" w:eastAsia="宋体" w:cs="Arial"/>
                <w:i w:val="0"/>
                <w:color w:val="000000"/>
                <w:kern w:val="0"/>
                <w:sz w:val="20"/>
                <w:szCs w:val="20"/>
                <w:u w:val="none"/>
                <w:lang w:val="en-US" w:eastAsia="zh-CN" w:bidi="ar"/>
              </w:rPr>
              <w:t>RTU</w:t>
            </w:r>
            <w:r>
              <w:rPr>
                <w:rFonts w:hint="eastAsia" w:ascii="Arial" w:hAnsi="Arial" w:eastAsia="宋体" w:cs="Arial"/>
                <w:i w:val="0"/>
                <w:color w:val="000000"/>
                <w:kern w:val="0"/>
                <w:sz w:val="20"/>
                <w:szCs w:val="20"/>
                <w:u w:val="none"/>
                <w:lang w:val="en-US" w:eastAsia="zh-CN" w:bidi="ar"/>
              </w:rPr>
              <w:t>）</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国网青海省西宁供电公司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国网青海西宁供电公司11座35kV变电站远动信息接入升级</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远动终端设备（RTU）,AC35kV</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124.3</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050037657100010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019</w:t>
            </w:r>
            <w:r>
              <w:rPr>
                <w:rFonts w:hint="eastAsia" w:ascii="Arial" w:hAnsi="Arial" w:eastAsia="宋体" w:cs="Arial"/>
                <w:i w:val="0"/>
                <w:color w:val="000000"/>
                <w:kern w:val="0"/>
                <w:sz w:val="20"/>
                <w:szCs w:val="20"/>
                <w:u w:val="none"/>
                <w:lang w:val="en-US" w:eastAsia="zh-CN" w:bidi="ar"/>
              </w:rPr>
              <w:t>远动终端设备（</w:t>
            </w:r>
            <w:r>
              <w:rPr>
                <w:rFonts w:hint="default" w:ascii="Arial" w:hAnsi="Arial" w:eastAsia="宋体" w:cs="Arial"/>
                <w:i w:val="0"/>
                <w:color w:val="000000"/>
                <w:kern w:val="0"/>
                <w:sz w:val="20"/>
                <w:szCs w:val="20"/>
                <w:u w:val="none"/>
                <w:lang w:val="en-US" w:eastAsia="zh-CN" w:bidi="ar"/>
              </w:rPr>
              <w:t>RTU</w:t>
            </w:r>
            <w:r>
              <w:rPr>
                <w:rFonts w:hint="eastAsia" w:ascii="Arial" w:hAnsi="Arial" w:eastAsia="宋体" w:cs="Arial"/>
                <w:i w:val="0"/>
                <w:color w:val="000000"/>
                <w:kern w:val="0"/>
                <w:sz w:val="20"/>
                <w:szCs w:val="20"/>
                <w:u w:val="none"/>
                <w:lang w:val="en-US" w:eastAsia="zh-CN" w:bidi="ar"/>
              </w:rPr>
              <w:t>）</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国网青海省西宁供电公司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国网青海西宁供电公司</w:t>
            </w:r>
            <w:r>
              <w:rPr>
                <w:rFonts w:hint="default" w:ascii="Arial" w:hAnsi="Arial" w:eastAsia="宋体" w:cs="Arial"/>
                <w:i w:val="0"/>
                <w:color w:val="000000"/>
                <w:kern w:val="0"/>
                <w:sz w:val="20"/>
                <w:szCs w:val="20"/>
                <w:u w:val="none"/>
                <w:lang w:val="en-US" w:eastAsia="zh-CN" w:bidi="ar"/>
              </w:rPr>
              <w:t>18</w:t>
            </w:r>
            <w:r>
              <w:rPr>
                <w:rFonts w:hint="eastAsia" w:ascii="Arial" w:hAnsi="Arial" w:eastAsia="宋体" w:cs="Arial"/>
                <w:i w:val="0"/>
                <w:color w:val="000000"/>
                <w:kern w:val="0"/>
                <w:sz w:val="20"/>
                <w:szCs w:val="20"/>
                <w:u w:val="none"/>
                <w:lang w:val="en-US" w:eastAsia="zh-CN" w:bidi="ar"/>
              </w:rPr>
              <w:t>座</w:t>
            </w:r>
            <w:r>
              <w:rPr>
                <w:rFonts w:hint="default" w:ascii="Arial" w:hAnsi="Arial" w:eastAsia="宋体" w:cs="Arial"/>
                <w:i w:val="0"/>
                <w:color w:val="000000"/>
                <w:kern w:val="0"/>
                <w:sz w:val="20"/>
                <w:szCs w:val="20"/>
                <w:u w:val="none"/>
                <w:lang w:val="en-US" w:eastAsia="zh-CN" w:bidi="ar"/>
              </w:rPr>
              <w:t>110kV</w:t>
            </w:r>
            <w:r>
              <w:rPr>
                <w:rFonts w:hint="eastAsia" w:ascii="Arial" w:hAnsi="Arial" w:eastAsia="宋体" w:cs="Arial"/>
                <w:i w:val="0"/>
                <w:color w:val="000000"/>
                <w:kern w:val="0"/>
                <w:sz w:val="20"/>
                <w:szCs w:val="20"/>
                <w:u w:val="none"/>
                <w:lang w:val="en-US" w:eastAsia="zh-CN" w:bidi="ar"/>
              </w:rPr>
              <w:t>变电站远动信息接入升级</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远动终端设备（RTU）,AC110kV</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203.4</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34</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050036700800010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020</w:t>
            </w:r>
            <w:r>
              <w:rPr>
                <w:rFonts w:hint="eastAsia" w:ascii="Arial" w:hAnsi="Arial" w:eastAsia="宋体" w:cs="Arial"/>
                <w:i w:val="0"/>
                <w:color w:val="000000"/>
                <w:kern w:val="0"/>
                <w:sz w:val="20"/>
                <w:szCs w:val="20"/>
                <w:u w:val="none"/>
                <w:lang w:val="en-US" w:eastAsia="zh-CN" w:bidi="ar"/>
              </w:rPr>
              <w:t>数据网网络管理系统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国网青海省海西供电公司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国网青海海西供电公司配电自动化主站安全接入区建设</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数据网网络管理系统,硬件</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143.44</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35</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050037511300010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021</w:t>
            </w:r>
            <w:r>
              <w:rPr>
                <w:rFonts w:hint="eastAsia" w:ascii="Arial" w:hAnsi="Arial" w:eastAsia="宋体" w:cs="Arial"/>
                <w:i w:val="0"/>
                <w:color w:val="000000"/>
                <w:kern w:val="0"/>
                <w:sz w:val="20"/>
                <w:szCs w:val="20"/>
                <w:u w:val="none"/>
                <w:lang w:val="en-US" w:eastAsia="zh-CN" w:bidi="ar"/>
              </w:rPr>
              <w:t>变电站培训仿真系统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国网青海省海东供电公司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自动化实训室调度数据网培训系统改造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变电站培训仿真系统,AC330kV</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166.09</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36</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050037514800010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021</w:t>
            </w:r>
            <w:r>
              <w:rPr>
                <w:rFonts w:hint="eastAsia" w:ascii="Arial" w:hAnsi="Arial" w:eastAsia="宋体" w:cs="Arial"/>
                <w:i w:val="0"/>
                <w:color w:val="000000"/>
                <w:kern w:val="0"/>
                <w:sz w:val="20"/>
                <w:szCs w:val="20"/>
                <w:u w:val="none"/>
                <w:lang w:val="en-US" w:eastAsia="zh-CN" w:bidi="ar"/>
              </w:rPr>
              <w:t>变电站培训仿真系统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包2</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国网青海省海东供电公司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自动化实训室电力监控系统网络安全实训平台改造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变电站培训仿真系统,AC330kV</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222.49</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37</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030009886400010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022</w:t>
            </w:r>
            <w:r>
              <w:rPr>
                <w:rFonts w:hint="eastAsia" w:ascii="Arial" w:hAnsi="Arial" w:eastAsia="宋体" w:cs="Arial"/>
                <w:i w:val="0"/>
                <w:color w:val="000000"/>
                <w:kern w:val="0"/>
                <w:sz w:val="20"/>
                <w:szCs w:val="20"/>
                <w:u w:val="none"/>
                <w:lang w:val="en-US" w:eastAsia="zh-CN" w:bidi="ar"/>
              </w:rPr>
              <w:t>能量管理系统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国网青海省电力公司电力经济技术研究院</w:t>
            </w:r>
            <w:r>
              <w:rPr>
                <w:rFonts w:hint="eastAsia" w:ascii="Arial" w:hAnsi="Arial" w:eastAsia="宋体" w:cs="Arial"/>
                <w:i w:val="0"/>
                <w:color w:val="000000"/>
                <w:kern w:val="0"/>
                <w:sz w:val="20"/>
                <w:szCs w:val="20"/>
                <w:u w:val="none"/>
                <w:lang w:val="en-US" w:eastAsia="zh-CN" w:bidi="ar"/>
              </w:rPr>
              <w:t xml:space="preserve"> </w:t>
            </w:r>
            <w:r>
              <w:rPr>
                <w:rFonts w:hint="default" w:ascii="Arial" w:hAnsi="Arial" w:eastAsia="宋体" w:cs="Arial"/>
                <w:i w:val="0"/>
                <w:color w:val="000000"/>
                <w:kern w:val="0"/>
                <w:sz w:val="20"/>
                <w:szCs w:val="20"/>
                <w:u w:val="none"/>
                <w:lang w:val="en-US" w:eastAsia="zh-CN" w:bidi="ar"/>
              </w:rPr>
              <w:t>1</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青海省光伏发电并网技术重点实验室实验条件建设项目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能量管理系统,县调</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140.3429</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38</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050036754200010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023</w:t>
            </w:r>
            <w:r>
              <w:rPr>
                <w:rFonts w:hint="eastAsia" w:ascii="Arial" w:hAnsi="Arial" w:eastAsia="宋体" w:cs="Arial"/>
                <w:i w:val="0"/>
                <w:color w:val="000000"/>
                <w:kern w:val="0"/>
                <w:sz w:val="20"/>
                <w:szCs w:val="20"/>
                <w:u w:val="none"/>
                <w:lang w:val="en-US" w:eastAsia="zh-CN" w:bidi="ar"/>
              </w:rPr>
              <w:t>集控站监控系统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国网青海省西宁供电公司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国网青海西宁供电公司集控站差异化改造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集控站监控系统,AC110kV</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460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39</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050037579600010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024</w:t>
            </w:r>
            <w:r>
              <w:rPr>
                <w:rFonts w:hint="eastAsia" w:ascii="Arial" w:hAnsi="Arial" w:eastAsia="宋体" w:cs="Arial"/>
                <w:i w:val="0"/>
                <w:color w:val="000000"/>
                <w:kern w:val="0"/>
                <w:sz w:val="20"/>
                <w:szCs w:val="20"/>
                <w:u w:val="none"/>
                <w:lang w:val="en-US" w:eastAsia="zh-CN" w:bidi="ar"/>
              </w:rPr>
              <w:t>智能变电站辅助系统综合监控平台</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国网青海省海西供电公司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青海海西冷湖</w:t>
            </w:r>
            <w:r>
              <w:rPr>
                <w:rFonts w:hint="default" w:ascii="Arial" w:hAnsi="Arial" w:eastAsia="宋体" w:cs="Arial"/>
                <w:i w:val="0"/>
                <w:color w:val="000000"/>
                <w:kern w:val="0"/>
                <w:sz w:val="20"/>
                <w:szCs w:val="20"/>
                <w:u w:val="none"/>
                <w:lang w:val="en-US" w:eastAsia="zh-CN" w:bidi="ar"/>
              </w:rPr>
              <w:t>110kV</w:t>
            </w:r>
            <w:r>
              <w:rPr>
                <w:rFonts w:hint="eastAsia" w:ascii="Arial" w:hAnsi="Arial" w:eastAsia="宋体" w:cs="Arial"/>
                <w:i w:val="0"/>
                <w:color w:val="000000"/>
                <w:kern w:val="0"/>
                <w:sz w:val="20"/>
                <w:szCs w:val="20"/>
                <w:u w:val="none"/>
                <w:lang w:val="en-US" w:eastAsia="zh-CN" w:bidi="ar"/>
              </w:rPr>
              <w:t>变电站</w:t>
            </w:r>
            <w:r>
              <w:rPr>
                <w:rFonts w:hint="default" w:ascii="Arial" w:hAnsi="Arial" w:eastAsia="宋体" w:cs="Arial"/>
                <w:i w:val="0"/>
                <w:color w:val="000000"/>
                <w:kern w:val="0"/>
                <w:sz w:val="20"/>
                <w:szCs w:val="20"/>
                <w:u w:val="none"/>
                <w:lang w:val="en-US" w:eastAsia="zh-CN" w:bidi="ar"/>
              </w:rPr>
              <w:t>2</w:t>
            </w:r>
            <w:r>
              <w:rPr>
                <w:rFonts w:hint="eastAsia" w:ascii="Arial" w:hAnsi="Arial" w:eastAsia="宋体" w:cs="Arial"/>
                <w:i w:val="0"/>
                <w:color w:val="000000"/>
                <w:kern w:val="0"/>
                <w:sz w:val="20"/>
                <w:szCs w:val="20"/>
                <w:u w:val="none"/>
                <w:lang w:val="en-US" w:eastAsia="zh-CN" w:bidi="ar"/>
              </w:rPr>
              <w:t>号主变扩建工程</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智能变电站辅助系统综合监控平台</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23</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40</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050037637800010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024</w:t>
            </w:r>
            <w:r>
              <w:rPr>
                <w:rFonts w:hint="eastAsia" w:ascii="Arial" w:hAnsi="Arial" w:eastAsia="宋体" w:cs="Arial"/>
                <w:i w:val="0"/>
                <w:color w:val="000000"/>
                <w:kern w:val="0"/>
                <w:sz w:val="20"/>
                <w:szCs w:val="20"/>
                <w:u w:val="none"/>
                <w:lang w:val="en-US" w:eastAsia="zh-CN" w:bidi="ar"/>
              </w:rPr>
              <w:t>智能变电站辅助系统综合监控平台</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国网青海省海西供电公司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青海海西纳赤台35千伏供电工程</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智能变电站辅助系统综合监控平台</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41</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050037690600010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024</w:t>
            </w:r>
            <w:r>
              <w:rPr>
                <w:rFonts w:hint="eastAsia" w:ascii="Arial" w:hAnsi="Arial" w:eastAsia="宋体" w:cs="Arial"/>
                <w:i w:val="0"/>
                <w:color w:val="000000"/>
                <w:kern w:val="0"/>
                <w:sz w:val="20"/>
                <w:szCs w:val="20"/>
                <w:u w:val="none"/>
                <w:lang w:val="en-US" w:eastAsia="zh-CN" w:bidi="ar"/>
              </w:rPr>
              <w:t>智能变电站辅助系统综合监控平台</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国网青海省西宁供电公司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国网青海西宁供电公司35kV水草滩变电站二次设备改造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智能变电站辅助系统综合监控平台</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2.1</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42</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050037577400020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025</w:t>
            </w:r>
            <w:r>
              <w:rPr>
                <w:rFonts w:hint="eastAsia" w:ascii="Arial" w:hAnsi="Arial" w:eastAsia="宋体" w:cs="Arial"/>
                <w:i w:val="0"/>
                <w:color w:val="000000"/>
                <w:kern w:val="0"/>
                <w:sz w:val="20"/>
                <w:szCs w:val="20"/>
                <w:u w:val="none"/>
                <w:lang w:val="en-US" w:eastAsia="zh-CN" w:bidi="ar"/>
              </w:rPr>
              <w:t>智能终端</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国网青海省海西供电公司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青海海西冷湖110kV变电站2号主变扩建工程</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智能终端,变压器本体</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18.55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43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050037579400010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025</w:t>
            </w:r>
            <w:r>
              <w:rPr>
                <w:rFonts w:hint="eastAsia" w:ascii="Arial" w:hAnsi="Arial" w:eastAsia="宋体" w:cs="Arial"/>
                <w:i w:val="0"/>
                <w:color w:val="000000"/>
                <w:kern w:val="0"/>
                <w:sz w:val="20"/>
                <w:szCs w:val="20"/>
                <w:u w:val="none"/>
                <w:lang w:val="en-US" w:eastAsia="zh-CN" w:bidi="ar"/>
              </w:rPr>
              <w:t>智能终端</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国网青海省海西供电公司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青海海西冷湖110kV变电站2号主变扩建工程</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智能终端合并单元一体化装置,AC110kV</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44</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050037577200010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027</w:t>
            </w:r>
            <w:r>
              <w:rPr>
                <w:rFonts w:hint="eastAsia" w:ascii="Arial" w:hAnsi="Arial" w:eastAsia="宋体" w:cs="Arial"/>
                <w:i w:val="0"/>
                <w:color w:val="000000"/>
                <w:kern w:val="0"/>
                <w:sz w:val="20"/>
                <w:szCs w:val="20"/>
                <w:u w:val="none"/>
                <w:lang w:val="en-US" w:eastAsia="zh-CN" w:bidi="ar"/>
              </w:rPr>
              <w:t>低压屏（柜）等</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国网青海省海西供电公司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青海海西冷湖</w:t>
            </w:r>
            <w:r>
              <w:rPr>
                <w:rFonts w:hint="default" w:ascii="Arial" w:hAnsi="Arial" w:eastAsia="宋体" w:cs="Arial"/>
                <w:i w:val="0"/>
                <w:color w:val="000000"/>
                <w:kern w:val="0"/>
                <w:sz w:val="20"/>
                <w:szCs w:val="20"/>
                <w:u w:val="none"/>
                <w:lang w:val="en-US" w:eastAsia="zh-CN" w:bidi="ar"/>
              </w:rPr>
              <w:t>110kV</w:t>
            </w:r>
            <w:r>
              <w:rPr>
                <w:rFonts w:hint="eastAsia" w:ascii="Arial" w:hAnsi="Arial" w:eastAsia="宋体" w:cs="Arial"/>
                <w:i w:val="0"/>
                <w:color w:val="000000"/>
                <w:kern w:val="0"/>
                <w:sz w:val="20"/>
                <w:szCs w:val="20"/>
                <w:u w:val="none"/>
                <w:lang w:val="en-US" w:eastAsia="zh-CN" w:bidi="ar"/>
              </w:rPr>
              <w:t>变电站</w:t>
            </w:r>
            <w:r>
              <w:rPr>
                <w:rFonts w:hint="default" w:ascii="Arial" w:hAnsi="Arial" w:eastAsia="宋体" w:cs="Arial"/>
                <w:i w:val="0"/>
                <w:color w:val="000000"/>
                <w:kern w:val="0"/>
                <w:sz w:val="20"/>
                <w:szCs w:val="20"/>
                <w:u w:val="none"/>
                <w:lang w:val="en-US" w:eastAsia="zh-CN" w:bidi="ar"/>
              </w:rPr>
              <w:t>2</w:t>
            </w:r>
            <w:r>
              <w:rPr>
                <w:rFonts w:hint="eastAsia" w:ascii="Arial" w:hAnsi="Arial" w:eastAsia="宋体" w:cs="Arial"/>
                <w:i w:val="0"/>
                <w:color w:val="000000"/>
                <w:kern w:val="0"/>
                <w:sz w:val="20"/>
                <w:szCs w:val="20"/>
                <w:u w:val="none"/>
                <w:lang w:val="en-US" w:eastAsia="zh-CN" w:bidi="ar"/>
              </w:rPr>
              <w:t>号主变扩建工程</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空屏柜</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面</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45</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050037577300010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027</w:t>
            </w:r>
            <w:r>
              <w:rPr>
                <w:rFonts w:hint="eastAsia" w:ascii="Arial" w:hAnsi="Arial" w:eastAsia="宋体" w:cs="Arial"/>
                <w:i w:val="0"/>
                <w:color w:val="000000"/>
                <w:kern w:val="0"/>
                <w:sz w:val="20"/>
                <w:szCs w:val="20"/>
                <w:u w:val="none"/>
                <w:lang w:val="en-US" w:eastAsia="zh-CN" w:bidi="ar"/>
              </w:rPr>
              <w:t>低压屏（柜）等</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国网青海省海西供电公司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青海海西冷湖110kV变电站2号主变扩建工程</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交流穿墙套管,AC20kV,瓷,3150A,无CT,铜</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0.8263</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46</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050037516100010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028</w:t>
            </w:r>
            <w:r>
              <w:rPr>
                <w:rFonts w:hint="eastAsia" w:ascii="Arial" w:hAnsi="Arial" w:eastAsia="宋体" w:cs="Arial"/>
                <w:i w:val="0"/>
                <w:color w:val="000000"/>
                <w:kern w:val="0"/>
                <w:sz w:val="20"/>
                <w:szCs w:val="20"/>
                <w:u w:val="none"/>
                <w:lang w:val="en-US" w:eastAsia="zh-CN" w:bidi="ar"/>
              </w:rPr>
              <w:t>输电线路仿真培训系统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国网青海省海东供电公司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运检楼配网不停电作业模拟实操VR实训室改造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输电线路仿真培训系统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67.99000046</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47</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050036736000010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029</w:t>
            </w:r>
            <w:r>
              <w:rPr>
                <w:rFonts w:hint="eastAsia" w:ascii="Arial" w:hAnsi="Arial" w:eastAsia="宋体" w:cs="Arial"/>
                <w:i w:val="0"/>
                <w:color w:val="000000"/>
                <w:kern w:val="0"/>
                <w:sz w:val="20"/>
                <w:szCs w:val="20"/>
                <w:u w:val="none"/>
                <w:lang w:val="en-US" w:eastAsia="zh-CN" w:bidi="ar"/>
              </w:rPr>
              <w:t>数据复制软件</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国网青海省电力公司物资供应公司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国网青海信通公司-非结构化数据迁移-软硬件购置及实施项目-资本性</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数据复制软件</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48</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050037402700010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030</w:t>
            </w:r>
            <w:r>
              <w:rPr>
                <w:rFonts w:hint="eastAsia" w:ascii="Arial" w:hAnsi="Arial" w:eastAsia="宋体" w:cs="Arial"/>
                <w:i w:val="0"/>
                <w:color w:val="000000"/>
                <w:kern w:val="0"/>
                <w:sz w:val="20"/>
                <w:szCs w:val="20"/>
                <w:u w:val="none"/>
                <w:lang w:val="en-US" w:eastAsia="zh-CN" w:bidi="ar"/>
              </w:rPr>
              <w:t>数据挖掘软件</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国网青海省电力公司信息通信公司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青海省级新一代调度技术支持系统试点工程</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数据挖掘软件</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66</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49</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050037573800010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031</w:t>
            </w:r>
            <w:r>
              <w:rPr>
                <w:rFonts w:hint="eastAsia" w:ascii="Arial" w:hAnsi="Arial" w:eastAsia="宋体" w:cs="Arial"/>
                <w:i w:val="0"/>
                <w:color w:val="000000"/>
                <w:kern w:val="0"/>
                <w:sz w:val="20"/>
                <w:szCs w:val="20"/>
                <w:u w:val="none"/>
                <w:lang w:val="en-US" w:eastAsia="zh-CN" w:bidi="ar"/>
              </w:rPr>
              <w:t>监控系统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国网青海省海东供电公司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平安基地配网不停电辅助实训室改造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环境监控系统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38.18000043</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50</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050037405000010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033</w:t>
            </w:r>
            <w:r>
              <w:rPr>
                <w:rFonts w:hint="eastAsia" w:ascii="Arial" w:hAnsi="Arial" w:eastAsia="宋体" w:cs="Arial"/>
                <w:i w:val="0"/>
                <w:color w:val="000000"/>
                <w:kern w:val="0"/>
                <w:sz w:val="20"/>
                <w:szCs w:val="20"/>
                <w:u w:val="none"/>
                <w:lang w:val="en-US" w:eastAsia="zh-CN" w:bidi="ar"/>
              </w:rPr>
              <w:t>同步时钟设备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包</w:t>
            </w:r>
            <w:r>
              <w:rPr>
                <w:rFonts w:hint="default" w:ascii="Arial" w:hAnsi="Arial" w:eastAsia="宋体" w:cs="Arial"/>
                <w:i w:val="0"/>
                <w:color w:val="000000"/>
                <w:kern w:val="0"/>
                <w:sz w:val="20"/>
                <w:szCs w:val="20"/>
                <w:u w:val="none"/>
                <w:lang w:val="en-US" w:eastAsia="zh-CN" w:bidi="ar"/>
              </w:rPr>
              <w:t>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国网青海省电力公司信息通信公司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青海省级新一代调度技术支持系统试点工程</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同步时钟设备</w:t>
            </w:r>
            <w:r>
              <w:rPr>
                <w:rFonts w:hint="default" w:ascii="Arial" w:hAnsi="Arial" w:eastAsia="宋体" w:cs="Arial"/>
                <w:i w:val="0"/>
                <w:color w:val="000000"/>
                <w:kern w:val="0"/>
                <w:sz w:val="20"/>
                <w:szCs w:val="20"/>
                <w:u w:val="none"/>
                <w:lang w:val="en-US" w:eastAsia="zh-CN" w:bidi="ar"/>
              </w:rPr>
              <w:t>,</w:t>
            </w:r>
            <w:r>
              <w:rPr>
                <w:rFonts w:hint="eastAsia" w:ascii="Arial" w:hAnsi="Arial" w:eastAsia="宋体" w:cs="Arial"/>
                <w:i w:val="0"/>
                <w:color w:val="000000"/>
                <w:kern w:val="0"/>
                <w:sz w:val="20"/>
                <w:szCs w:val="20"/>
                <w:u w:val="none"/>
                <w:lang w:val="en-US" w:eastAsia="zh-CN" w:bidi="ar"/>
              </w:rPr>
              <w:t>全网基准钟</w:t>
            </w:r>
            <w:r>
              <w:rPr>
                <w:rFonts w:hint="default" w:ascii="Arial" w:hAnsi="Arial" w:eastAsia="宋体" w:cs="Arial"/>
                <w:i w:val="0"/>
                <w:color w:val="000000"/>
                <w:kern w:val="0"/>
                <w:sz w:val="20"/>
                <w:szCs w:val="20"/>
                <w:u w:val="none"/>
                <w:lang w:val="en-US" w:eastAsia="zh-CN" w:bidi="ar"/>
              </w:rPr>
              <w:t>,</w:t>
            </w:r>
            <w:r>
              <w:rPr>
                <w:rFonts w:hint="eastAsia" w:ascii="Arial" w:hAnsi="Arial" w:eastAsia="宋体" w:cs="Arial"/>
                <w:i w:val="0"/>
                <w:color w:val="000000"/>
                <w:kern w:val="0"/>
                <w:sz w:val="20"/>
                <w:szCs w:val="20"/>
                <w:u w:val="none"/>
                <w:lang w:val="en-US" w:eastAsia="zh-CN" w:bidi="ar"/>
              </w:rPr>
              <w:t>三级节点时钟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51</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050037579700010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035</w:t>
            </w:r>
            <w:r>
              <w:rPr>
                <w:rFonts w:hint="eastAsia" w:ascii="Arial" w:hAnsi="Arial" w:eastAsia="宋体" w:cs="Arial"/>
                <w:i w:val="0"/>
                <w:color w:val="000000"/>
                <w:kern w:val="0"/>
                <w:sz w:val="20"/>
                <w:szCs w:val="20"/>
                <w:u w:val="none"/>
                <w:lang w:val="en-US" w:eastAsia="zh-CN" w:bidi="ar"/>
              </w:rPr>
              <w:t>光缆</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国网青海省海西供电公司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青海海西冷湖</w:t>
            </w:r>
            <w:r>
              <w:rPr>
                <w:rFonts w:hint="default" w:ascii="Arial" w:hAnsi="Arial" w:eastAsia="宋体" w:cs="Arial"/>
                <w:i w:val="0"/>
                <w:color w:val="000000"/>
                <w:kern w:val="0"/>
                <w:sz w:val="20"/>
                <w:szCs w:val="20"/>
                <w:u w:val="none"/>
                <w:lang w:val="en-US" w:eastAsia="zh-CN" w:bidi="ar"/>
              </w:rPr>
              <w:t>110kV</w:t>
            </w:r>
            <w:r>
              <w:rPr>
                <w:rFonts w:hint="eastAsia" w:ascii="Arial" w:hAnsi="Arial" w:eastAsia="宋体" w:cs="Arial"/>
                <w:i w:val="0"/>
                <w:color w:val="000000"/>
                <w:kern w:val="0"/>
                <w:sz w:val="20"/>
                <w:szCs w:val="20"/>
                <w:u w:val="none"/>
                <w:lang w:val="en-US" w:eastAsia="zh-CN" w:bidi="ar"/>
              </w:rPr>
              <w:t>变电站</w:t>
            </w:r>
            <w:r>
              <w:rPr>
                <w:rFonts w:hint="default" w:ascii="Arial" w:hAnsi="Arial" w:eastAsia="宋体" w:cs="Arial"/>
                <w:i w:val="0"/>
                <w:color w:val="000000"/>
                <w:kern w:val="0"/>
                <w:sz w:val="20"/>
                <w:szCs w:val="20"/>
                <w:u w:val="none"/>
                <w:lang w:val="en-US" w:eastAsia="zh-CN" w:bidi="ar"/>
              </w:rPr>
              <w:t>2</w:t>
            </w:r>
            <w:r>
              <w:rPr>
                <w:rFonts w:hint="eastAsia" w:ascii="Arial" w:hAnsi="Arial" w:eastAsia="宋体" w:cs="Arial"/>
                <w:i w:val="0"/>
                <w:color w:val="000000"/>
                <w:kern w:val="0"/>
                <w:sz w:val="20"/>
                <w:szCs w:val="20"/>
                <w:u w:val="none"/>
                <w:lang w:val="en-US" w:eastAsia="zh-CN" w:bidi="ar"/>
              </w:rPr>
              <w:t>号主变扩建工程</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普通光缆,24芯,G.652,非金属阻燃光缆</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千米</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52</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050037424900030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036</w:t>
            </w:r>
            <w:r>
              <w:rPr>
                <w:rFonts w:hint="eastAsia" w:ascii="Arial" w:hAnsi="Arial" w:eastAsia="宋体" w:cs="Arial"/>
                <w:i w:val="0"/>
                <w:color w:val="000000"/>
                <w:kern w:val="0"/>
                <w:sz w:val="20"/>
                <w:szCs w:val="20"/>
                <w:u w:val="none"/>
                <w:lang w:val="en-US" w:eastAsia="zh-CN" w:bidi="ar"/>
              </w:rPr>
              <w:t>交流盘形悬式瓷复合绝缘子</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国网青海省电力公司检修公司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国网青海检修公司330kV柴拓线#89-#90等2处三跨隐患治理</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交流盘形悬式瓷复合绝缘子,FU160BP/155T,360,635</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片</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955.000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30.56</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53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030009596700010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037</w:t>
            </w:r>
            <w:r>
              <w:rPr>
                <w:rFonts w:hint="eastAsia" w:ascii="Arial" w:hAnsi="Arial" w:eastAsia="宋体" w:cs="Arial"/>
                <w:i w:val="0"/>
                <w:color w:val="000000"/>
                <w:kern w:val="0"/>
                <w:sz w:val="20"/>
                <w:szCs w:val="20"/>
                <w:u w:val="none"/>
                <w:lang w:val="en-US" w:eastAsia="zh-CN" w:bidi="ar"/>
              </w:rPr>
              <w:t>电力专用作业车（无人机）</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国网青海省电力公司检修公司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国网青海检修公司2022年无人机指挥车购置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电力专用作业车,载货柴油汽车,通用,指挥车</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辆</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360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54</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030009823300010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038</w:t>
            </w:r>
            <w:r>
              <w:rPr>
                <w:rFonts w:hint="eastAsia" w:ascii="Arial" w:hAnsi="Arial" w:eastAsia="宋体" w:cs="Arial"/>
                <w:i w:val="0"/>
                <w:color w:val="000000"/>
                <w:kern w:val="0"/>
                <w:sz w:val="20"/>
                <w:szCs w:val="20"/>
                <w:u w:val="none"/>
                <w:lang w:val="en-US" w:eastAsia="zh-CN" w:bidi="ar"/>
              </w:rPr>
              <w:t>普通客车</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国网青海省海西供电公司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国网青海海西供电公司本部2022年青H56506生产用车报废更新</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普通客车,中型(车长&lt;6m,9人&lt;乘坐人数&lt;20人)</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辆</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报价不含</w:t>
            </w:r>
          </w:p>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购置税</w:t>
            </w: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55</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030009823400010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038</w:t>
            </w:r>
            <w:r>
              <w:rPr>
                <w:rFonts w:hint="eastAsia" w:ascii="Arial" w:hAnsi="Arial" w:eastAsia="宋体" w:cs="Arial"/>
                <w:i w:val="0"/>
                <w:color w:val="000000"/>
                <w:kern w:val="0"/>
                <w:sz w:val="20"/>
                <w:szCs w:val="20"/>
                <w:u w:val="none"/>
                <w:lang w:val="en-US" w:eastAsia="zh-CN" w:bidi="ar"/>
              </w:rPr>
              <w:t>普通客车</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国网青海省电力公司检修公司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国网青海检修公司格尔木运维分部</w:t>
            </w:r>
            <w:r>
              <w:rPr>
                <w:rFonts w:hint="default" w:ascii="Arial" w:hAnsi="Arial" w:eastAsia="宋体" w:cs="Arial"/>
                <w:i w:val="0"/>
                <w:color w:val="000000"/>
                <w:kern w:val="0"/>
                <w:sz w:val="20"/>
                <w:szCs w:val="20"/>
                <w:u w:val="none"/>
                <w:lang w:val="en-US" w:eastAsia="zh-CN" w:bidi="ar"/>
              </w:rPr>
              <w:t>2022</w:t>
            </w:r>
            <w:r>
              <w:rPr>
                <w:rFonts w:hint="eastAsia" w:ascii="Arial" w:hAnsi="Arial" w:eastAsia="宋体" w:cs="Arial"/>
                <w:i w:val="0"/>
                <w:color w:val="000000"/>
                <w:kern w:val="0"/>
                <w:sz w:val="20"/>
                <w:szCs w:val="20"/>
                <w:u w:val="none"/>
                <w:lang w:val="en-US" w:eastAsia="zh-CN" w:bidi="ar"/>
              </w:rPr>
              <w:t>年青</w:t>
            </w:r>
            <w:r>
              <w:rPr>
                <w:rFonts w:hint="default" w:ascii="Arial" w:hAnsi="Arial" w:eastAsia="宋体" w:cs="Arial"/>
                <w:i w:val="0"/>
                <w:color w:val="000000"/>
                <w:kern w:val="0"/>
                <w:sz w:val="20"/>
                <w:szCs w:val="20"/>
                <w:u w:val="none"/>
                <w:lang w:val="en-US" w:eastAsia="zh-CN" w:bidi="ar"/>
              </w:rPr>
              <w:t>A52609</w:t>
            </w:r>
            <w:r>
              <w:rPr>
                <w:rFonts w:hint="eastAsia" w:ascii="Arial" w:hAnsi="Arial" w:eastAsia="宋体" w:cs="Arial"/>
                <w:i w:val="0"/>
                <w:color w:val="000000"/>
                <w:kern w:val="0"/>
                <w:sz w:val="20"/>
                <w:szCs w:val="20"/>
                <w:u w:val="none"/>
                <w:lang w:val="en-US" w:eastAsia="zh-CN" w:bidi="ar"/>
              </w:rPr>
              <w:t>生产普通用车报废更新</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普通客车,中型(车长&lt;6m,9人&lt;乘坐人数&lt;20人)</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辆</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报价不含</w:t>
            </w:r>
          </w:p>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购置税</w:t>
            </w: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56</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030009826100010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038</w:t>
            </w:r>
            <w:r>
              <w:rPr>
                <w:rFonts w:hint="eastAsia" w:ascii="Arial" w:hAnsi="Arial" w:eastAsia="宋体" w:cs="Arial"/>
                <w:i w:val="0"/>
                <w:color w:val="000000"/>
                <w:kern w:val="0"/>
                <w:sz w:val="20"/>
                <w:szCs w:val="20"/>
                <w:u w:val="none"/>
                <w:lang w:val="en-US" w:eastAsia="zh-CN" w:bidi="ar"/>
              </w:rPr>
              <w:t>普通客车</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国网青海省电力公司培训中心</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国网青海培训中心</w:t>
            </w:r>
            <w:r>
              <w:rPr>
                <w:rFonts w:hint="default" w:ascii="Arial" w:hAnsi="Arial" w:eastAsia="宋体" w:cs="Arial"/>
                <w:i w:val="0"/>
                <w:color w:val="000000"/>
                <w:kern w:val="0"/>
                <w:sz w:val="20"/>
                <w:szCs w:val="20"/>
                <w:u w:val="none"/>
                <w:lang w:val="en-US" w:eastAsia="zh-CN" w:bidi="ar"/>
              </w:rPr>
              <w:t>2022</w:t>
            </w:r>
            <w:r>
              <w:rPr>
                <w:rFonts w:hint="eastAsia" w:ascii="Arial" w:hAnsi="Arial" w:eastAsia="宋体" w:cs="Arial"/>
                <w:i w:val="0"/>
                <w:color w:val="000000"/>
                <w:kern w:val="0"/>
                <w:sz w:val="20"/>
                <w:szCs w:val="20"/>
                <w:u w:val="none"/>
                <w:lang w:val="en-US" w:eastAsia="zh-CN" w:bidi="ar"/>
              </w:rPr>
              <w:t>年青</w:t>
            </w:r>
            <w:r>
              <w:rPr>
                <w:rFonts w:hint="default" w:ascii="Arial" w:hAnsi="Arial" w:eastAsia="宋体" w:cs="Arial"/>
                <w:i w:val="0"/>
                <w:color w:val="000000"/>
                <w:kern w:val="0"/>
                <w:sz w:val="20"/>
                <w:szCs w:val="20"/>
                <w:u w:val="none"/>
                <w:lang w:val="en-US" w:eastAsia="zh-CN" w:bidi="ar"/>
              </w:rPr>
              <w:t>A36018</w:t>
            </w:r>
            <w:r>
              <w:rPr>
                <w:rFonts w:hint="eastAsia" w:ascii="Arial" w:hAnsi="Arial" w:eastAsia="宋体" w:cs="Arial"/>
                <w:i w:val="0"/>
                <w:color w:val="000000"/>
                <w:kern w:val="0"/>
                <w:sz w:val="20"/>
                <w:szCs w:val="20"/>
                <w:u w:val="none"/>
                <w:lang w:val="en-US" w:eastAsia="zh-CN" w:bidi="ar"/>
              </w:rPr>
              <w:t>生产用车报废更新</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普通客车,中型(车长&lt;6m,9人&lt;乘坐人数&lt;20人)</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辆</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报价不含</w:t>
            </w:r>
          </w:p>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购置税</w:t>
            </w: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57</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030009826200010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038</w:t>
            </w:r>
            <w:r>
              <w:rPr>
                <w:rFonts w:hint="eastAsia" w:ascii="Arial" w:hAnsi="Arial" w:eastAsia="宋体" w:cs="Arial"/>
                <w:i w:val="0"/>
                <w:color w:val="000000"/>
                <w:kern w:val="0"/>
                <w:sz w:val="20"/>
                <w:szCs w:val="20"/>
                <w:u w:val="none"/>
                <w:lang w:val="en-US" w:eastAsia="zh-CN" w:bidi="ar"/>
              </w:rPr>
              <w:t>普通客车</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包2</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国网青海省电力公司检修公司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国网青海检修公司本部2022年青AG0012公务用车报废更新</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普通客车,小型(车长&lt;6m,乘坐人数≤9人)</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辆</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19</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报价不含</w:t>
            </w:r>
          </w:p>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购置税</w:t>
            </w: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58</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030009843400010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038</w:t>
            </w:r>
            <w:r>
              <w:rPr>
                <w:rFonts w:hint="eastAsia" w:ascii="Arial" w:hAnsi="Arial" w:eastAsia="宋体" w:cs="Arial"/>
                <w:i w:val="0"/>
                <w:color w:val="000000"/>
                <w:kern w:val="0"/>
                <w:sz w:val="20"/>
                <w:szCs w:val="20"/>
                <w:u w:val="none"/>
                <w:lang w:val="en-US" w:eastAsia="zh-CN" w:bidi="ar"/>
              </w:rPr>
              <w:t>普通客车</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包3</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国网青海省电力本部</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国网青海省电力公司本部2022年企业负责人用车购置Ⅰ</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普通客车,小型(车长&lt;6m,乘坐人数≤9人)</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辆</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28</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报价不含</w:t>
            </w:r>
          </w:p>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购置税</w:t>
            </w: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59</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030009843500010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038</w:t>
            </w:r>
            <w:r>
              <w:rPr>
                <w:rFonts w:hint="eastAsia" w:ascii="Arial" w:hAnsi="Arial" w:eastAsia="宋体" w:cs="Arial"/>
                <w:i w:val="0"/>
                <w:color w:val="000000"/>
                <w:kern w:val="0"/>
                <w:sz w:val="20"/>
                <w:szCs w:val="20"/>
                <w:u w:val="none"/>
                <w:lang w:val="en-US" w:eastAsia="zh-CN" w:bidi="ar"/>
              </w:rPr>
              <w:t>普通客车</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包3</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国网青海省电力本部</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国网青海省电力公司本部2022年企业负责人用车购置Ⅱ</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普通客车,小型(车长&lt;6m,乘坐人数≤9人)</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辆</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28</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报价不含</w:t>
            </w:r>
          </w:p>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购置税</w:t>
            </w: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60</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050037364900010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041</w:t>
            </w:r>
            <w:r>
              <w:rPr>
                <w:rFonts w:hint="eastAsia" w:ascii="Arial" w:hAnsi="Arial" w:eastAsia="宋体" w:cs="Arial"/>
                <w:i w:val="0"/>
                <w:color w:val="000000"/>
                <w:kern w:val="0"/>
                <w:sz w:val="20"/>
                <w:szCs w:val="20"/>
                <w:u w:val="none"/>
                <w:lang w:val="en-US" w:eastAsia="zh-CN" w:bidi="ar"/>
              </w:rPr>
              <w:t>防鸟设备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国网青海省电力公司检修公司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国网青海检修公司330kV达滩Ⅰ线等6条线路加装激光超声驱鸟装置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防鸟设备</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180.000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90.000025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61</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050037389400010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041</w:t>
            </w:r>
            <w:r>
              <w:rPr>
                <w:rFonts w:hint="eastAsia" w:ascii="Arial" w:hAnsi="Arial" w:eastAsia="宋体" w:cs="Arial"/>
                <w:i w:val="0"/>
                <w:color w:val="000000"/>
                <w:kern w:val="0"/>
                <w:sz w:val="20"/>
                <w:szCs w:val="20"/>
                <w:u w:val="none"/>
                <w:lang w:val="en-US" w:eastAsia="zh-CN" w:bidi="ar"/>
              </w:rPr>
              <w:t>防鸟设备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国网青海省电力公司检修公司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国网青海检修公司</w:t>
            </w:r>
            <w:r>
              <w:rPr>
                <w:rFonts w:hint="default" w:ascii="Arial" w:hAnsi="Arial" w:eastAsia="宋体" w:cs="Arial"/>
                <w:i w:val="0"/>
                <w:color w:val="000000"/>
                <w:kern w:val="0"/>
                <w:sz w:val="20"/>
                <w:szCs w:val="20"/>
                <w:u w:val="none"/>
                <w:lang w:val="en-US" w:eastAsia="zh-CN" w:bidi="ar"/>
              </w:rPr>
              <w:t>330kV</w:t>
            </w:r>
            <w:r>
              <w:rPr>
                <w:rFonts w:hint="eastAsia" w:ascii="Arial" w:hAnsi="Arial" w:eastAsia="宋体" w:cs="Arial"/>
                <w:i w:val="0"/>
                <w:color w:val="000000"/>
                <w:kern w:val="0"/>
                <w:sz w:val="20"/>
                <w:szCs w:val="20"/>
                <w:u w:val="none"/>
                <w:lang w:val="en-US" w:eastAsia="zh-CN" w:bidi="ar"/>
              </w:rPr>
              <w:t>花丁Ⅰ线等</w:t>
            </w:r>
            <w:r>
              <w:rPr>
                <w:rFonts w:hint="default" w:ascii="Arial" w:hAnsi="Arial" w:eastAsia="宋体" w:cs="Arial"/>
                <w:i w:val="0"/>
                <w:color w:val="000000"/>
                <w:kern w:val="0"/>
                <w:sz w:val="20"/>
                <w:szCs w:val="20"/>
                <w:u w:val="none"/>
                <w:lang w:val="en-US" w:eastAsia="zh-CN" w:bidi="ar"/>
              </w:rPr>
              <w:t>4</w:t>
            </w:r>
            <w:r>
              <w:rPr>
                <w:rFonts w:hint="eastAsia" w:ascii="Arial" w:hAnsi="Arial" w:eastAsia="宋体" w:cs="Arial"/>
                <w:i w:val="0"/>
                <w:color w:val="000000"/>
                <w:kern w:val="0"/>
                <w:sz w:val="20"/>
                <w:szCs w:val="20"/>
                <w:u w:val="none"/>
                <w:lang w:val="en-US" w:eastAsia="zh-CN" w:bidi="ar"/>
              </w:rPr>
              <w:t>条线路防鸟害整治</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防鸟设备</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3,163.000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13.285264</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62</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050037389400020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041</w:t>
            </w:r>
            <w:r>
              <w:rPr>
                <w:rFonts w:hint="eastAsia" w:ascii="Arial" w:hAnsi="Arial" w:eastAsia="宋体" w:cs="Arial"/>
                <w:i w:val="0"/>
                <w:color w:val="000000"/>
                <w:kern w:val="0"/>
                <w:sz w:val="20"/>
                <w:szCs w:val="20"/>
                <w:u w:val="none"/>
                <w:lang w:val="en-US" w:eastAsia="zh-CN" w:bidi="ar"/>
              </w:rPr>
              <w:t>防鸟设备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国网青海省电力公司检修公司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国网青海检修公司330kV花丁Ⅰ线等4条线路防鸟害整治</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防鸟设备</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8,491.000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76.422821</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63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050037424900010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041</w:t>
            </w:r>
            <w:r>
              <w:rPr>
                <w:rFonts w:hint="eastAsia" w:ascii="Arial" w:hAnsi="Arial" w:eastAsia="宋体" w:cs="Arial"/>
                <w:i w:val="0"/>
                <w:color w:val="000000"/>
                <w:kern w:val="0"/>
                <w:sz w:val="20"/>
                <w:szCs w:val="20"/>
                <w:u w:val="none"/>
                <w:lang w:val="en-US" w:eastAsia="zh-CN" w:bidi="ar"/>
              </w:rPr>
              <w:t>防鸟设备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国网青海省电力公司检修公司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国网青海检修公司</w:t>
            </w:r>
            <w:r>
              <w:rPr>
                <w:rFonts w:hint="default" w:ascii="Arial" w:hAnsi="Arial" w:eastAsia="宋体" w:cs="Arial"/>
                <w:i w:val="0"/>
                <w:color w:val="000000"/>
                <w:kern w:val="0"/>
                <w:sz w:val="20"/>
                <w:szCs w:val="20"/>
                <w:u w:val="none"/>
                <w:lang w:val="en-US" w:eastAsia="zh-CN" w:bidi="ar"/>
              </w:rPr>
              <w:t>330kV</w:t>
            </w:r>
            <w:r>
              <w:rPr>
                <w:rFonts w:hint="eastAsia" w:ascii="Arial" w:hAnsi="Arial" w:eastAsia="宋体" w:cs="Arial"/>
                <w:i w:val="0"/>
                <w:color w:val="000000"/>
                <w:kern w:val="0"/>
                <w:sz w:val="20"/>
                <w:szCs w:val="20"/>
                <w:u w:val="none"/>
                <w:lang w:val="en-US" w:eastAsia="zh-CN" w:bidi="ar"/>
              </w:rPr>
              <w:t>柴拓线</w:t>
            </w:r>
            <w:r>
              <w:rPr>
                <w:rFonts w:hint="default" w:ascii="Arial" w:hAnsi="Arial" w:eastAsia="宋体" w:cs="Arial"/>
                <w:i w:val="0"/>
                <w:color w:val="000000"/>
                <w:kern w:val="0"/>
                <w:sz w:val="20"/>
                <w:szCs w:val="20"/>
                <w:u w:val="none"/>
                <w:lang w:val="en-US" w:eastAsia="zh-CN" w:bidi="ar"/>
              </w:rPr>
              <w:t>#89-#90</w:t>
            </w:r>
            <w:r>
              <w:rPr>
                <w:rFonts w:hint="eastAsia" w:ascii="Arial" w:hAnsi="Arial" w:eastAsia="宋体" w:cs="Arial"/>
                <w:i w:val="0"/>
                <w:color w:val="000000"/>
                <w:kern w:val="0"/>
                <w:sz w:val="20"/>
                <w:szCs w:val="20"/>
                <w:u w:val="none"/>
                <w:lang w:val="en-US" w:eastAsia="zh-CN" w:bidi="ar"/>
              </w:rPr>
              <w:t>等</w:t>
            </w:r>
            <w:r>
              <w:rPr>
                <w:rFonts w:hint="default" w:ascii="Arial" w:hAnsi="Arial" w:eastAsia="宋体" w:cs="Arial"/>
                <w:i w:val="0"/>
                <w:color w:val="000000"/>
                <w:kern w:val="0"/>
                <w:sz w:val="20"/>
                <w:szCs w:val="20"/>
                <w:u w:val="none"/>
                <w:lang w:val="en-US" w:eastAsia="zh-CN" w:bidi="ar"/>
              </w:rPr>
              <w:t>2</w:t>
            </w:r>
            <w:r>
              <w:rPr>
                <w:rFonts w:hint="eastAsia" w:ascii="Arial" w:hAnsi="Arial" w:eastAsia="宋体" w:cs="Arial"/>
                <w:i w:val="0"/>
                <w:color w:val="000000"/>
                <w:kern w:val="0"/>
                <w:sz w:val="20"/>
                <w:szCs w:val="20"/>
                <w:u w:val="none"/>
                <w:lang w:val="en-US" w:eastAsia="zh-CN" w:bidi="ar"/>
              </w:rPr>
              <w:t>处三跨隐患治理</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防鸟设备</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960.000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12.91</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64</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050036728200010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042</w:t>
            </w:r>
            <w:r>
              <w:rPr>
                <w:rFonts w:hint="eastAsia" w:ascii="Arial" w:hAnsi="Arial" w:eastAsia="宋体" w:cs="Arial"/>
                <w:i w:val="0"/>
                <w:color w:val="000000"/>
                <w:kern w:val="0"/>
                <w:sz w:val="20"/>
                <w:szCs w:val="20"/>
                <w:u w:val="none"/>
                <w:lang w:val="en-US" w:eastAsia="zh-CN" w:bidi="ar"/>
              </w:rPr>
              <w:t>消防系统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国网青海省电力公司检修公司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国网青海检修公司</w:t>
            </w:r>
            <w:r>
              <w:rPr>
                <w:rFonts w:hint="default" w:ascii="Arial" w:hAnsi="Arial" w:eastAsia="宋体" w:cs="Arial"/>
                <w:i w:val="0"/>
                <w:color w:val="000000"/>
                <w:kern w:val="0"/>
                <w:sz w:val="20"/>
                <w:szCs w:val="20"/>
                <w:u w:val="none"/>
                <w:lang w:val="en-US" w:eastAsia="zh-CN" w:bidi="ar"/>
              </w:rPr>
              <w:t>±400kV</w:t>
            </w:r>
            <w:r>
              <w:rPr>
                <w:rFonts w:hint="eastAsia" w:ascii="Arial" w:hAnsi="Arial" w:eastAsia="宋体" w:cs="Arial"/>
                <w:i w:val="0"/>
                <w:color w:val="000000"/>
                <w:kern w:val="0"/>
                <w:sz w:val="20"/>
                <w:szCs w:val="20"/>
                <w:u w:val="none"/>
                <w:lang w:val="en-US" w:eastAsia="zh-CN" w:bidi="ar"/>
              </w:rPr>
              <w:t>柴达木换流站全站消防自动化系统改造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消防系统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264.194</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65</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050037405100010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043</w:t>
            </w:r>
            <w:r>
              <w:rPr>
                <w:rFonts w:hint="eastAsia" w:ascii="Arial" w:hAnsi="Arial" w:eastAsia="宋体" w:cs="Arial"/>
                <w:i w:val="0"/>
                <w:color w:val="000000"/>
                <w:kern w:val="0"/>
                <w:sz w:val="20"/>
                <w:szCs w:val="20"/>
                <w:u w:val="none"/>
                <w:lang w:val="en-US" w:eastAsia="zh-CN" w:bidi="ar"/>
              </w:rPr>
              <w:t>图像监视系统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国网青海省电力公司信息通信公司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青海省级新一代调度技术支持系统试点工程</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图像监视系统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70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66</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050037476500010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044</w:t>
            </w:r>
            <w:r>
              <w:rPr>
                <w:rFonts w:hint="eastAsia" w:ascii="Arial" w:hAnsi="Arial" w:eastAsia="宋体" w:cs="Arial"/>
                <w:i w:val="0"/>
                <w:color w:val="000000"/>
                <w:kern w:val="0"/>
                <w:sz w:val="20"/>
                <w:szCs w:val="20"/>
                <w:u w:val="none"/>
                <w:lang w:val="en-US" w:eastAsia="zh-CN" w:bidi="ar"/>
              </w:rPr>
              <w:t>无人机</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国网青海省西宁供电公司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国网青海西宁供电公司2022年低压用电管理（数字化反窃电移动作业建设无人机购置）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无人机,旋翼,中型,高海拔</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架</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30.000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60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67</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050037744500010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044</w:t>
            </w:r>
            <w:r>
              <w:rPr>
                <w:rFonts w:hint="eastAsia" w:ascii="Arial" w:hAnsi="Arial" w:eastAsia="宋体" w:cs="Arial"/>
                <w:i w:val="0"/>
                <w:color w:val="000000"/>
                <w:kern w:val="0"/>
                <w:sz w:val="20"/>
                <w:szCs w:val="20"/>
                <w:u w:val="none"/>
                <w:lang w:val="en-US" w:eastAsia="zh-CN" w:bidi="ar"/>
              </w:rPr>
              <w:t>无人机</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国网青海省电力公司培训中心</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党校教育基地（贵德）无人机实操考评场地改造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无人机,旋翼,中型,高海拔</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架</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128.73</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68</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030009814200010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045</w:t>
            </w:r>
            <w:r>
              <w:rPr>
                <w:rFonts w:hint="eastAsia" w:ascii="Arial" w:hAnsi="Arial" w:eastAsia="宋体" w:cs="Arial"/>
                <w:i w:val="0"/>
                <w:color w:val="000000"/>
                <w:kern w:val="0"/>
                <w:sz w:val="20"/>
                <w:szCs w:val="20"/>
                <w:u w:val="none"/>
                <w:lang w:val="en-US" w:eastAsia="zh-CN" w:bidi="ar"/>
              </w:rPr>
              <w:t>厨房成套设备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国网青海省黄化供电公司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国网青海黄化供电公司</w:t>
            </w:r>
            <w:r>
              <w:rPr>
                <w:rFonts w:hint="default" w:ascii="Arial" w:hAnsi="Arial" w:eastAsia="宋体" w:cs="Arial"/>
                <w:i w:val="0"/>
                <w:color w:val="000000"/>
                <w:kern w:val="0"/>
                <w:sz w:val="20"/>
                <w:szCs w:val="20"/>
                <w:u w:val="none"/>
                <w:lang w:val="en-US" w:eastAsia="zh-CN" w:bidi="ar"/>
              </w:rPr>
              <w:t>2022</w:t>
            </w:r>
            <w:r>
              <w:rPr>
                <w:rFonts w:hint="eastAsia" w:ascii="Arial" w:hAnsi="Arial" w:eastAsia="宋体" w:cs="Arial"/>
                <w:i w:val="0"/>
                <w:color w:val="000000"/>
                <w:kern w:val="0"/>
                <w:sz w:val="20"/>
                <w:szCs w:val="20"/>
                <w:u w:val="none"/>
                <w:lang w:val="en-US" w:eastAsia="zh-CN" w:bidi="ar"/>
              </w:rPr>
              <w:t>年食品加工设备购置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厨房成套设备,10-200人</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69</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030009819000010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045</w:t>
            </w:r>
            <w:r>
              <w:rPr>
                <w:rFonts w:hint="eastAsia" w:ascii="Arial" w:hAnsi="Arial" w:eastAsia="宋体" w:cs="Arial"/>
                <w:i w:val="0"/>
                <w:color w:val="000000"/>
                <w:kern w:val="0"/>
                <w:sz w:val="20"/>
                <w:szCs w:val="20"/>
                <w:u w:val="none"/>
                <w:lang w:val="en-US" w:eastAsia="zh-CN" w:bidi="ar"/>
              </w:rPr>
              <w:t>厨房成套设备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国网青海省海东供电公司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国网青海海东供电公司</w:t>
            </w:r>
            <w:r>
              <w:rPr>
                <w:rFonts w:hint="default" w:ascii="Arial" w:hAnsi="Arial" w:eastAsia="宋体" w:cs="Arial"/>
                <w:i w:val="0"/>
                <w:color w:val="000000"/>
                <w:kern w:val="0"/>
                <w:sz w:val="20"/>
                <w:szCs w:val="20"/>
                <w:u w:val="none"/>
                <w:lang w:val="en-US" w:eastAsia="zh-CN" w:bidi="ar"/>
              </w:rPr>
              <w:t>2022</w:t>
            </w:r>
            <w:r>
              <w:rPr>
                <w:rFonts w:hint="eastAsia" w:ascii="Arial" w:hAnsi="Arial" w:eastAsia="宋体" w:cs="Arial"/>
                <w:i w:val="0"/>
                <w:color w:val="000000"/>
                <w:kern w:val="0"/>
                <w:sz w:val="20"/>
                <w:szCs w:val="20"/>
                <w:u w:val="none"/>
                <w:lang w:val="en-US" w:eastAsia="zh-CN" w:bidi="ar"/>
              </w:rPr>
              <w:t>年食品加工设备购置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厨房成套设备,200-300人</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70</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030009843600010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045</w:t>
            </w:r>
            <w:r>
              <w:rPr>
                <w:rFonts w:hint="eastAsia" w:ascii="Arial" w:hAnsi="Arial" w:eastAsia="宋体" w:cs="Arial"/>
                <w:i w:val="0"/>
                <w:color w:val="000000"/>
                <w:kern w:val="0"/>
                <w:sz w:val="20"/>
                <w:szCs w:val="20"/>
                <w:u w:val="none"/>
                <w:lang w:val="en-US" w:eastAsia="zh-CN" w:bidi="ar"/>
              </w:rPr>
              <w:t>厨房成套设备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国网青海省青海电力科学试验研究院</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国网青海电科院2022年食品加工设备购置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厨房成套设备,200-300人</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71</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030009844200010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045</w:t>
            </w:r>
            <w:r>
              <w:rPr>
                <w:rFonts w:hint="eastAsia" w:ascii="Arial" w:hAnsi="Arial" w:eastAsia="宋体" w:cs="Arial"/>
                <w:i w:val="0"/>
                <w:color w:val="000000"/>
                <w:kern w:val="0"/>
                <w:sz w:val="20"/>
                <w:szCs w:val="20"/>
                <w:u w:val="none"/>
                <w:lang w:val="en-US" w:eastAsia="zh-CN" w:bidi="ar"/>
              </w:rPr>
              <w:t>厨房成套设备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国网青海省海北供电公司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eastAsia" w:ascii="Arial" w:hAnsi="Arial" w:eastAsia="宋体" w:cs="Arial"/>
                <w:i w:val="0"/>
                <w:color w:val="000000"/>
                <w:kern w:val="0"/>
                <w:sz w:val="20"/>
                <w:szCs w:val="20"/>
                <w:u w:val="none"/>
                <w:lang w:val="en-US" w:eastAsia="zh-CN" w:bidi="ar"/>
              </w:rPr>
              <w:t>国网青海海北供电公司</w:t>
            </w:r>
            <w:r>
              <w:rPr>
                <w:rFonts w:hint="default" w:ascii="Arial" w:hAnsi="Arial" w:eastAsia="宋体" w:cs="Arial"/>
                <w:i w:val="0"/>
                <w:color w:val="000000"/>
                <w:kern w:val="0"/>
                <w:sz w:val="20"/>
                <w:szCs w:val="20"/>
                <w:u w:val="none"/>
                <w:lang w:val="en-US" w:eastAsia="zh-CN" w:bidi="ar"/>
              </w:rPr>
              <w:t>2022</w:t>
            </w:r>
            <w:r>
              <w:rPr>
                <w:rFonts w:hint="eastAsia" w:ascii="Arial" w:hAnsi="Arial" w:eastAsia="宋体" w:cs="Arial"/>
                <w:i w:val="0"/>
                <w:color w:val="000000"/>
                <w:kern w:val="0"/>
                <w:sz w:val="20"/>
                <w:szCs w:val="20"/>
                <w:u w:val="none"/>
                <w:lang w:val="en-US" w:eastAsia="zh-CN" w:bidi="ar"/>
              </w:rPr>
              <w:t>年厨房用品购置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厨房成套设备,10-200人</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72</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050037839000010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046</w:t>
            </w:r>
            <w:r>
              <w:rPr>
                <w:rFonts w:hint="eastAsia" w:ascii="Arial" w:hAnsi="Arial" w:eastAsia="宋体" w:cs="Arial"/>
                <w:i w:val="0"/>
                <w:color w:val="000000"/>
                <w:kern w:val="0"/>
                <w:sz w:val="20"/>
                <w:szCs w:val="20"/>
                <w:u w:val="none"/>
                <w:lang w:val="en-US" w:eastAsia="zh-CN" w:bidi="ar"/>
              </w:rPr>
              <w:t>电梯</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国网青海省海东供电公司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国网青海海东供电公司送变电综合大楼电梯分系统电梯加装</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电梯,1150kg,客梯</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37.997633</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73</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030009843300010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047</w:t>
            </w:r>
            <w:r>
              <w:rPr>
                <w:rFonts w:hint="eastAsia" w:ascii="Arial" w:hAnsi="Arial" w:eastAsia="宋体" w:cs="Arial"/>
                <w:i w:val="0"/>
                <w:color w:val="000000"/>
                <w:kern w:val="0"/>
                <w:sz w:val="20"/>
                <w:szCs w:val="20"/>
                <w:u w:val="none"/>
                <w:lang w:val="en-US" w:eastAsia="zh-CN" w:bidi="ar"/>
              </w:rPr>
              <w:t>升降平台</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国网青海省电力公司培训中心</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国网青海培训中心2022年变电运维一体化培训升降平台购置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工作台</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30</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74</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030009831000010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048</w:t>
            </w:r>
            <w:r>
              <w:rPr>
                <w:rFonts w:hint="eastAsia" w:ascii="Arial" w:hAnsi="Arial" w:eastAsia="宋体" w:cs="Arial"/>
                <w:i w:val="0"/>
                <w:color w:val="000000"/>
                <w:kern w:val="0"/>
                <w:sz w:val="20"/>
                <w:szCs w:val="20"/>
                <w:u w:val="none"/>
                <w:lang w:val="en-US" w:eastAsia="zh-CN" w:bidi="ar"/>
              </w:rPr>
              <w:t>制氧设备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国网青海省果洛供电公司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国网青海果洛供电公司2022年甘德县公司制氧设备购置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制氧设备</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165</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75</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030009818800010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049</w:t>
            </w:r>
            <w:r>
              <w:rPr>
                <w:rFonts w:hint="eastAsia" w:ascii="Arial" w:hAnsi="Arial" w:eastAsia="宋体" w:cs="Arial"/>
                <w:i w:val="0"/>
                <w:color w:val="000000"/>
                <w:kern w:val="0"/>
                <w:sz w:val="20"/>
                <w:szCs w:val="20"/>
                <w:u w:val="none"/>
                <w:lang w:val="en-US" w:eastAsia="zh-CN" w:bidi="ar"/>
              </w:rPr>
              <w:t>变压器油处理系统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国网青海省电力公司培训中心</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国网青海培训中心2022年变电运维一体化培训变压器模拟取样装置购置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变压器油处理系统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4.000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44</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76</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050037510800010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w:t>
            </w:r>
            <w:r>
              <w:rPr>
                <w:rFonts w:hint="eastAsia" w:ascii="Arial" w:hAnsi="Arial" w:eastAsia="宋体" w:cs="Arial"/>
                <w:i w:val="0"/>
                <w:color w:val="000000"/>
                <w:kern w:val="0"/>
                <w:sz w:val="20"/>
                <w:szCs w:val="20"/>
                <w:u w:val="none"/>
                <w:lang w:val="en-US" w:eastAsia="zh-CN" w:bidi="ar"/>
              </w:rPr>
              <w:t>自动化检定实验台</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国网青海省电力公司营销服务中心</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国网青海营销服务中心2022年计量检定检测能力建设与提升（单/三相电能表自动化检</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实验台</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852</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77</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050037510800020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w:t>
            </w:r>
            <w:r>
              <w:rPr>
                <w:rFonts w:hint="eastAsia" w:ascii="Arial" w:hAnsi="Arial" w:eastAsia="宋体" w:cs="Arial"/>
                <w:i w:val="0"/>
                <w:color w:val="000000"/>
                <w:kern w:val="0"/>
                <w:sz w:val="20"/>
                <w:szCs w:val="20"/>
                <w:u w:val="none"/>
                <w:lang w:val="en-US" w:eastAsia="zh-CN" w:bidi="ar"/>
              </w:rPr>
              <w:t>自动化检定实验台</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国网青海省电力公司营销服务中心</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国网青海营销服务中心2022年计量检定检测能力建设与提升（单/三相电能表自动化检</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实验台</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个</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374</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78</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050037579800010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051</w:t>
            </w:r>
            <w:r>
              <w:rPr>
                <w:rFonts w:hint="eastAsia" w:ascii="Arial" w:hAnsi="Arial" w:eastAsia="宋体" w:cs="Arial"/>
                <w:i w:val="0"/>
                <w:color w:val="000000"/>
                <w:kern w:val="0"/>
                <w:sz w:val="20"/>
                <w:szCs w:val="20"/>
                <w:u w:val="none"/>
                <w:lang w:val="en-US" w:eastAsia="zh-CN" w:bidi="ar"/>
              </w:rPr>
              <w:t>电取暖设备</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国网青海省西宁供电公司</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国网青海西宁客户服务中心综合楼供热采暖分系统锅炉及室内供热管网改造</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电取暖设备,通用,电锅炉</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台</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3.000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149.0264103</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r>
        <w:tblPrEx>
          <w:tblLayout w:type="fixed"/>
          <w:tblCellMar>
            <w:top w:w="15" w:type="dxa"/>
            <w:left w:w="15" w:type="dxa"/>
            <w:bottom w:w="15" w:type="dxa"/>
            <w:right w:w="15" w:type="dxa"/>
          </w:tblCellMar>
        </w:tblPrEx>
        <w:trPr>
          <w:trHeight w:val="286" w:hRule="atLeast"/>
        </w:trPr>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79</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030009653700010</w:t>
            </w:r>
          </w:p>
        </w:tc>
        <w:tc>
          <w:tcPr>
            <w:tcW w:w="92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052</w:t>
            </w:r>
            <w:r>
              <w:rPr>
                <w:rFonts w:hint="eastAsia" w:ascii="Arial" w:hAnsi="Arial" w:eastAsia="宋体" w:cs="Arial"/>
                <w:i w:val="0"/>
                <w:color w:val="000000"/>
                <w:kern w:val="0"/>
                <w:sz w:val="20"/>
                <w:szCs w:val="20"/>
                <w:u w:val="none"/>
                <w:lang w:val="en-US" w:eastAsia="zh-CN" w:bidi="ar"/>
              </w:rPr>
              <w:t>电视后期制作系统</w:t>
            </w:r>
          </w:p>
        </w:tc>
        <w:tc>
          <w:tcPr>
            <w:tcW w:w="51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包1</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国网青海省电力公司营销服务中心</w:t>
            </w:r>
          </w:p>
        </w:tc>
        <w:tc>
          <w:tcPr>
            <w:tcW w:w="26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国网青海营销服务中心2022年非线性编辑设备购置</w:t>
            </w:r>
          </w:p>
        </w:tc>
        <w:tc>
          <w:tcPr>
            <w:tcW w:w="21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电视后期制作系统</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套</w:t>
            </w:r>
          </w:p>
        </w:tc>
        <w:tc>
          <w:tcPr>
            <w:tcW w:w="8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1.000</w:t>
            </w:r>
          </w:p>
        </w:tc>
        <w:tc>
          <w:tcPr>
            <w:tcW w:w="12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eastAsia" w:ascii="Arial" w:hAnsi="Arial" w:eastAsia="宋体" w:cs="Arial"/>
                <w:i w:val="0"/>
                <w:color w:val="000000"/>
                <w:kern w:val="0"/>
                <w:sz w:val="20"/>
                <w:szCs w:val="20"/>
                <w:u w:val="none"/>
                <w:lang w:val="en-US" w:eastAsia="zh-CN" w:bidi="ar"/>
              </w:rPr>
            </w:pPr>
            <w:r>
              <w:rPr>
                <w:rFonts w:hint="default" w:ascii="Arial" w:hAnsi="Arial" w:eastAsia="宋体" w:cs="Arial"/>
                <w:i w:val="0"/>
                <w:color w:val="000000"/>
                <w:kern w:val="0"/>
                <w:sz w:val="20"/>
                <w:szCs w:val="20"/>
                <w:u w:val="none"/>
                <w:lang w:val="en-US" w:eastAsia="zh-CN" w:bidi="ar"/>
              </w:rPr>
              <w:t>2.1</w:t>
            </w:r>
          </w:p>
        </w:tc>
        <w:tc>
          <w:tcPr>
            <w:tcW w:w="125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bottom"/>
              <w:rPr>
                <w:rFonts w:hint="default" w:ascii="Arial" w:hAnsi="Arial" w:eastAsia="宋体" w:cs="Arial"/>
                <w:i w:val="0"/>
                <w:color w:val="000000"/>
                <w:kern w:val="0"/>
                <w:sz w:val="20"/>
                <w:szCs w:val="20"/>
                <w:u w:val="none"/>
                <w:lang w:val="en-US" w:eastAsia="zh-CN" w:bidi="ar"/>
              </w:rPr>
            </w:pPr>
          </w:p>
        </w:tc>
      </w:tr>
    </w:tbl>
    <w:p>
      <w:pPr>
        <w:sectPr>
          <w:pgSz w:w="15840" w:h="12240" w:orient="landscape"/>
          <w:pgMar w:top="1134" w:right="1418" w:bottom="1134" w:left="1134" w:header="0" w:footer="0" w:gutter="0"/>
          <w:cols w:space="720" w:num="1"/>
          <w:docGrid w:type="lines" w:linePitch="312" w:charSpace="0"/>
        </w:sectPr>
      </w:pPr>
    </w:p>
    <w:p>
      <w:pPr>
        <w:pStyle w:val="3"/>
        <w:bidi w:val="0"/>
      </w:pPr>
      <w:r>
        <w:t>附件</w:t>
      </w:r>
      <w:r>
        <w:rPr>
          <w:rFonts w:hint="eastAsia"/>
        </w:rPr>
        <w:t>4：</w:t>
      </w:r>
      <w:r>
        <w:t>招标人、招标代理机构及投标人关于招标代理服务费的三方约定</w:t>
      </w:r>
    </w:p>
    <w:p>
      <w:pPr>
        <w:ind w:firstLine="560" w:firstLineChars="200"/>
        <w:rPr>
          <w:sz w:val="28"/>
          <w:szCs w:val="28"/>
        </w:rPr>
      </w:pPr>
    </w:p>
    <w:p>
      <w:pPr>
        <w:autoSpaceDE w:val="0"/>
        <w:autoSpaceDN w:val="0"/>
        <w:adjustRightInd w:val="0"/>
        <w:snapToGrid w:val="0"/>
        <w:rPr>
          <w:rFonts w:hint="eastAsia" w:ascii="方正小标宋_GBK" w:hAnsi="方正小标宋_GBK" w:eastAsia="方正小标宋_GBK" w:cs="方正小标宋_GBK"/>
          <w:b/>
          <w:sz w:val="44"/>
          <w:szCs w:val="44"/>
        </w:rPr>
      </w:pPr>
      <w:r>
        <w:rPr>
          <w:rFonts w:hint="eastAsia" w:ascii="方正小标宋_GBK" w:hAnsi="方正小标宋_GBK" w:eastAsia="方正小标宋_GBK" w:cs="方正小标宋_GBK"/>
          <w:b/>
          <w:sz w:val="44"/>
          <w:szCs w:val="44"/>
        </w:rPr>
        <w:t>招标人、招标代理机构与投标人三方约定</w:t>
      </w:r>
    </w:p>
    <w:p>
      <w:pPr>
        <w:bidi w:val="0"/>
        <w:rPr>
          <w:lang w:eastAsia="zh-CN"/>
        </w:rPr>
      </w:pPr>
      <w:r>
        <w:rPr>
          <w:rFonts w:hint="eastAsia"/>
        </w:rPr>
        <w:t>▲要求为原件由</w:t>
      </w:r>
      <w:r>
        <w:rPr>
          <w:rFonts w:hint="eastAsia"/>
          <w:lang w:eastAsia="zh-CN"/>
        </w:rPr>
        <w:t>法定代表人或其委托代理人</w:t>
      </w:r>
      <w:r>
        <w:rPr>
          <w:rFonts w:hint="eastAsia"/>
        </w:rPr>
        <w:t>签字</w:t>
      </w:r>
      <w:r>
        <w:rPr>
          <w:rFonts w:hint="eastAsia"/>
          <w:lang w:eastAsia="zh-CN"/>
        </w:rPr>
        <w:t>、</w:t>
      </w:r>
      <w:r>
        <w:rPr>
          <w:rFonts w:hint="eastAsia"/>
        </w:rPr>
        <w:t>加盖单位公章后，附在商务投标文件中。</w:t>
      </w:r>
    </w:p>
    <w:tbl>
      <w:tblPr>
        <w:tblStyle w:val="77"/>
        <w:tblW w:w="826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269" w:type="dxa"/>
          </w:tcPr>
          <w:p>
            <w:pPr>
              <w:pStyle w:val="213"/>
              <w:spacing w:line="360" w:lineRule="auto"/>
              <w:rPr>
                <w:rFonts w:ascii="宋体" w:hAnsi="宋体"/>
                <w:b/>
                <w:bCs/>
                <w:sz w:val="28"/>
                <w:szCs w:val="36"/>
              </w:rPr>
            </w:pPr>
          </w:p>
          <w:p>
            <w:pPr>
              <w:pStyle w:val="213"/>
              <w:spacing w:line="360" w:lineRule="auto"/>
              <w:jc w:val="center"/>
              <w:rPr>
                <w:rFonts w:ascii="宋体" w:hAnsi="宋体"/>
                <w:b/>
                <w:sz w:val="20"/>
                <w:szCs w:val="20"/>
              </w:rPr>
            </w:pPr>
            <w:r>
              <w:rPr>
                <w:rFonts w:hint="eastAsia" w:ascii="宋体" w:hAnsi="宋体"/>
                <w:b/>
                <w:bCs/>
                <w:sz w:val="20"/>
                <w:szCs w:val="20"/>
              </w:rPr>
              <w:t>招标人、招标代理机构与投标人三方约定</w:t>
            </w:r>
          </w:p>
          <w:p>
            <w:pPr>
              <w:pStyle w:val="213"/>
              <w:rPr>
                <w:rFonts w:ascii="宋体" w:hAnsi="宋体"/>
                <w:sz w:val="20"/>
                <w:szCs w:val="20"/>
              </w:rPr>
            </w:pPr>
          </w:p>
          <w:p>
            <w:pPr>
              <w:pStyle w:val="213"/>
              <w:rPr>
                <w:rFonts w:ascii="宋体" w:hAnsi="宋体"/>
                <w:sz w:val="20"/>
                <w:szCs w:val="20"/>
              </w:rPr>
            </w:pPr>
          </w:p>
          <w:p>
            <w:pPr>
              <w:pStyle w:val="213"/>
              <w:rPr>
                <w:rFonts w:ascii="宋体" w:hAnsi="宋体"/>
                <w:sz w:val="20"/>
                <w:szCs w:val="20"/>
              </w:rPr>
            </w:pPr>
          </w:p>
          <w:p>
            <w:pPr>
              <w:pStyle w:val="212"/>
              <w:spacing w:line="360" w:lineRule="auto"/>
              <w:ind w:firstLine="400" w:firstLineChars="200"/>
              <w:rPr>
                <w:rFonts w:ascii="宋体" w:hAnsi="宋体"/>
                <w:sz w:val="20"/>
                <w:szCs w:val="20"/>
              </w:rPr>
            </w:pPr>
            <w:r>
              <w:rPr>
                <w:rFonts w:hint="eastAsia" w:ascii="宋体" w:hAnsi="宋体"/>
                <w:sz w:val="20"/>
                <w:szCs w:val="20"/>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pPr>
              <w:pStyle w:val="212"/>
              <w:spacing w:line="360" w:lineRule="auto"/>
              <w:rPr>
                <w:rFonts w:ascii="宋体" w:hAnsi="宋体"/>
                <w:kern w:val="2"/>
                <w:sz w:val="20"/>
                <w:szCs w:val="20"/>
              </w:rPr>
            </w:pPr>
            <w:r>
              <w:rPr>
                <w:rFonts w:hint="eastAsia" w:ascii="宋体" w:hAnsi="宋体"/>
                <w:sz w:val="20"/>
                <w:szCs w:val="20"/>
              </w:rPr>
              <w:t>法定代表人或其委托代理人签字</w:t>
            </w:r>
            <w:r>
              <w:rPr>
                <w:rFonts w:hint="eastAsia" w:ascii="宋体" w:hAnsi="宋体"/>
                <w:kern w:val="2"/>
                <w:sz w:val="20"/>
                <w:szCs w:val="20"/>
              </w:rPr>
              <w:t>：</w:t>
            </w:r>
          </w:p>
          <w:p>
            <w:pPr>
              <w:pStyle w:val="212"/>
              <w:spacing w:line="360" w:lineRule="auto"/>
              <w:rPr>
                <w:rFonts w:ascii="宋体" w:hAnsi="宋体"/>
                <w:kern w:val="2"/>
                <w:sz w:val="20"/>
                <w:szCs w:val="20"/>
              </w:rPr>
            </w:pPr>
          </w:p>
          <w:p>
            <w:pPr>
              <w:pStyle w:val="212"/>
              <w:spacing w:line="360" w:lineRule="auto"/>
              <w:rPr>
                <w:rFonts w:ascii="宋体" w:hAnsi="宋体"/>
                <w:kern w:val="2"/>
                <w:sz w:val="20"/>
                <w:szCs w:val="20"/>
              </w:rPr>
            </w:pPr>
          </w:p>
          <w:p>
            <w:pPr>
              <w:pStyle w:val="212"/>
              <w:spacing w:line="360" w:lineRule="auto"/>
              <w:rPr>
                <w:rFonts w:ascii="宋体" w:hAnsi="宋体"/>
                <w:kern w:val="2"/>
                <w:sz w:val="20"/>
                <w:szCs w:val="20"/>
              </w:rPr>
            </w:pPr>
            <w:r>
              <w:rPr>
                <w:rFonts w:hint="eastAsia" w:ascii="宋体" w:hAnsi="宋体"/>
                <w:kern w:val="2"/>
                <w:sz w:val="20"/>
                <w:szCs w:val="20"/>
              </w:rPr>
              <w:t xml:space="preserve">                            投标人（公章）：</w:t>
            </w:r>
          </w:p>
          <w:p>
            <w:pPr>
              <w:pStyle w:val="213"/>
              <w:ind w:firstLine="4600" w:firstLineChars="2300"/>
              <w:rPr>
                <w:rFonts w:ascii="宋体" w:hAnsi="宋体"/>
                <w:b/>
                <w:szCs w:val="28"/>
              </w:rPr>
            </w:pPr>
            <w:r>
              <w:rPr>
                <w:rFonts w:hint="eastAsia" w:ascii="宋体" w:hAnsi="宋体"/>
                <w:sz w:val="20"/>
                <w:szCs w:val="20"/>
              </w:rPr>
              <w:t>年   月   日</w:t>
            </w:r>
          </w:p>
        </w:tc>
      </w:tr>
    </w:tbl>
    <w:p>
      <w:pPr>
        <w:tabs>
          <w:tab w:val="left" w:pos="1901"/>
        </w:tabs>
      </w:pPr>
      <w:r>
        <w:rPr>
          <w:rFonts w:hint="eastAsia"/>
        </w:rPr>
        <w:tab/>
      </w:r>
    </w:p>
    <w:p/>
    <w:p>
      <w:pPr>
        <w:pStyle w:val="2"/>
      </w:pPr>
    </w:p>
    <w:p>
      <w:pPr>
        <w:pStyle w:val="2"/>
      </w:pPr>
    </w:p>
    <w:p>
      <w:pPr>
        <w:pStyle w:val="2"/>
      </w:pPr>
    </w:p>
    <w:sectPr>
      <w:pgSz w:w="12240" w:h="15840"/>
      <w:pgMar w:top="1418" w:right="1134" w:bottom="1134" w:left="1134" w:header="0" w:footer="0"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panose1 w:val="03000509000000000000"/>
    <w:charset w:val="86"/>
    <w:family w:val="auto"/>
    <w:pitch w:val="default"/>
    <w:sig w:usb0="00000001" w:usb1="080E0000" w:usb2="00000000" w:usb3="00000000" w:csb0="00040000" w:csb1="00000000"/>
  </w:font>
  <w:font w:name="Calibri Light">
    <w:panose1 w:val="020F0302020204030204"/>
    <w:charset w:val="00"/>
    <w:family w:val="auto"/>
    <w:pitch w:val="default"/>
    <w:sig w:usb0="E4002EFF" w:usb1="C000247B" w:usb2="00000009" w:usb3="00000000" w:csb0="200001FF" w:csb1="00000000"/>
  </w:font>
  <w:font w:name="方正仿宋_GBK">
    <w:panose1 w:val="03000509000000000000"/>
    <w:charset w:val="86"/>
    <w:family w:val="script"/>
    <w:pitch w:val="default"/>
    <w:sig w:usb0="00000001" w:usb1="080E0000" w:usb2="00000000" w:usb3="00000000" w:csb0="00040000" w:csb1="00000000"/>
  </w:font>
  <w:font w:name="方正楷体_GBK">
    <w:altName w:val="微软雅黑"/>
    <w:panose1 w:val="03000509000000000000"/>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 w:name="EU-F1">
    <w:altName w:val="宋体"/>
    <w:panose1 w:val="00000000000000000000"/>
    <w:charset w:val="86"/>
    <w:family w:val="auto"/>
    <w:pitch w:val="default"/>
    <w:sig w:usb0="00000000" w:usb1="0000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Plotter">
    <w:altName w:val="Times New Roman"/>
    <w:panose1 w:val="00000000000000000000"/>
    <w:charset w:val="00"/>
    <w:family w:val="roman"/>
    <w:pitch w:val="default"/>
    <w:sig w:usb0="00000000" w:usb1="00000000" w:usb2="00000000" w:usb3="00000000" w:csb0="00000001" w:csb1="00000000"/>
  </w:font>
  <w:font w:name="华文新魏">
    <w:panose1 w:val="02010800040101010101"/>
    <w:charset w:val="86"/>
    <w:family w:val="auto"/>
    <w:pitch w:val="default"/>
    <w:sig w:usb0="00000001" w:usb1="080F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font-weight : 400">
    <w:altName w:val="Segoe Print"/>
    <w:panose1 w:val="00000000000000000000"/>
    <w:charset w:val="00"/>
    <w:family w:val="auto"/>
    <w:pitch w:val="default"/>
    <w:sig w:usb0="00000000" w:usb1="00000000" w:usb2="00000000" w:usb3="00000000" w:csb0="00000000" w:csb1="00000000"/>
  </w:font>
  <w:font w:name="方正小标宋_GBK">
    <w:panose1 w:val="03000509000000000000"/>
    <w:charset w:val="86"/>
    <w:family w:val="script"/>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B7C"/>
    <w:rsid w:val="00006455"/>
    <w:rsid w:val="00007C88"/>
    <w:rsid w:val="0001118D"/>
    <w:rsid w:val="00016EDC"/>
    <w:rsid w:val="00020521"/>
    <w:rsid w:val="00021D2E"/>
    <w:rsid w:val="00024CF8"/>
    <w:rsid w:val="00037876"/>
    <w:rsid w:val="00043501"/>
    <w:rsid w:val="0004355F"/>
    <w:rsid w:val="00046569"/>
    <w:rsid w:val="00055177"/>
    <w:rsid w:val="00067C1E"/>
    <w:rsid w:val="00070801"/>
    <w:rsid w:val="00076F4F"/>
    <w:rsid w:val="0007741A"/>
    <w:rsid w:val="00080944"/>
    <w:rsid w:val="00081B96"/>
    <w:rsid w:val="00095641"/>
    <w:rsid w:val="00097AB5"/>
    <w:rsid w:val="000A0DD4"/>
    <w:rsid w:val="000A1593"/>
    <w:rsid w:val="000A5EFC"/>
    <w:rsid w:val="000B239D"/>
    <w:rsid w:val="000B281A"/>
    <w:rsid w:val="000B54B9"/>
    <w:rsid w:val="000C009F"/>
    <w:rsid w:val="000C0EF5"/>
    <w:rsid w:val="000D2115"/>
    <w:rsid w:val="000D4C8D"/>
    <w:rsid w:val="000E13CC"/>
    <w:rsid w:val="000E3AB7"/>
    <w:rsid w:val="000E42DA"/>
    <w:rsid w:val="000F6E94"/>
    <w:rsid w:val="000F783F"/>
    <w:rsid w:val="00100BB0"/>
    <w:rsid w:val="001025DB"/>
    <w:rsid w:val="00106A4E"/>
    <w:rsid w:val="001129CE"/>
    <w:rsid w:val="00113D22"/>
    <w:rsid w:val="00115E3F"/>
    <w:rsid w:val="00134983"/>
    <w:rsid w:val="00134DB1"/>
    <w:rsid w:val="0013669A"/>
    <w:rsid w:val="00136AC0"/>
    <w:rsid w:val="00146E03"/>
    <w:rsid w:val="00150218"/>
    <w:rsid w:val="00153CD3"/>
    <w:rsid w:val="00160599"/>
    <w:rsid w:val="00160ACF"/>
    <w:rsid w:val="001631C9"/>
    <w:rsid w:val="00163FE4"/>
    <w:rsid w:val="00164C86"/>
    <w:rsid w:val="00171A71"/>
    <w:rsid w:val="00172B77"/>
    <w:rsid w:val="00185F76"/>
    <w:rsid w:val="00190A1A"/>
    <w:rsid w:val="0019447D"/>
    <w:rsid w:val="0019773F"/>
    <w:rsid w:val="001A4A17"/>
    <w:rsid w:val="001B0605"/>
    <w:rsid w:val="001B14A0"/>
    <w:rsid w:val="001B38A2"/>
    <w:rsid w:val="001B5700"/>
    <w:rsid w:val="001B5838"/>
    <w:rsid w:val="001B7DFC"/>
    <w:rsid w:val="001C1A20"/>
    <w:rsid w:val="001C7646"/>
    <w:rsid w:val="001D70A4"/>
    <w:rsid w:val="001E21CC"/>
    <w:rsid w:val="001E3005"/>
    <w:rsid w:val="001E47FE"/>
    <w:rsid w:val="001E50F0"/>
    <w:rsid w:val="001F2F26"/>
    <w:rsid w:val="001F61E9"/>
    <w:rsid w:val="00203EB4"/>
    <w:rsid w:val="002114B6"/>
    <w:rsid w:val="00221505"/>
    <w:rsid w:val="0022184E"/>
    <w:rsid w:val="00227914"/>
    <w:rsid w:val="00227BCA"/>
    <w:rsid w:val="00233AB6"/>
    <w:rsid w:val="00234B26"/>
    <w:rsid w:val="002500C9"/>
    <w:rsid w:val="002516C8"/>
    <w:rsid w:val="00255D81"/>
    <w:rsid w:val="00263821"/>
    <w:rsid w:val="0027134F"/>
    <w:rsid w:val="0028252D"/>
    <w:rsid w:val="0029066F"/>
    <w:rsid w:val="00291A10"/>
    <w:rsid w:val="002926CE"/>
    <w:rsid w:val="00294809"/>
    <w:rsid w:val="00295E61"/>
    <w:rsid w:val="002A4E05"/>
    <w:rsid w:val="002A5340"/>
    <w:rsid w:val="002A5F5A"/>
    <w:rsid w:val="002B219F"/>
    <w:rsid w:val="002B6263"/>
    <w:rsid w:val="002B7D41"/>
    <w:rsid w:val="002D253D"/>
    <w:rsid w:val="002D4762"/>
    <w:rsid w:val="002D5B70"/>
    <w:rsid w:val="002E5E00"/>
    <w:rsid w:val="002F16EA"/>
    <w:rsid w:val="002F5607"/>
    <w:rsid w:val="002F7D02"/>
    <w:rsid w:val="00312BDF"/>
    <w:rsid w:val="0031595C"/>
    <w:rsid w:val="00317F1F"/>
    <w:rsid w:val="00330F11"/>
    <w:rsid w:val="0033174B"/>
    <w:rsid w:val="00336D72"/>
    <w:rsid w:val="003403CE"/>
    <w:rsid w:val="00344F85"/>
    <w:rsid w:val="003464CB"/>
    <w:rsid w:val="00353DA1"/>
    <w:rsid w:val="003566A5"/>
    <w:rsid w:val="0036349C"/>
    <w:rsid w:val="00363508"/>
    <w:rsid w:val="0036747C"/>
    <w:rsid w:val="00371B43"/>
    <w:rsid w:val="003773F7"/>
    <w:rsid w:val="003820F8"/>
    <w:rsid w:val="00397224"/>
    <w:rsid w:val="003A3290"/>
    <w:rsid w:val="003B042C"/>
    <w:rsid w:val="003C2126"/>
    <w:rsid w:val="003C4EAA"/>
    <w:rsid w:val="003C523C"/>
    <w:rsid w:val="003D7AC5"/>
    <w:rsid w:val="003E4F61"/>
    <w:rsid w:val="003E5CED"/>
    <w:rsid w:val="003F0847"/>
    <w:rsid w:val="003F16BE"/>
    <w:rsid w:val="00401B80"/>
    <w:rsid w:val="00401C4A"/>
    <w:rsid w:val="0040427B"/>
    <w:rsid w:val="00405D74"/>
    <w:rsid w:val="00406236"/>
    <w:rsid w:val="00406543"/>
    <w:rsid w:val="004167D1"/>
    <w:rsid w:val="00431406"/>
    <w:rsid w:val="00435563"/>
    <w:rsid w:val="0044202B"/>
    <w:rsid w:val="00444D86"/>
    <w:rsid w:val="00445D17"/>
    <w:rsid w:val="00446AD3"/>
    <w:rsid w:val="00450339"/>
    <w:rsid w:val="00456FC5"/>
    <w:rsid w:val="00463D50"/>
    <w:rsid w:val="0046670F"/>
    <w:rsid w:val="0047290F"/>
    <w:rsid w:val="004756AB"/>
    <w:rsid w:val="00483189"/>
    <w:rsid w:val="00483282"/>
    <w:rsid w:val="00485A6D"/>
    <w:rsid w:val="0049310F"/>
    <w:rsid w:val="0049495F"/>
    <w:rsid w:val="004A0A9C"/>
    <w:rsid w:val="004A130C"/>
    <w:rsid w:val="004A13CE"/>
    <w:rsid w:val="004A2219"/>
    <w:rsid w:val="004A468D"/>
    <w:rsid w:val="004A678E"/>
    <w:rsid w:val="004B13CF"/>
    <w:rsid w:val="004B4E7B"/>
    <w:rsid w:val="004C70AA"/>
    <w:rsid w:val="004E39F9"/>
    <w:rsid w:val="004E49E8"/>
    <w:rsid w:val="004F25BE"/>
    <w:rsid w:val="00502173"/>
    <w:rsid w:val="005026EC"/>
    <w:rsid w:val="00510C85"/>
    <w:rsid w:val="00513666"/>
    <w:rsid w:val="00521FF8"/>
    <w:rsid w:val="005229E7"/>
    <w:rsid w:val="00526877"/>
    <w:rsid w:val="00527192"/>
    <w:rsid w:val="005335B5"/>
    <w:rsid w:val="00547E3F"/>
    <w:rsid w:val="005505E1"/>
    <w:rsid w:val="00552B0B"/>
    <w:rsid w:val="005558F8"/>
    <w:rsid w:val="00564810"/>
    <w:rsid w:val="00564AEE"/>
    <w:rsid w:val="005706A6"/>
    <w:rsid w:val="005716A0"/>
    <w:rsid w:val="00571EBC"/>
    <w:rsid w:val="00572983"/>
    <w:rsid w:val="005932B4"/>
    <w:rsid w:val="00594065"/>
    <w:rsid w:val="005B3A25"/>
    <w:rsid w:val="005B5686"/>
    <w:rsid w:val="005B7A28"/>
    <w:rsid w:val="005D1CBF"/>
    <w:rsid w:val="005D3486"/>
    <w:rsid w:val="005D7C09"/>
    <w:rsid w:val="005E5CC3"/>
    <w:rsid w:val="005E7417"/>
    <w:rsid w:val="005F589D"/>
    <w:rsid w:val="00600321"/>
    <w:rsid w:val="00610943"/>
    <w:rsid w:val="006138F2"/>
    <w:rsid w:val="00622B55"/>
    <w:rsid w:val="006256AB"/>
    <w:rsid w:val="00626222"/>
    <w:rsid w:val="00641F8A"/>
    <w:rsid w:val="0065188C"/>
    <w:rsid w:val="00665FC1"/>
    <w:rsid w:val="00666F13"/>
    <w:rsid w:val="00676E6F"/>
    <w:rsid w:val="00681F7A"/>
    <w:rsid w:val="00687426"/>
    <w:rsid w:val="006927A5"/>
    <w:rsid w:val="00693836"/>
    <w:rsid w:val="006A5895"/>
    <w:rsid w:val="006B14B7"/>
    <w:rsid w:val="006B62BE"/>
    <w:rsid w:val="006C030B"/>
    <w:rsid w:val="006C0C54"/>
    <w:rsid w:val="006C379F"/>
    <w:rsid w:val="006D1AEC"/>
    <w:rsid w:val="006D3224"/>
    <w:rsid w:val="006D3E75"/>
    <w:rsid w:val="006D4E58"/>
    <w:rsid w:val="006D5332"/>
    <w:rsid w:val="006E3686"/>
    <w:rsid w:val="006E3B32"/>
    <w:rsid w:val="006F03CC"/>
    <w:rsid w:val="006F128E"/>
    <w:rsid w:val="006F2A65"/>
    <w:rsid w:val="006F7986"/>
    <w:rsid w:val="00701024"/>
    <w:rsid w:val="00716B75"/>
    <w:rsid w:val="00716CB0"/>
    <w:rsid w:val="00720ADE"/>
    <w:rsid w:val="00736973"/>
    <w:rsid w:val="00740D4C"/>
    <w:rsid w:val="00743C6F"/>
    <w:rsid w:val="0075180E"/>
    <w:rsid w:val="007567E7"/>
    <w:rsid w:val="007576BB"/>
    <w:rsid w:val="00765AE6"/>
    <w:rsid w:val="00777DAD"/>
    <w:rsid w:val="007917EB"/>
    <w:rsid w:val="00796906"/>
    <w:rsid w:val="0079748E"/>
    <w:rsid w:val="007A076D"/>
    <w:rsid w:val="007A7957"/>
    <w:rsid w:val="007B205E"/>
    <w:rsid w:val="007C3954"/>
    <w:rsid w:val="007D283F"/>
    <w:rsid w:val="007D2B6A"/>
    <w:rsid w:val="007D55E5"/>
    <w:rsid w:val="007E1976"/>
    <w:rsid w:val="007E1AEB"/>
    <w:rsid w:val="007E6D81"/>
    <w:rsid w:val="007F1188"/>
    <w:rsid w:val="007F1C0B"/>
    <w:rsid w:val="00802215"/>
    <w:rsid w:val="00802C26"/>
    <w:rsid w:val="00805A47"/>
    <w:rsid w:val="00806116"/>
    <w:rsid w:val="0081200A"/>
    <w:rsid w:val="008164F5"/>
    <w:rsid w:val="00832D00"/>
    <w:rsid w:val="0083579D"/>
    <w:rsid w:val="00840329"/>
    <w:rsid w:val="00846D03"/>
    <w:rsid w:val="0084737E"/>
    <w:rsid w:val="00876733"/>
    <w:rsid w:val="0088084B"/>
    <w:rsid w:val="008810D9"/>
    <w:rsid w:val="0088235A"/>
    <w:rsid w:val="00883571"/>
    <w:rsid w:val="00885F8A"/>
    <w:rsid w:val="00886E62"/>
    <w:rsid w:val="00887136"/>
    <w:rsid w:val="00896AA4"/>
    <w:rsid w:val="008A36D6"/>
    <w:rsid w:val="008B2FD7"/>
    <w:rsid w:val="008B3F8F"/>
    <w:rsid w:val="008C00AD"/>
    <w:rsid w:val="008C0128"/>
    <w:rsid w:val="008C3E19"/>
    <w:rsid w:val="008C6915"/>
    <w:rsid w:val="008D0ACE"/>
    <w:rsid w:val="008D1549"/>
    <w:rsid w:val="008D79A9"/>
    <w:rsid w:val="008F3CD1"/>
    <w:rsid w:val="00901B7C"/>
    <w:rsid w:val="009025C9"/>
    <w:rsid w:val="00902752"/>
    <w:rsid w:val="009027A5"/>
    <w:rsid w:val="00904DAC"/>
    <w:rsid w:val="00914475"/>
    <w:rsid w:val="00920925"/>
    <w:rsid w:val="00924080"/>
    <w:rsid w:val="00931707"/>
    <w:rsid w:val="0094551B"/>
    <w:rsid w:val="00960137"/>
    <w:rsid w:val="00964677"/>
    <w:rsid w:val="009655A4"/>
    <w:rsid w:val="00966247"/>
    <w:rsid w:val="00967792"/>
    <w:rsid w:val="00970984"/>
    <w:rsid w:val="00971BEE"/>
    <w:rsid w:val="00982AF1"/>
    <w:rsid w:val="0098453F"/>
    <w:rsid w:val="00990678"/>
    <w:rsid w:val="00990BE8"/>
    <w:rsid w:val="00995D25"/>
    <w:rsid w:val="00997BD6"/>
    <w:rsid w:val="009A4157"/>
    <w:rsid w:val="009B0046"/>
    <w:rsid w:val="009C18C4"/>
    <w:rsid w:val="009C527E"/>
    <w:rsid w:val="009C7035"/>
    <w:rsid w:val="009E65FB"/>
    <w:rsid w:val="009F719D"/>
    <w:rsid w:val="00A024BF"/>
    <w:rsid w:val="00A1653D"/>
    <w:rsid w:val="00A2559F"/>
    <w:rsid w:val="00A31466"/>
    <w:rsid w:val="00A361BB"/>
    <w:rsid w:val="00A5102A"/>
    <w:rsid w:val="00A60836"/>
    <w:rsid w:val="00A6651B"/>
    <w:rsid w:val="00A66685"/>
    <w:rsid w:val="00A714E0"/>
    <w:rsid w:val="00A7610E"/>
    <w:rsid w:val="00A8505A"/>
    <w:rsid w:val="00A900B2"/>
    <w:rsid w:val="00A929B3"/>
    <w:rsid w:val="00A946A3"/>
    <w:rsid w:val="00A95F20"/>
    <w:rsid w:val="00A9661A"/>
    <w:rsid w:val="00A96D28"/>
    <w:rsid w:val="00AB60A2"/>
    <w:rsid w:val="00AC1C45"/>
    <w:rsid w:val="00AC547C"/>
    <w:rsid w:val="00AD1EC6"/>
    <w:rsid w:val="00AD5141"/>
    <w:rsid w:val="00AE3285"/>
    <w:rsid w:val="00AF1D60"/>
    <w:rsid w:val="00AF49E4"/>
    <w:rsid w:val="00B02989"/>
    <w:rsid w:val="00B1589E"/>
    <w:rsid w:val="00B25585"/>
    <w:rsid w:val="00B2583B"/>
    <w:rsid w:val="00B30511"/>
    <w:rsid w:val="00B323BC"/>
    <w:rsid w:val="00B37E4C"/>
    <w:rsid w:val="00B40D57"/>
    <w:rsid w:val="00B40FF2"/>
    <w:rsid w:val="00B41907"/>
    <w:rsid w:val="00B42ACA"/>
    <w:rsid w:val="00B46772"/>
    <w:rsid w:val="00B54434"/>
    <w:rsid w:val="00B5600C"/>
    <w:rsid w:val="00B6219C"/>
    <w:rsid w:val="00B65EF8"/>
    <w:rsid w:val="00B72B05"/>
    <w:rsid w:val="00B84195"/>
    <w:rsid w:val="00B9519F"/>
    <w:rsid w:val="00BA372E"/>
    <w:rsid w:val="00BA789F"/>
    <w:rsid w:val="00BB576F"/>
    <w:rsid w:val="00BB737A"/>
    <w:rsid w:val="00BC1752"/>
    <w:rsid w:val="00BC4AE2"/>
    <w:rsid w:val="00BC71FF"/>
    <w:rsid w:val="00BD0CAC"/>
    <w:rsid w:val="00BD347C"/>
    <w:rsid w:val="00BD7246"/>
    <w:rsid w:val="00BE1B1F"/>
    <w:rsid w:val="00BE1FF6"/>
    <w:rsid w:val="00BE4225"/>
    <w:rsid w:val="00BE5BB1"/>
    <w:rsid w:val="00BE67B4"/>
    <w:rsid w:val="00BE69A3"/>
    <w:rsid w:val="00BF3E1B"/>
    <w:rsid w:val="00BF4C48"/>
    <w:rsid w:val="00BF60AE"/>
    <w:rsid w:val="00BF6409"/>
    <w:rsid w:val="00BF7454"/>
    <w:rsid w:val="00C018FC"/>
    <w:rsid w:val="00C0453D"/>
    <w:rsid w:val="00C04A67"/>
    <w:rsid w:val="00C0542C"/>
    <w:rsid w:val="00C05434"/>
    <w:rsid w:val="00C05482"/>
    <w:rsid w:val="00C11828"/>
    <w:rsid w:val="00C15E9F"/>
    <w:rsid w:val="00C1630B"/>
    <w:rsid w:val="00C31F0A"/>
    <w:rsid w:val="00C33DCE"/>
    <w:rsid w:val="00C42E47"/>
    <w:rsid w:val="00C546AD"/>
    <w:rsid w:val="00C56F9C"/>
    <w:rsid w:val="00C60066"/>
    <w:rsid w:val="00C608CB"/>
    <w:rsid w:val="00C6794B"/>
    <w:rsid w:val="00C71794"/>
    <w:rsid w:val="00C72C95"/>
    <w:rsid w:val="00C7406F"/>
    <w:rsid w:val="00C7593C"/>
    <w:rsid w:val="00C85D76"/>
    <w:rsid w:val="00C860D2"/>
    <w:rsid w:val="00C87AE6"/>
    <w:rsid w:val="00C923D1"/>
    <w:rsid w:val="00C95F94"/>
    <w:rsid w:val="00CA61C1"/>
    <w:rsid w:val="00CA6EA3"/>
    <w:rsid w:val="00CC3D9F"/>
    <w:rsid w:val="00CC4B1A"/>
    <w:rsid w:val="00CC5C3D"/>
    <w:rsid w:val="00CC7879"/>
    <w:rsid w:val="00CD2885"/>
    <w:rsid w:val="00CD57F0"/>
    <w:rsid w:val="00CE0CFA"/>
    <w:rsid w:val="00CE7F10"/>
    <w:rsid w:val="00CF3401"/>
    <w:rsid w:val="00CF728B"/>
    <w:rsid w:val="00D03895"/>
    <w:rsid w:val="00D06765"/>
    <w:rsid w:val="00D10863"/>
    <w:rsid w:val="00D10B32"/>
    <w:rsid w:val="00D12107"/>
    <w:rsid w:val="00D15C08"/>
    <w:rsid w:val="00D16356"/>
    <w:rsid w:val="00D22734"/>
    <w:rsid w:val="00D26344"/>
    <w:rsid w:val="00D32B8E"/>
    <w:rsid w:val="00D40D9E"/>
    <w:rsid w:val="00D51E16"/>
    <w:rsid w:val="00D533EB"/>
    <w:rsid w:val="00D6033C"/>
    <w:rsid w:val="00D60722"/>
    <w:rsid w:val="00D705C6"/>
    <w:rsid w:val="00D70710"/>
    <w:rsid w:val="00D73E4A"/>
    <w:rsid w:val="00D77852"/>
    <w:rsid w:val="00D81EA9"/>
    <w:rsid w:val="00D83D5E"/>
    <w:rsid w:val="00D86168"/>
    <w:rsid w:val="00D87639"/>
    <w:rsid w:val="00D9129C"/>
    <w:rsid w:val="00D959C1"/>
    <w:rsid w:val="00D95C22"/>
    <w:rsid w:val="00D97F4F"/>
    <w:rsid w:val="00DB6FEF"/>
    <w:rsid w:val="00DB761A"/>
    <w:rsid w:val="00DC299B"/>
    <w:rsid w:val="00DC6564"/>
    <w:rsid w:val="00DD46FC"/>
    <w:rsid w:val="00DE3FB0"/>
    <w:rsid w:val="00DE43FA"/>
    <w:rsid w:val="00DF0BF3"/>
    <w:rsid w:val="00E00751"/>
    <w:rsid w:val="00E07930"/>
    <w:rsid w:val="00E13C9F"/>
    <w:rsid w:val="00E16EB9"/>
    <w:rsid w:val="00E248D0"/>
    <w:rsid w:val="00E321BF"/>
    <w:rsid w:val="00E330AB"/>
    <w:rsid w:val="00E375A5"/>
    <w:rsid w:val="00E4383D"/>
    <w:rsid w:val="00E503BE"/>
    <w:rsid w:val="00E547A1"/>
    <w:rsid w:val="00E60A9A"/>
    <w:rsid w:val="00E60F28"/>
    <w:rsid w:val="00E648C2"/>
    <w:rsid w:val="00E67D3F"/>
    <w:rsid w:val="00E7129C"/>
    <w:rsid w:val="00E775B5"/>
    <w:rsid w:val="00E87253"/>
    <w:rsid w:val="00E94330"/>
    <w:rsid w:val="00E95EC3"/>
    <w:rsid w:val="00EA62C2"/>
    <w:rsid w:val="00EA66BD"/>
    <w:rsid w:val="00EB3DE1"/>
    <w:rsid w:val="00EC2C93"/>
    <w:rsid w:val="00EC4D1A"/>
    <w:rsid w:val="00EC64CB"/>
    <w:rsid w:val="00EC70BD"/>
    <w:rsid w:val="00ED2298"/>
    <w:rsid w:val="00ED411B"/>
    <w:rsid w:val="00EE668E"/>
    <w:rsid w:val="00EF0BC5"/>
    <w:rsid w:val="00EF7EA0"/>
    <w:rsid w:val="00F03435"/>
    <w:rsid w:val="00F10A57"/>
    <w:rsid w:val="00F13DD2"/>
    <w:rsid w:val="00F23C56"/>
    <w:rsid w:val="00F253FA"/>
    <w:rsid w:val="00F3324D"/>
    <w:rsid w:val="00F41439"/>
    <w:rsid w:val="00F41BBD"/>
    <w:rsid w:val="00F42979"/>
    <w:rsid w:val="00F43051"/>
    <w:rsid w:val="00F43E70"/>
    <w:rsid w:val="00F4424A"/>
    <w:rsid w:val="00F4714B"/>
    <w:rsid w:val="00F5298E"/>
    <w:rsid w:val="00F52F7D"/>
    <w:rsid w:val="00F56BA7"/>
    <w:rsid w:val="00F73CB6"/>
    <w:rsid w:val="00F7790E"/>
    <w:rsid w:val="00F77FF7"/>
    <w:rsid w:val="00F867FF"/>
    <w:rsid w:val="00F9152F"/>
    <w:rsid w:val="00F94147"/>
    <w:rsid w:val="00F941BC"/>
    <w:rsid w:val="00F9521A"/>
    <w:rsid w:val="00F957BF"/>
    <w:rsid w:val="00FA03B9"/>
    <w:rsid w:val="00FC0753"/>
    <w:rsid w:val="00FD49BB"/>
    <w:rsid w:val="00FE1A09"/>
    <w:rsid w:val="00FE78D1"/>
    <w:rsid w:val="00FF049D"/>
    <w:rsid w:val="00FF20FA"/>
    <w:rsid w:val="00FF6F01"/>
    <w:rsid w:val="014F1900"/>
    <w:rsid w:val="01B54964"/>
    <w:rsid w:val="01C653B8"/>
    <w:rsid w:val="02137486"/>
    <w:rsid w:val="023408B1"/>
    <w:rsid w:val="027C719B"/>
    <w:rsid w:val="02A21B81"/>
    <w:rsid w:val="02C72A54"/>
    <w:rsid w:val="02DC2261"/>
    <w:rsid w:val="0319799A"/>
    <w:rsid w:val="03252D0C"/>
    <w:rsid w:val="034D53D9"/>
    <w:rsid w:val="035624E1"/>
    <w:rsid w:val="036349B7"/>
    <w:rsid w:val="03BA7AEF"/>
    <w:rsid w:val="03E90186"/>
    <w:rsid w:val="040521C2"/>
    <w:rsid w:val="04056156"/>
    <w:rsid w:val="04332303"/>
    <w:rsid w:val="044A26C8"/>
    <w:rsid w:val="04751E16"/>
    <w:rsid w:val="04C54725"/>
    <w:rsid w:val="04CE4E8A"/>
    <w:rsid w:val="0518455A"/>
    <w:rsid w:val="052E1468"/>
    <w:rsid w:val="05782769"/>
    <w:rsid w:val="057C79F5"/>
    <w:rsid w:val="058658EF"/>
    <w:rsid w:val="058D2720"/>
    <w:rsid w:val="05966AF2"/>
    <w:rsid w:val="05A951C4"/>
    <w:rsid w:val="05DA5E72"/>
    <w:rsid w:val="0615392F"/>
    <w:rsid w:val="064E5053"/>
    <w:rsid w:val="06B0798D"/>
    <w:rsid w:val="06B51587"/>
    <w:rsid w:val="06B64DC2"/>
    <w:rsid w:val="06C61735"/>
    <w:rsid w:val="06F03FD7"/>
    <w:rsid w:val="07062D40"/>
    <w:rsid w:val="071945C3"/>
    <w:rsid w:val="072B2DC7"/>
    <w:rsid w:val="073E01D8"/>
    <w:rsid w:val="0751403A"/>
    <w:rsid w:val="07525A38"/>
    <w:rsid w:val="0797247D"/>
    <w:rsid w:val="07B31132"/>
    <w:rsid w:val="07CC713C"/>
    <w:rsid w:val="07D1692F"/>
    <w:rsid w:val="07D3473C"/>
    <w:rsid w:val="07F71AF9"/>
    <w:rsid w:val="08A03B4B"/>
    <w:rsid w:val="08A765DA"/>
    <w:rsid w:val="08CF16BB"/>
    <w:rsid w:val="08F427B2"/>
    <w:rsid w:val="090565BD"/>
    <w:rsid w:val="090826FC"/>
    <w:rsid w:val="093C55A3"/>
    <w:rsid w:val="093E70CC"/>
    <w:rsid w:val="095D654F"/>
    <w:rsid w:val="096C46D7"/>
    <w:rsid w:val="098E50E4"/>
    <w:rsid w:val="09972349"/>
    <w:rsid w:val="09E92446"/>
    <w:rsid w:val="0A13767F"/>
    <w:rsid w:val="0A28285E"/>
    <w:rsid w:val="0A46550A"/>
    <w:rsid w:val="0A6546F3"/>
    <w:rsid w:val="0A744B42"/>
    <w:rsid w:val="0AAA3ED5"/>
    <w:rsid w:val="0AAB3779"/>
    <w:rsid w:val="0AB1237A"/>
    <w:rsid w:val="0AFB6005"/>
    <w:rsid w:val="0AFB60C7"/>
    <w:rsid w:val="0B013261"/>
    <w:rsid w:val="0B173F7D"/>
    <w:rsid w:val="0B391EC3"/>
    <w:rsid w:val="0B723D48"/>
    <w:rsid w:val="0B85499C"/>
    <w:rsid w:val="0B9865AF"/>
    <w:rsid w:val="0BA1308D"/>
    <w:rsid w:val="0BAF0799"/>
    <w:rsid w:val="0BCD0961"/>
    <w:rsid w:val="0C1E49B4"/>
    <w:rsid w:val="0C4C0718"/>
    <w:rsid w:val="0C51324D"/>
    <w:rsid w:val="0C6344D4"/>
    <w:rsid w:val="0C772639"/>
    <w:rsid w:val="0C846EFB"/>
    <w:rsid w:val="0CB231EF"/>
    <w:rsid w:val="0CC47DEE"/>
    <w:rsid w:val="0CCF3AA1"/>
    <w:rsid w:val="0CD16A70"/>
    <w:rsid w:val="0D087213"/>
    <w:rsid w:val="0D0D75FA"/>
    <w:rsid w:val="0D26143F"/>
    <w:rsid w:val="0D307A67"/>
    <w:rsid w:val="0D3C4E9D"/>
    <w:rsid w:val="0D60466F"/>
    <w:rsid w:val="0D624E8D"/>
    <w:rsid w:val="0D847E20"/>
    <w:rsid w:val="0DAE414E"/>
    <w:rsid w:val="0DDF444C"/>
    <w:rsid w:val="0DE15737"/>
    <w:rsid w:val="0DF0228A"/>
    <w:rsid w:val="0E1F162A"/>
    <w:rsid w:val="0E711E9E"/>
    <w:rsid w:val="0EB602E0"/>
    <w:rsid w:val="0EBD51D0"/>
    <w:rsid w:val="0F0332BA"/>
    <w:rsid w:val="0F3C3D72"/>
    <w:rsid w:val="0F3E426F"/>
    <w:rsid w:val="0F544605"/>
    <w:rsid w:val="0F977D51"/>
    <w:rsid w:val="0FA8468C"/>
    <w:rsid w:val="0FB876F2"/>
    <w:rsid w:val="0FC30FCC"/>
    <w:rsid w:val="0FD668D4"/>
    <w:rsid w:val="101C3B0F"/>
    <w:rsid w:val="105814D5"/>
    <w:rsid w:val="105A0396"/>
    <w:rsid w:val="10802061"/>
    <w:rsid w:val="10870137"/>
    <w:rsid w:val="10884753"/>
    <w:rsid w:val="10A80AA6"/>
    <w:rsid w:val="10B80FE9"/>
    <w:rsid w:val="10C80048"/>
    <w:rsid w:val="11027B7A"/>
    <w:rsid w:val="11055FA0"/>
    <w:rsid w:val="11220A33"/>
    <w:rsid w:val="119A4764"/>
    <w:rsid w:val="11D855A4"/>
    <w:rsid w:val="121F323F"/>
    <w:rsid w:val="122C051B"/>
    <w:rsid w:val="12401CB0"/>
    <w:rsid w:val="12596A52"/>
    <w:rsid w:val="12946E0A"/>
    <w:rsid w:val="12BD095F"/>
    <w:rsid w:val="12D039E8"/>
    <w:rsid w:val="12E21CD4"/>
    <w:rsid w:val="13106BB2"/>
    <w:rsid w:val="1319098D"/>
    <w:rsid w:val="131D233B"/>
    <w:rsid w:val="13212BA8"/>
    <w:rsid w:val="13320931"/>
    <w:rsid w:val="136F6586"/>
    <w:rsid w:val="13B46240"/>
    <w:rsid w:val="13D6188A"/>
    <w:rsid w:val="13DE3C6C"/>
    <w:rsid w:val="13EB63AC"/>
    <w:rsid w:val="13EF1D15"/>
    <w:rsid w:val="13F35025"/>
    <w:rsid w:val="13F40593"/>
    <w:rsid w:val="14A92703"/>
    <w:rsid w:val="14E075C1"/>
    <w:rsid w:val="14F26840"/>
    <w:rsid w:val="14FF4372"/>
    <w:rsid w:val="152A58ED"/>
    <w:rsid w:val="155E1021"/>
    <w:rsid w:val="158C4EE6"/>
    <w:rsid w:val="15AA7B75"/>
    <w:rsid w:val="15D02C45"/>
    <w:rsid w:val="16486142"/>
    <w:rsid w:val="16543A78"/>
    <w:rsid w:val="166E4D5D"/>
    <w:rsid w:val="166E61AC"/>
    <w:rsid w:val="167F57A3"/>
    <w:rsid w:val="16A75515"/>
    <w:rsid w:val="16D863B9"/>
    <w:rsid w:val="16F0060C"/>
    <w:rsid w:val="16F0105D"/>
    <w:rsid w:val="16FA727A"/>
    <w:rsid w:val="17AB25CA"/>
    <w:rsid w:val="18187FEE"/>
    <w:rsid w:val="184F2001"/>
    <w:rsid w:val="186009FD"/>
    <w:rsid w:val="18810377"/>
    <w:rsid w:val="18923D74"/>
    <w:rsid w:val="18C02394"/>
    <w:rsid w:val="18C64B2A"/>
    <w:rsid w:val="18D23AD4"/>
    <w:rsid w:val="18D27F6A"/>
    <w:rsid w:val="191C6A9A"/>
    <w:rsid w:val="192A177B"/>
    <w:rsid w:val="193611D6"/>
    <w:rsid w:val="193C5A51"/>
    <w:rsid w:val="194F09F2"/>
    <w:rsid w:val="197A12D1"/>
    <w:rsid w:val="19CF51FA"/>
    <w:rsid w:val="19D8676E"/>
    <w:rsid w:val="19E078B2"/>
    <w:rsid w:val="19ED54DA"/>
    <w:rsid w:val="1A1B1340"/>
    <w:rsid w:val="1A4B73F8"/>
    <w:rsid w:val="1A6A2851"/>
    <w:rsid w:val="1A6E2E49"/>
    <w:rsid w:val="1A8A2750"/>
    <w:rsid w:val="1A97528D"/>
    <w:rsid w:val="1AB542A8"/>
    <w:rsid w:val="1AB82759"/>
    <w:rsid w:val="1AE05D3D"/>
    <w:rsid w:val="1AEC4CCA"/>
    <w:rsid w:val="1B5B1B98"/>
    <w:rsid w:val="1B8A7E00"/>
    <w:rsid w:val="1BB4154F"/>
    <w:rsid w:val="1BB57422"/>
    <w:rsid w:val="1C0C57E9"/>
    <w:rsid w:val="1C491D1E"/>
    <w:rsid w:val="1C691F57"/>
    <w:rsid w:val="1C816F46"/>
    <w:rsid w:val="1CA727B6"/>
    <w:rsid w:val="1CAB1996"/>
    <w:rsid w:val="1CBE655F"/>
    <w:rsid w:val="1CCB5770"/>
    <w:rsid w:val="1D1E7F28"/>
    <w:rsid w:val="1D3C5B10"/>
    <w:rsid w:val="1D575954"/>
    <w:rsid w:val="1D753A9A"/>
    <w:rsid w:val="1D8339A4"/>
    <w:rsid w:val="1D9A0824"/>
    <w:rsid w:val="1DA03A52"/>
    <w:rsid w:val="1DB531F6"/>
    <w:rsid w:val="1DC41029"/>
    <w:rsid w:val="1DCB6EB2"/>
    <w:rsid w:val="1DD26E87"/>
    <w:rsid w:val="1DE1299D"/>
    <w:rsid w:val="1E08702D"/>
    <w:rsid w:val="1E195E2F"/>
    <w:rsid w:val="1E1D38B7"/>
    <w:rsid w:val="1E7F6A1E"/>
    <w:rsid w:val="1E9547D4"/>
    <w:rsid w:val="1EB2327E"/>
    <w:rsid w:val="1EDE0EE7"/>
    <w:rsid w:val="1F670526"/>
    <w:rsid w:val="1F757FDA"/>
    <w:rsid w:val="1F8E0998"/>
    <w:rsid w:val="1FC110E7"/>
    <w:rsid w:val="1FCE30FB"/>
    <w:rsid w:val="1FF05C95"/>
    <w:rsid w:val="200C01CD"/>
    <w:rsid w:val="201A252C"/>
    <w:rsid w:val="202A0EDD"/>
    <w:rsid w:val="20353287"/>
    <w:rsid w:val="205D2041"/>
    <w:rsid w:val="209D7395"/>
    <w:rsid w:val="20E251BC"/>
    <w:rsid w:val="20EE4B23"/>
    <w:rsid w:val="20EE617D"/>
    <w:rsid w:val="20F7279B"/>
    <w:rsid w:val="210F50A1"/>
    <w:rsid w:val="2129027E"/>
    <w:rsid w:val="216A37F7"/>
    <w:rsid w:val="217249D4"/>
    <w:rsid w:val="219D773A"/>
    <w:rsid w:val="21CF1286"/>
    <w:rsid w:val="21D67F58"/>
    <w:rsid w:val="21F2176A"/>
    <w:rsid w:val="221C4B58"/>
    <w:rsid w:val="221D766F"/>
    <w:rsid w:val="225677DA"/>
    <w:rsid w:val="22C05DD9"/>
    <w:rsid w:val="23296194"/>
    <w:rsid w:val="234001C1"/>
    <w:rsid w:val="23406C7C"/>
    <w:rsid w:val="23436E63"/>
    <w:rsid w:val="2353579D"/>
    <w:rsid w:val="236E5424"/>
    <w:rsid w:val="23715EB5"/>
    <w:rsid w:val="238724EC"/>
    <w:rsid w:val="23A76AAC"/>
    <w:rsid w:val="23BF79E7"/>
    <w:rsid w:val="23D36F0C"/>
    <w:rsid w:val="24094CE3"/>
    <w:rsid w:val="242464D4"/>
    <w:rsid w:val="24735F79"/>
    <w:rsid w:val="2488380A"/>
    <w:rsid w:val="24AC4B83"/>
    <w:rsid w:val="2519133B"/>
    <w:rsid w:val="251A231D"/>
    <w:rsid w:val="25433A72"/>
    <w:rsid w:val="255F5740"/>
    <w:rsid w:val="25980086"/>
    <w:rsid w:val="268176B9"/>
    <w:rsid w:val="26B0322F"/>
    <w:rsid w:val="26B74931"/>
    <w:rsid w:val="26D9599C"/>
    <w:rsid w:val="271D72CC"/>
    <w:rsid w:val="276C5541"/>
    <w:rsid w:val="278207F2"/>
    <w:rsid w:val="27A44416"/>
    <w:rsid w:val="27C533B6"/>
    <w:rsid w:val="27D9538D"/>
    <w:rsid w:val="281A0A61"/>
    <w:rsid w:val="282946ED"/>
    <w:rsid w:val="283A51F5"/>
    <w:rsid w:val="28514759"/>
    <w:rsid w:val="28577D5A"/>
    <w:rsid w:val="28806846"/>
    <w:rsid w:val="28AD4355"/>
    <w:rsid w:val="28BC1800"/>
    <w:rsid w:val="28DE1CC4"/>
    <w:rsid w:val="29052F1C"/>
    <w:rsid w:val="29145104"/>
    <w:rsid w:val="29DF7295"/>
    <w:rsid w:val="2A070CF0"/>
    <w:rsid w:val="2A451E1C"/>
    <w:rsid w:val="2A6141A4"/>
    <w:rsid w:val="2A7665B7"/>
    <w:rsid w:val="2A9A6448"/>
    <w:rsid w:val="2AA93353"/>
    <w:rsid w:val="2B1D11AB"/>
    <w:rsid w:val="2B1F51AF"/>
    <w:rsid w:val="2B31734C"/>
    <w:rsid w:val="2B5D4747"/>
    <w:rsid w:val="2B955EA0"/>
    <w:rsid w:val="2BD753BB"/>
    <w:rsid w:val="2C0A4740"/>
    <w:rsid w:val="2C63435E"/>
    <w:rsid w:val="2C7B254D"/>
    <w:rsid w:val="2CA05377"/>
    <w:rsid w:val="2CC664AC"/>
    <w:rsid w:val="2D554F07"/>
    <w:rsid w:val="2D8D1BED"/>
    <w:rsid w:val="2D972076"/>
    <w:rsid w:val="2DA33455"/>
    <w:rsid w:val="2DB2483C"/>
    <w:rsid w:val="2DD2110D"/>
    <w:rsid w:val="2DF823AB"/>
    <w:rsid w:val="2E1314AA"/>
    <w:rsid w:val="2E5B632E"/>
    <w:rsid w:val="2E72370A"/>
    <w:rsid w:val="2EAE466C"/>
    <w:rsid w:val="2EAF6B8B"/>
    <w:rsid w:val="2EB00B72"/>
    <w:rsid w:val="2ECD62B2"/>
    <w:rsid w:val="2F0223A0"/>
    <w:rsid w:val="2F1368A7"/>
    <w:rsid w:val="2F3A494F"/>
    <w:rsid w:val="2F41615A"/>
    <w:rsid w:val="2F5D2175"/>
    <w:rsid w:val="2F6073CE"/>
    <w:rsid w:val="2F6865B8"/>
    <w:rsid w:val="2FAD7899"/>
    <w:rsid w:val="2FCD3695"/>
    <w:rsid w:val="2FD73499"/>
    <w:rsid w:val="2FE04BB6"/>
    <w:rsid w:val="2FE07087"/>
    <w:rsid w:val="2FE40B36"/>
    <w:rsid w:val="300C20B4"/>
    <w:rsid w:val="30896474"/>
    <w:rsid w:val="30AB209A"/>
    <w:rsid w:val="30BC15AC"/>
    <w:rsid w:val="30BF137E"/>
    <w:rsid w:val="30C529E6"/>
    <w:rsid w:val="30CC2DB7"/>
    <w:rsid w:val="30FA1DA6"/>
    <w:rsid w:val="30FD6E0D"/>
    <w:rsid w:val="312A4467"/>
    <w:rsid w:val="314A005B"/>
    <w:rsid w:val="316A7F74"/>
    <w:rsid w:val="31766E40"/>
    <w:rsid w:val="31AE23FD"/>
    <w:rsid w:val="31EB2673"/>
    <w:rsid w:val="320E3FB0"/>
    <w:rsid w:val="321777A9"/>
    <w:rsid w:val="32310784"/>
    <w:rsid w:val="324113E5"/>
    <w:rsid w:val="32A92FD6"/>
    <w:rsid w:val="32B14A4A"/>
    <w:rsid w:val="32B45836"/>
    <w:rsid w:val="32D115FA"/>
    <w:rsid w:val="32E24E84"/>
    <w:rsid w:val="32F91CA3"/>
    <w:rsid w:val="33386B45"/>
    <w:rsid w:val="33412FEF"/>
    <w:rsid w:val="33735666"/>
    <w:rsid w:val="337C7664"/>
    <w:rsid w:val="339D6643"/>
    <w:rsid w:val="33A45BF5"/>
    <w:rsid w:val="33BB2132"/>
    <w:rsid w:val="341A182D"/>
    <w:rsid w:val="341C54C2"/>
    <w:rsid w:val="34A51B4D"/>
    <w:rsid w:val="34A609A8"/>
    <w:rsid w:val="34D06ADA"/>
    <w:rsid w:val="34D31DD0"/>
    <w:rsid w:val="34DB27E9"/>
    <w:rsid w:val="3522368F"/>
    <w:rsid w:val="352939ED"/>
    <w:rsid w:val="353B16D9"/>
    <w:rsid w:val="35BE7B36"/>
    <w:rsid w:val="35E2408D"/>
    <w:rsid w:val="35FA36F0"/>
    <w:rsid w:val="36105143"/>
    <w:rsid w:val="361244A0"/>
    <w:rsid w:val="363D18CB"/>
    <w:rsid w:val="36606765"/>
    <w:rsid w:val="367C5CF7"/>
    <w:rsid w:val="36AE2800"/>
    <w:rsid w:val="36AF61A6"/>
    <w:rsid w:val="36D5157D"/>
    <w:rsid w:val="36F22F2A"/>
    <w:rsid w:val="37087FA5"/>
    <w:rsid w:val="37094544"/>
    <w:rsid w:val="373022EC"/>
    <w:rsid w:val="374F7F5E"/>
    <w:rsid w:val="375F2217"/>
    <w:rsid w:val="375F7874"/>
    <w:rsid w:val="37653EA9"/>
    <w:rsid w:val="379504B4"/>
    <w:rsid w:val="37951305"/>
    <w:rsid w:val="379A3976"/>
    <w:rsid w:val="37B17E1B"/>
    <w:rsid w:val="37E76A3C"/>
    <w:rsid w:val="37EA42CC"/>
    <w:rsid w:val="37EE1214"/>
    <w:rsid w:val="37FD0E52"/>
    <w:rsid w:val="384806D0"/>
    <w:rsid w:val="386F42BE"/>
    <w:rsid w:val="386F7DEE"/>
    <w:rsid w:val="3883386A"/>
    <w:rsid w:val="38F908DE"/>
    <w:rsid w:val="3945623E"/>
    <w:rsid w:val="3951756A"/>
    <w:rsid w:val="39625603"/>
    <w:rsid w:val="39E61149"/>
    <w:rsid w:val="3A170892"/>
    <w:rsid w:val="3A4827E1"/>
    <w:rsid w:val="3A650565"/>
    <w:rsid w:val="3A7D02DA"/>
    <w:rsid w:val="3ACE4F60"/>
    <w:rsid w:val="3AFA513F"/>
    <w:rsid w:val="3B057BF5"/>
    <w:rsid w:val="3B277069"/>
    <w:rsid w:val="3B361C03"/>
    <w:rsid w:val="3BA17EE2"/>
    <w:rsid w:val="3BA55641"/>
    <w:rsid w:val="3BB06DFF"/>
    <w:rsid w:val="3BC61FED"/>
    <w:rsid w:val="3BE5247C"/>
    <w:rsid w:val="3BE8228E"/>
    <w:rsid w:val="3BE85536"/>
    <w:rsid w:val="3BF12E73"/>
    <w:rsid w:val="3C151608"/>
    <w:rsid w:val="3C2261B8"/>
    <w:rsid w:val="3C9334D3"/>
    <w:rsid w:val="3CFA0F81"/>
    <w:rsid w:val="3D0B67A9"/>
    <w:rsid w:val="3D2B2DC0"/>
    <w:rsid w:val="3D3071F1"/>
    <w:rsid w:val="3D561A38"/>
    <w:rsid w:val="3D901CAB"/>
    <w:rsid w:val="3DA95776"/>
    <w:rsid w:val="3DB053A6"/>
    <w:rsid w:val="3DBF3BC6"/>
    <w:rsid w:val="3DC20E35"/>
    <w:rsid w:val="3DD14E4A"/>
    <w:rsid w:val="3DFE0E2B"/>
    <w:rsid w:val="3E622447"/>
    <w:rsid w:val="3E6A2312"/>
    <w:rsid w:val="3EC25415"/>
    <w:rsid w:val="3F161AB5"/>
    <w:rsid w:val="3F171200"/>
    <w:rsid w:val="3F297FC8"/>
    <w:rsid w:val="3FCA258C"/>
    <w:rsid w:val="3FE71854"/>
    <w:rsid w:val="4005343E"/>
    <w:rsid w:val="400D4518"/>
    <w:rsid w:val="40185CB9"/>
    <w:rsid w:val="402573A7"/>
    <w:rsid w:val="40415242"/>
    <w:rsid w:val="40423F68"/>
    <w:rsid w:val="405E5829"/>
    <w:rsid w:val="406877DF"/>
    <w:rsid w:val="406E73CF"/>
    <w:rsid w:val="40AC7D91"/>
    <w:rsid w:val="40D06640"/>
    <w:rsid w:val="40E66F1A"/>
    <w:rsid w:val="41803469"/>
    <w:rsid w:val="41890646"/>
    <w:rsid w:val="42087170"/>
    <w:rsid w:val="423C6243"/>
    <w:rsid w:val="423C7727"/>
    <w:rsid w:val="423D7D9F"/>
    <w:rsid w:val="424B5FFA"/>
    <w:rsid w:val="4256275D"/>
    <w:rsid w:val="428E3FFC"/>
    <w:rsid w:val="429F0113"/>
    <w:rsid w:val="42E7475F"/>
    <w:rsid w:val="42ED6270"/>
    <w:rsid w:val="43140953"/>
    <w:rsid w:val="433A2BE4"/>
    <w:rsid w:val="436D32FE"/>
    <w:rsid w:val="43C940AF"/>
    <w:rsid w:val="43CE0FEB"/>
    <w:rsid w:val="44077D52"/>
    <w:rsid w:val="44266446"/>
    <w:rsid w:val="443E4946"/>
    <w:rsid w:val="44721A12"/>
    <w:rsid w:val="4487307F"/>
    <w:rsid w:val="44873A9F"/>
    <w:rsid w:val="44F43B6B"/>
    <w:rsid w:val="45093769"/>
    <w:rsid w:val="4539539D"/>
    <w:rsid w:val="45441EAD"/>
    <w:rsid w:val="45467E46"/>
    <w:rsid w:val="4579599D"/>
    <w:rsid w:val="4607386D"/>
    <w:rsid w:val="462149F8"/>
    <w:rsid w:val="463442EE"/>
    <w:rsid w:val="464F411C"/>
    <w:rsid w:val="46545C70"/>
    <w:rsid w:val="46570558"/>
    <w:rsid w:val="46593F5B"/>
    <w:rsid w:val="465D2DCD"/>
    <w:rsid w:val="46790BAD"/>
    <w:rsid w:val="469939DD"/>
    <w:rsid w:val="46A13B37"/>
    <w:rsid w:val="46B41513"/>
    <w:rsid w:val="46D17757"/>
    <w:rsid w:val="471C31F5"/>
    <w:rsid w:val="474F3BD9"/>
    <w:rsid w:val="479725C2"/>
    <w:rsid w:val="47A53BBC"/>
    <w:rsid w:val="47AF19EC"/>
    <w:rsid w:val="47EE6A1C"/>
    <w:rsid w:val="480146F8"/>
    <w:rsid w:val="48B33D93"/>
    <w:rsid w:val="48B44C96"/>
    <w:rsid w:val="48C4140C"/>
    <w:rsid w:val="48E13E7A"/>
    <w:rsid w:val="48E6294B"/>
    <w:rsid w:val="49092C45"/>
    <w:rsid w:val="49216419"/>
    <w:rsid w:val="492260F9"/>
    <w:rsid w:val="493F1389"/>
    <w:rsid w:val="494C780D"/>
    <w:rsid w:val="496064E7"/>
    <w:rsid w:val="4965157D"/>
    <w:rsid w:val="4966677E"/>
    <w:rsid w:val="49697212"/>
    <w:rsid w:val="496C4FC4"/>
    <w:rsid w:val="497136C9"/>
    <w:rsid w:val="497E20E6"/>
    <w:rsid w:val="497F139C"/>
    <w:rsid w:val="49B66591"/>
    <w:rsid w:val="49CD15B2"/>
    <w:rsid w:val="49E033AB"/>
    <w:rsid w:val="4A3D207A"/>
    <w:rsid w:val="4A412204"/>
    <w:rsid w:val="4A9928BF"/>
    <w:rsid w:val="4ABB0019"/>
    <w:rsid w:val="4ABB77D5"/>
    <w:rsid w:val="4B3D1810"/>
    <w:rsid w:val="4B48413C"/>
    <w:rsid w:val="4B6A5958"/>
    <w:rsid w:val="4BC24208"/>
    <w:rsid w:val="4BC60CF9"/>
    <w:rsid w:val="4C0C5B0A"/>
    <w:rsid w:val="4C0C737C"/>
    <w:rsid w:val="4C165DE3"/>
    <w:rsid w:val="4C2747AD"/>
    <w:rsid w:val="4C3F4B95"/>
    <w:rsid w:val="4C3F6194"/>
    <w:rsid w:val="4CB13AC6"/>
    <w:rsid w:val="4CBE11BB"/>
    <w:rsid w:val="4CE21529"/>
    <w:rsid w:val="4CF25551"/>
    <w:rsid w:val="4D081CDB"/>
    <w:rsid w:val="4D0A7DB0"/>
    <w:rsid w:val="4D1039DF"/>
    <w:rsid w:val="4D753E24"/>
    <w:rsid w:val="4DC30297"/>
    <w:rsid w:val="4DEA01C1"/>
    <w:rsid w:val="4DF53A61"/>
    <w:rsid w:val="4E0F1D40"/>
    <w:rsid w:val="4E111675"/>
    <w:rsid w:val="4E124010"/>
    <w:rsid w:val="4E37575A"/>
    <w:rsid w:val="4E437C69"/>
    <w:rsid w:val="4E5F360A"/>
    <w:rsid w:val="4E623ADD"/>
    <w:rsid w:val="4E6328E1"/>
    <w:rsid w:val="4EA25BEC"/>
    <w:rsid w:val="4EB76D2E"/>
    <w:rsid w:val="4EC15076"/>
    <w:rsid w:val="4EC35A72"/>
    <w:rsid w:val="4EED0992"/>
    <w:rsid w:val="4F2268F2"/>
    <w:rsid w:val="4F2A3116"/>
    <w:rsid w:val="4F4E42E4"/>
    <w:rsid w:val="4F9229D0"/>
    <w:rsid w:val="4F9278D1"/>
    <w:rsid w:val="4FD4118D"/>
    <w:rsid w:val="4FEA5C55"/>
    <w:rsid w:val="4FED349B"/>
    <w:rsid w:val="50475AA7"/>
    <w:rsid w:val="50542FB5"/>
    <w:rsid w:val="506D6F23"/>
    <w:rsid w:val="508F55FD"/>
    <w:rsid w:val="50B6698A"/>
    <w:rsid w:val="50C85572"/>
    <w:rsid w:val="50E60422"/>
    <w:rsid w:val="51084F6D"/>
    <w:rsid w:val="5109784A"/>
    <w:rsid w:val="51131B17"/>
    <w:rsid w:val="51264A23"/>
    <w:rsid w:val="515157CB"/>
    <w:rsid w:val="51532371"/>
    <w:rsid w:val="51F229AD"/>
    <w:rsid w:val="521B4326"/>
    <w:rsid w:val="52352B41"/>
    <w:rsid w:val="524E4A53"/>
    <w:rsid w:val="525D2118"/>
    <w:rsid w:val="52B162B2"/>
    <w:rsid w:val="53053CD8"/>
    <w:rsid w:val="53210FC8"/>
    <w:rsid w:val="536478F7"/>
    <w:rsid w:val="536D70D7"/>
    <w:rsid w:val="53701149"/>
    <w:rsid w:val="53AC4D1F"/>
    <w:rsid w:val="53B34C9B"/>
    <w:rsid w:val="53D46B52"/>
    <w:rsid w:val="53D707B1"/>
    <w:rsid w:val="54143D79"/>
    <w:rsid w:val="547812BC"/>
    <w:rsid w:val="54BC4AFE"/>
    <w:rsid w:val="54CA668B"/>
    <w:rsid w:val="550B11B6"/>
    <w:rsid w:val="550C529B"/>
    <w:rsid w:val="551806F4"/>
    <w:rsid w:val="5521623F"/>
    <w:rsid w:val="55857E8E"/>
    <w:rsid w:val="559C07AC"/>
    <w:rsid w:val="55BD169C"/>
    <w:rsid w:val="55C839CB"/>
    <w:rsid w:val="55DC60EC"/>
    <w:rsid w:val="55E626F6"/>
    <w:rsid w:val="55F60346"/>
    <w:rsid w:val="56106516"/>
    <w:rsid w:val="56276F8D"/>
    <w:rsid w:val="56340B68"/>
    <w:rsid w:val="564F2CE7"/>
    <w:rsid w:val="566B5BAB"/>
    <w:rsid w:val="567024AF"/>
    <w:rsid w:val="568C13E4"/>
    <w:rsid w:val="5690758D"/>
    <w:rsid w:val="56CA4622"/>
    <w:rsid w:val="56D31D03"/>
    <w:rsid w:val="56E25FFC"/>
    <w:rsid w:val="570B1171"/>
    <w:rsid w:val="57252796"/>
    <w:rsid w:val="573E6AFB"/>
    <w:rsid w:val="577379B9"/>
    <w:rsid w:val="57D147F0"/>
    <w:rsid w:val="57EA5228"/>
    <w:rsid w:val="57F213DD"/>
    <w:rsid w:val="58201117"/>
    <w:rsid w:val="585467BF"/>
    <w:rsid w:val="58843F9D"/>
    <w:rsid w:val="58A511C9"/>
    <w:rsid w:val="58A542FE"/>
    <w:rsid w:val="58AC2F64"/>
    <w:rsid w:val="5927000E"/>
    <w:rsid w:val="59450D54"/>
    <w:rsid w:val="598218C1"/>
    <w:rsid w:val="598F051C"/>
    <w:rsid w:val="59BF1A60"/>
    <w:rsid w:val="59C62F87"/>
    <w:rsid w:val="59C773FA"/>
    <w:rsid w:val="59CE248E"/>
    <w:rsid w:val="59D57DAB"/>
    <w:rsid w:val="59E46A1C"/>
    <w:rsid w:val="59F971DC"/>
    <w:rsid w:val="5A0560E7"/>
    <w:rsid w:val="5A2820DE"/>
    <w:rsid w:val="5A3F6AE7"/>
    <w:rsid w:val="5A466728"/>
    <w:rsid w:val="5A687C44"/>
    <w:rsid w:val="5A7228A4"/>
    <w:rsid w:val="5A821F64"/>
    <w:rsid w:val="5A8C5C9D"/>
    <w:rsid w:val="5AAD31F0"/>
    <w:rsid w:val="5AC621B6"/>
    <w:rsid w:val="5AD223B4"/>
    <w:rsid w:val="5AEC4E67"/>
    <w:rsid w:val="5AF12D30"/>
    <w:rsid w:val="5AFB6322"/>
    <w:rsid w:val="5B0E05B5"/>
    <w:rsid w:val="5B1B3118"/>
    <w:rsid w:val="5B7F1FBF"/>
    <w:rsid w:val="5B7F343E"/>
    <w:rsid w:val="5BB6106F"/>
    <w:rsid w:val="5BCC77E1"/>
    <w:rsid w:val="5BF302E8"/>
    <w:rsid w:val="5BF804B6"/>
    <w:rsid w:val="5C5C5E00"/>
    <w:rsid w:val="5CD62524"/>
    <w:rsid w:val="5CFF0A98"/>
    <w:rsid w:val="5D227CF7"/>
    <w:rsid w:val="5D2A69E7"/>
    <w:rsid w:val="5D441980"/>
    <w:rsid w:val="5D6301F7"/>
    <w:rsid w:val="5D686DE1"/>
    <w:rsid w:val="5DC920F5"/>
    <w:rsid w:val="5DDD7A3A"/>
    <w:rsid w:val="5DEE025C"/>
    <w:rsid w:val="5DF16CF3"/>
    <w:rsid w:val="5E1B6643"/>
    <w:rsid w:val="5E203404"/>
    <w:rsid w:val="5E436461"/>
    <w:rsid w:val="5E4833A5"/>
    <w:rsid w:val="5E5A27DD"/>
    <w:rsid w:val="5EAA68F7"/>
    <w:rsid w:val="5ED85970"/>
    <w:rsid w:val="5EFB3EF3"/>
    <w:rsid w:val="5F24646E"/>
    <w:rsid w:val="5F3A59E9"/>
    <w:rsid w:val="5F3B6ACD"/>
    <w:rsid w:val="5F905FEB"/>
    <w:rsid w:val="5FA83C66"/>
    <w:rsid w:val="5FD53DDB"/>
    <w:rsid w:val="5FD90711"/>
    <w:rsid w:val="604C19AC"/>
    <w:rsid w:val="6089737F"/>
    <w:rsid w:val="60935EDF"/>
    <w:rsid w:val="60B2527E"/>
    <w:rsid w:val="611F7FEB"/>
    <w:rsid w:val="612F0AA2"/>
    <w:rsid w:val="61311157"/>
    <w:rsid w:val="614C685E"/>
    <w:rsid w:val="615F602F"/>
    <w:rsid w:val="616F46E8"/>
    <w:rsid w:val="618848B7"/>
    <w:rsid w:val="618F5F68"/>
    <w:rsid w:val="61A474C3"/>
    <w:rsid w:val="61A63CCC"/>
    <w:rsid w:val="61AB38FD"/>
    <w:rsid w:val="61FD04E0"/>
    <w:rsid w:val="6206028D"/>
    <w:rsid w:val="62093524"/>
    <w:rsid w:val="62147F4A"/>
    <w:rsid w:val="621963A8"/>
    <w:rsid w:val="629454D4"/>
    <w:rsid w:val="629A26BC"/>
    <w:rsid w:val="630B68D9"/>
    <w:rsid w:val="632A4E85"/>
    <w:rsid w:val="63357234"/>
    <w:rsid w:val="63466F7F"/>
    <w:rsid w:val="636E3BF8"/>
    <w:rsid w:val="638479A3"/>
    <w:rsid w:val="63B02C50"/>
    <w:rsid w:val="642A48B2"/>
    <w:rsid w:val="642F4285"/>
    <w:rsid w:val="64536E65"/>
    <w:rsid w:val="64780664"/>
    <w:rsid w:val="648C7CFD"/>
    <w:rsid w:val="64D01E42"/>
    <w:rsid w:val="64D811F5"/>
    <w:rsid w:val="64F752D0"/>
    <w:rsid w:val="65021BCE"/>
    <w:rsid w:val="65254AE6"/>
    <w:rsid w:val="65430253"/>
    <w:rsid w:val="6545379D"/>
    <w:rsid w:val="65705090"/>
    <w:rsid w:val="65882846"/>
    <w:rsid w:val="65A54121"/>
    <w:rsid w:val="65B64E4B"/>
    <w:rsid w:val="65D80CA8"/>
    <w:rsid w:val="65F6287D"/>
    <w:rsid w:val="6604458F"/>
    <w:rsid w:val="66AC311D"/>
    <w:rsid w:val="66D15760"/>
    <w:rsid w:val="67287C8B"/>
    <w:rsid w:val="675062E3"/>
    <w:rsid w:val="678C76EE"/>
    <w:rsid w:val="67A1509A"/>
    <w:rsid w:val="67C86D6E"/>
    <w:rsid w:val="67DC1C71"/>
    <w:rsid w:val="67EB1093"/>
    <w:rsid w:val="68121626"/>
    <w:rsid w:val="683632E0"/>
    <w:rsid w:val="68B45AAA"/>
    <w:rsid w:val="690E371C"/>
    <w:rsid w:val="694834DA"/>
    <w:rsid w:val="6979465B"/>
    <w:rsid w:val="697C5296"/>
    <w:rsid w:val="69D97353"/>
    <w:rsid w:val="69DD7D0C"/>
    <w:rsid w:val="6A050A2C"/>
    <w:rsid w:val="6A26114C"/>
    <w:rsid w:val="6B012D13"/>
    <w:rsid w:val="6B0E47A6"/>
    <w:rsid w:val="6B294766"/>
    <w:rsid w:val="6B5D070C"/>
    <w:rsid w:val="6B753CE8"/>
    <w:rsid w:val="6B9F39DA"/>
    <w:rsid w:val="6BA47C2E"/>
    <w:rsid w:val="6BA93887"/>
    <w:rsid w:val="6BB50D65"/>
    <w:rsid w:val="6BB847A2"/>
    <w:rsid w:val="6BC661AF"/>
    <w:rsid w:val="6BD36B24"/>
    <w:rsid w:val="6C006295"/>
    <w:rsid w:val="6C166DF6"/>
    <w:rsid w:val="6C2068AD"/>
    <w:rsid w:val="6C7C0452"/>
    <w:rsid w:val="6C997C7B"/>
    <w:rsid w:val="6CD110C7"/>
    <w:rsid w:val="6CD33FA2"/>
    <w:rsid w:val="6CD46560"/>
    <w:rsid w:val="6D267ABF"/>
    <w:rsid w:val="6D276908"/>
    <w:rsid w:val="6D2A33B4"/>
    <w:rsid w:val="6D402A8E"/>
    <w:rsid w:val="6D411C58"/>
    <w:rsid w:val="6D632FA0"/>
    <w:rsid w:val="6D7776BC"/>
    <w:rsid w:val="6DAB5116"/>
    <w:rsid w:val="6DE4346B"/>
    <w:rsid w:val="6DF30DDF"/>
    <w:rsid w:val="6DF51A92"/>
    <w:rsid w:val="6E017E33"/>
    <w:rsid w:val="6E047060"/>
    <w:rsid w:val="6E110270"/>
    <w:rsid w:val="6E5B5B20"/>
    <w:rsid w:val="6E714CAF"/>
    <w:rsid w:val="6E7553BE"/>
    <w:rsid w:val="6E756A56"/>
    <w:rsid w:val="6E840111"/>
    <w:rsid w:val="6EA5729D"/>
    <w:rsid w:val="6EC96062"/>
    <w:rsid w:val="6F2642E4"/>
    <w:rsid w:val="6F351FD0"/>
    <w:rsid w:val="6F3F7E71"/>
    <w:rsid w:val="6F661E84"/>
    <w:rsid w:val="6F783C4D"/>
    <w:rsid w:val="6F8A5B20"/>
    <w:rsid w:val="6F8A6BBB"/>
    <w:rsid w:val="6FB46195"/>
    <w:rsid w:val="6FE74354"/>
    <w:rsid w:val="70427B86"/>
    <w:rsid w:val="70704AB5"/>
    <w:rsid w:val="709119E7"/>
    <w:rsid w:val="70D951AA"/>
    <w:rsid w:val="70DB0BB9"/>
    <w:rsid w:val="7106701A"/>
    <w:rsid w:val="71380525"/>
    <w:rsid w:val="71395239"/>
    <w:rsid w:val="714A05B2"/>
    <w:rsid w:val="71603A0C"/>
    <w:rsid w:val="71CE0147"/>
    <w:rsid w:val="720A137F"/>
    <w:rsid w:val="7226706B"/>
    <w:rsid w:val="722D7747"/>
    <w:rsid w:val="7232345C"/>
    <w:rsid w:val="723838DC"/>
    <w:rsid w:val="725148A3"/>
    <w:rsid w:val="7287681C"/>
    <w:rsid w:val="72B76551"/>
    <w:rsid w:val="72C5753F"/>
    <w:rsid w:val="72C67E94"/>
    <w:rsid w:val="72D95E56"/>
    <w:rsid w:val="72DB4AEC"/>
    <w:rsid w:val="72E27CA5"/>
    <w:rsid w:val="730B2EE7"/>
    <w:rsid w:val="730D3218"/>
    <w:rsid w:val="73236827"/>
    <w:rsid w:val="738B2ACF"/>
    <w:rsid w:val="739D0639"/>
    <w:rsid w:val="73CE72CE"/>
    <w:rsid w:val="73EE5B7B"/>
    <w:rsid w:val="73F377E5"/>
    <w:rsid w:val="740D6066"/>
    <w:rsid w:val="741E3855"/>
    <w:rsid w:val="743A7711"/>
    <w:rsid w:val="743B4C32"/>
    <w:rsid w:val="74546572"/>
    <w:rsid w:val="746512A6"/>
    <w:rsid w:val="7475616D"/>
    <w:rsid w:val="74911FB8"/>
    <w:rsid w:val="74AE50DA"/>
    <w:rsid w:val="74B96A2A"/>
    <w:rsid w:val="74BC44C1"/>
    <w:rsid w:val="74C20DCB"/>
    <w:rsid w:val="75114857"/>
    <w:rsid w:val="753F31C4"/>
    <w:rsid w:val="75492CDE"/>
    <w:rsid w:val="75501D72"/>
    <w:rsid w:val="75521AE1"/>
    <w:rsid w:val="756067B5"/>
    <w:rsid w:val="75785910"/>
    <w:rsid w:val="75A3739E"/>
    <w:rsid w:val="75A61882"/>
    <w:rsid w:val="75A96E8B"/>
    <w:rsid w:val="76034811"/>
    <w:rsid w:val="76096250"/>
    <w:rsid w:val="763B19AA"/>
    <w:rsid w:val="764B5E35"/>
    <w:rsid w:val="765F6A66"/>
    <w:rsid w:val="76644A26"/>
    <w:rsid w:val="767017C7"/>
    <w:rsid w:val="76766ADD"/>
    <w:rsid w:val="768464C3"/>
    <w:rsid w:val="76BA0F3F"/>
    <w:rsid w:val="77155707"/>
    <w:rsid w:val="77432523"/>
    <w:rsid w:val="774B104B"/>
    <w:rsid w:val="7768780B"/>
    <w:rsid w:val="776A772F"/>
    <w:rsid w:val="77977539"/>
    <w:rsid w:val="779E1FCE"/>
    <w:rsid w:val="77FB1843"/>
    <w:rsid w:val="77FB4322"/>
    <w:rsid w:val="78022B0F"/>
    <w:rsid w:val="780D56CC"/>
    <w:rsid w:val="7849745D"/>
    <w:rsid w:val="785933AD"/>
    <w:rsid w:val="78D262C9"/>
    <w:rsid w:val="790659C1"/>
    <w:rsid w:val="790A2C68"/>
    <w:rsid w:val="796C71E7"/>
    <w:rsid w:val="799F63ED"/>
    <w:rsid w:val="79A43E25"/>
    <w:rsid w:val="79CA483B"/>
    <w:rsid w:val="79FD19E0"/>
    <w:rsid w:val="7A3C396D"/>
    <w:rsid w:val="7A3D38C1"/>
    <w:rsid w:val="7AD47EB9"/>
    <w:rsid w:val="7AF51025"/>
    <w:rsid w:val="7AF96004"/>
    <w:rsid w:val="7B0F60CA"/>
    <w:rsid w:val="7B2D7FA7"/>
    <w:rsid w:val="7B3356A9"/>
    <w:rsid w:val="7B583FDA"/>
    <w:rsid w:val="7B831787"/>
    <w:rsid w:val="7BD25776"/>
    <w:rsid w:val="7BEC632B"/>
    <w:rsid w:val="7C1F6121"/>
    <w:rsid w:val="7C2879C7"/>
    <w:rsid w:val="7C637038"/>
    <w:rsid w:val="7C702829"/>
    <w:rsid w:val="7CC750CA"/>
    <w:rsid w:val="7CF24905"/>
    <w:rsid w:val="7D44514C"/>
    <w:rsid w:val="7D573A08"/>
    <w:rsid w:val="7D5A3EC0"/>
    <w:rsid w:val="7D672DA1"/>
    <w:rsid w:val="7D7A0200"/>
    <w:rsid w:val="7DB86E1E"/>
    <w:rsid w:val="7DBB495F"/>
    <w:rsid w:val="7DBE55C0"/>
    <w:rsid w:val="7DE633E2"/>
    <w:rsid w:val="7E0A5915"/>
    <w:rsid w:val="7E0B2338"/>
    <w:rsid w:val="7E1C6F29"/>
    <w:rsid w:val="7E3125E3"/>
    <w:rsid w:val="7E4827F6"/>
    <w:rsid w:val="7E564DA0"/>
    <w:rsid w:val="7E7B667F"/>
    <w:rsid w:val="7E7D23E7"/>
    <w:rsid w:val="7ED546A7"/>
    <w:rsid w:val="7ED75590"/>
    <w:rsid w:val="7F060A7D"/>
    <w:rsid w:val="7F072CDC"/>
    <w:rsid w:val="7F497A01"/>
    <w:rsid w:val="7F54153B"/>
    <w:rsid w:val="7F754A41"/>
    <w:rsid w:val="7F833DFC"/>
    <w:rsid w:val="7FAA79AB"/>
    <w:rsid w:val="7FCA6A8A"/>
    <w:rsid w:val="7FD11BD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nhideWhenUsed="0" w:uiPriority="0" w:semiHidden="0" w:name="caption"/>
    <w:lsdException w:qFormat="1" w:unhideWhenUsed="0" w:uiPriority="0" w:name="table of figures"/>
    <w:lsdException w:qFormat="1" w:unhideWhenUsed="0" w:uiPriority="0" w:name="envelope address"/>
    <w:lsdException w:qFormat="1" w:unhideWhenUsed="0" w:uiPriority="0" w:name="envelope return"/>
    <w:lsdException w:qFormat="1" w:unhideWhenUsed="0" w:uiPriority="0" w:semiHidden="0" w:name="footnote reference"/>
    <w:lsdException w:qFormat="1" w:unhideWhenUsed="0" w:uiPriority="0" w:semiHidden="0" w:name="annotation reference"/>
    <w:lsdException w:qFormat="1" w:unhideWhenUsed="0"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name="List"/>
    <w:lsdException w:qFormat="1" w:unhideWhenUsed="0" w:uiPriority="0" w:name="List Bullet"/>
    <w:lsdException w:qFormat="1" w:unhideWhenUsed="0" w:uiPriority="0" w:name="List Number"/>
    <w:lsdException w:qFormat="1" w:unhideWhenUsed="0" w:uiPriority="0" w:name="List 2"/>
    <w:lsdException w:qFormat="1" w:unhideWhenUsed="0" w:uiPriority="0" w:name="List 3"/>
    <w:lsdException w:qFormat="1" w:unhideWhenUsed="0" w:uiPriority="0" w:name="List 4"/>
    <w:lsdException w:qFormat="1" w:unhideWhenUsed="0"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nhideWhenUsed="0" w:uiPriority="0" w:name="Body Text"/>
    <w:lsdException w:qFormat="1" w:unhideWhenUsed="0" w:uiPriority="0" w:name="Body Text Indent"/>
    <w:lsdException w:qFormat="1" w:unhideWhenUsed="0" w:uiPriority="0" w:name="List Continue"/>
    <w:lsdException w:qFormat="1" w:unhideWhenUsed="0" w:uiPriority="0" w:name="List Continue 2"/>
    <w:lsdException w:qFormat="1" w:unhideWhenUsed="0" w:uiPriority="0" w:name="List Continue 3"/>
    <w:lsdException w:qFormat="1" w:unhideWhenUsed="0" w:uiPriority="0" w:name="List Continue 4"/>
    <w:lsdException w:qFormat="1" w:unhideWhenUsed="0"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nhideWhenUsed="0" w:uiPriority="0" w:name="Block Text"/>
    <w:lsdException w:qFormat="1" w:unhideWhenUsed="0" w:uiPriority="99" w:semiHidden="0" w:name="Hyperlink"/>
    <w:lsdException w:qFormat="1" w:unhideWhenUsed="0"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nhideWhenUsed="0" w:uiPriority="0" w:name="HTML Acronym"/>
    <w:lsdException w:qFormat="1" w:unhideWhenUsed="0" w:uiPriority="0" w:name="HTML Address"/>
    <w:lsdException w:qFormat="1" w:unhideWhenUsed="0" w:uiPriority="0" w:name="HTML Cite"/>
    <w:lsdException w:qFormat="1" w:unhideWhenUsed="0" w:uiPriority="0" w:name="HTML Code"/>
    <w:lsdException w:qFormat="1" w:unhideWhenUsed="0" w:uiPriority="0" w:name="HTML Definition"/>
    <w:lsdException w:qFormat="1" w:unhideWhenUsed="0" w:uiPriority="0" w:name="HTML Keyboard"/>
    <w:lsdException w:qFormat="1" w:unhideWhenUsed="0" w:uiPriority="0" w:name="HTML Preformatted"/>
    <w:lsdException w:qFormat="1" w:unhideWhenUsed="0" w:uiPriority="0" w:name="HTML Sample"/>
    <w:lsdException w:qFormat="1" w:unhideWhenUsed="0" w:uiPriority="0" w:name="HTML Typewriter"/>
    <w:lsdException w:qFormat="1" w:unhideWhenUsed="0" w:uiPriority="0" w:name="HTML Variable"/>
    <w:lsdException w:qFormat="1" w:uiPriority="99" w:semiHidden="0" w:name="Normal Table"/>
    <w:lsdException w:qFormat="1" w:unhideWhenUsed="0" w:uiPriority="0" w:semiHidden="0" w:name="annotation subject"/>
    <w:lsdException w:qFormat="1" w:unhideWhenUsed="0" w:uiPriority="0" w:name="Table Simple 1"/>
    <w:lsdException w:qFormat="1" w:unhideWhenUsed="0" w:uiPriority="0" w:name="Table Simple 2"/>
    <w:lsdException w:qFormat="1" w:unhideWhenUsed="0" w:uiPriority="0" w:name="Table Simple 3"/>
    <w:lsdException w:qFormat="1" w:unhideWhenUsed="0" w:uiPriority="0" w:name="Table Classic 1"/>
    <w:lsdException w:qFormat="1" w:unhideWhenUsed="0" w:uiPriority="0" w:name="Table Classic 2"/>
    <w:lsdException w:qFormat="1" w:unhideWhenUsed="0" w:uiPriority="0" w:name="Table Classic 3"/>
    <w:lsdException w:qFormat="1" w:unhideWhenUsed="0" w:uiPriority="0" w:name="Table Classic 4"/>
    <w:lsdException w:qFormat="1" w:unhideWhenUsed="0" w:uiPriority="0" w:name="Table Colorful 1"/>
    <w:lsdException w:qFormat="1" w:unhideWhenUsed="0" w:uiPriority="0" w:name="Table Colorful 2"/>
    <w:lsdException w:qFormat="1" w:unhideWhenUsed="0" w:uiPriority="0" w:name="Table Colorful 3"/>
    <w:lsdException w:qFormat="1" w:unhideWhenUsed="0" w:uiPriority="0" w:name="Table Columns 1"/>
    <w:lsdException w:qFormat="1" w:unhideWhenUsed="0" w:uiPriority="0" w:name="Table Columns 2"/>
    <w:lsdException w:qFormat="1" w:unhideWhenUsed="0" w:uiPriority="0" w:name="Table Columns 3"/>
    <w:lsdException w:qFormat="1" w:unhideWhenUsed="0" w:uiPriority="0" w:name="Table Columns 4"/>
    <w:lsdException w:qFormat="1" w:unhideWhenUsed="0" w:uiPriority="0" w:name="Table Columns 5"/>
    <w:lsdException w:qFormat="1" w:unhideWhenUsed="0" w:uiPriority="0" w:name="Table Grid 1"/>
    <w:lsdException w:qFormat="1" w:unhideWhenUsed="0" w:uiPriority="0" w:name="Table Grid 2"/>
    <w:lsdException w:qFormat="1" w:unhideWhenUsed="0" w:uiPriority="0" w:name="Table Grid 3"/>
    <w:lsdException w:qFormat="1" w:unhideWhenUsed="0" w:uiPriority="0" w:name="Table Grid 4"/>
    <w:lsdException w:qFormat="1" w:unhideWhenUsed="0" w:uiPriority="0" w:name="Table Grid 5"/>
    <w:lsdException w:qFormat="1" w:unhideWhenUsed="0" w:uiPriority="0" w:name="Table Grid 6"/>
    <w:lsdException w:qFormat="1" w:unhideWhenUsed="0" w:uiPriority="0" w:name="Table Grid 7"/>
    <w:lsdException w:qFormat="1" w:unhideWhenUsed="0" w:uiPriority="0" w:name="Table Grid 8"/>
    <w:lsdException w:qFormat="1" w:unhideWhenUsed="0" w:uiPriority="0" w:name="Table List 1"/>
    <w:lsdException w:qFormat="1" w:unhideWhenUsed="0" w:uiPriority="0" w:name="Table List 2"/>
    <w:lsdException w:qFormat="1" w:unhideWhenUsed="0" w:uiPriority="0" w:name="Table List 3"/>
    <w:lsdException w:qFormat="1" w:unhideWhenUsed="0" w:uiPriority="0" w:name="Table List 4"/>
    <w:lsdException w:qFormat="1" w:unhideWhenUsed="0" w:uiPriority="0" w:name="Table List 5"/>
    <w:lsdException w:qFormat="1" w:unhideWhenUsed="0" w:uiPriority="0" w:name="Table List 6"/>
    <w:lsdException w:qFormat="1" w:unhideWhenUsed="0" w:uiPriority="0" w:name="Table List 7"/>
    <w:lsdException w:qFormat="1" w:unhideWhenUsed="0" w:uiPriority="0" w:name="Table List 8"/>
    <w:lsdException w:qFormat="1" w:unhideWhenUsed="0" w:uiPriority="0" w:name="Table 3D effects 1"/>
    <w:lsdException w:qFormat="1" w:unhideWhenUsed="0" w:uiPriority="0" w:name="Table 3D effects 2"/>
    <w:lsdException w:qFormat="1" w:unhideWhenUsed="0" w:uiPriority="0" w:name="Table 3D effects 3"/>
    <w:lsdException w:qFormat="1" w:unhideWhenUsed="0" w:uiPriority="0" w:name="Table Contemporary"/>
    <w:lsdException w:qFormat="1" w:unhideWhenUsed="0" w:uiPriority="0" w:name="Table Elegant"/>
    <w:lsdException w:qFormat="1" w:unhideWhenUsed="0" w:uiPriority="0" w:name="Table Professional"/>
    <w:lsdException w:qFormat="1" w:unhideWhenUsed="0" w:uiPriority="0" w:name="Table Subtle 1"/>
    <w:lsdException w:qFormat="1" w:unhideWhenUsed="0" w:uiPriority="0" w:name="Table Subtle 2"/>
    <w:lsdException w:qFormat="1" w:unhideWhenUsed="0" w:uiPriority="0" w:name="Table Web 1"/>
    <w:lsdException w:qFormat="1" w:unhideWhenUsed="0" w:uiPriority="0" w:name="Table Web 2"/>
    <w:lsdException w:qFormat="1" w:unhideWhenUsed="0" w:uiPriority="0" w:name="Table Web 3"/>
    <w:lsdException w:qFormat="1" w:unhideWhenUsed="0" w:uiPriority="0" w:semiHidden="0" w:name="Balloon Text"/>
    <w:lsdException w:qFormat="1" w:unhideWhenUsed="0" w:uiPriority="0" w:semiHidden="0" w:name="Table Grid"/>
    <w:lsdException w:qFormat="1" w:unhideWhenUsed="0"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883" w:firstLineChars="200"/>
      <w:jc w:val="both"/>
    </w:pPr>
    <w:rPr>
      <w:rFonts w:ascii="Times New Roman" w:hAnsi="Times New Roman" w:eastAsia="方正仿宋_GBK" w:cs="Times New Roman"/>
      <w:kern w:val="2"/>
      <w:sz w:val="32"/>
      <w:szCs w:val="24"/>
      <w:lang w:val="en-US" w:eastAsia="zh-CN" w:bidi="ar-SA"/>
    </w:rPr>
  </w:style>
  <w:style w:type="paragraph" w:styleId="3">
    <w:name w:val="heading 1"/>
    <w:basedOn w:val="1"/>
    <w:next w:val="1"/>
    <w:link w:val="140"/>
    <w:qFormat/>
    <w:uiPriority w:val="0"/>
    <w:pPr>
      <w:keepNext/>
      <w:keepLines/>
      <w:spacing w:line="240" w:lineRule="auto"/>
      <w:ind w:firstLine="0" w:firstLineChars="0"/>
      <w:outlineLvl w:val="0"/>
    </w:pPr>
    <w:rPr>
      <w:rFonts w:ascii="方正黑体_GBK" w:hAnsi="方正黑体_GBK" w:eastAsia="方正黑体_GBK"/>
      <w:bCs/>
      <w:kern w:val="44"/>
      <w:szCs w:val="44"/>
    </w:rPr>
  </w:style>
  <w:style w:type="paragraph" w:styleId="4">
    <w:name w:val="heading 2"/>
    <w:basedOn w:val="1"/>
    <w:next w:val="1"/>
    <w:link w:val="149"/>
    <w:qFormat/>
    <w:uiPriority w:val="0"/>
    <w:pPr>
      <w:keepNext/>
      <w:keepLines/>
      <w:spacing w:before="260" w:after="260" w:line="240" w:lineRule="auto"/>
      <w:outlineLvl w:val="1"/>
    </w:pPr>
    <w:rPr>
      <w:rFonts w:ascii="方正楷体_GBK" w:hAnsi="方正楷体_GBK" w:eastAsia="方正楷体_GBK"/>
      <w:bCs/>
      <w:szCs w:val="32"/>
    </w:rPr>
  </w:style>
  <w:style w:type="paragraph" w:styleId="5">
    <w:name w:val="heading 3"/>
    <w:basedOn w:val="1"/>
    <w:next w:val="1"/>
    <w:link w:val="144"/>
    <w:qFormat/>
    <w:uiPriority w:val="0"/>
    <w:pPr>
      <w:keepNext/>
      <w:keepLines/>
      <w:spacing w:line="360" w:lineRule="auto"/>
      <w:outlineLvl w:val="2"/>
    </w:pPr>
    <w:rPr>
      <w:rFonts w:ascii="Calibri" w:hAnsi="Calibri"/>
      <w:b/>
      <w:bCs/>
      <w:sz w:val="24"/>
      <w:szCs w:val="32"/>
    </w:rPr>
  </w:style>
  <w:style w:type="paragraph" w:styleId="6">
    <w:name w:val="heading 4"/>
    <w:basedOn w:val="1"/>
    <w:next w:val="1"/>
    <w:qFormat/>
    <w:uiPriority w:val="0"/>
    <w:pPr>
      <w:keepNext/>
      <w:keepLines/>
      <w:spacing w:line="360" w:lineRule="auto"/>
      <w:outlineLvl w:val="3"/>
    </w:pPr>
    <w:rPr>
      <w:rFonts w:ascii="Arial" w:hAnsi="Arial"/>
      <w:b/>
      <w:bCs/>
      <w:szCs w:val="28"/>
    </w:rPr>
  </w:style>
  <w:style w:type="paragraph" w:styleId="7">
    <w:name w:val="heading 5"/>
    <w:basedOn w:val="1"/>
    <w:next w:val="1"/>
    <w:qFormat/>
    <w:uiPriority w:val="0"/>
    <w:pPr>
      <w:keepNext/>
      <w:keepLines/>
      <w:spacing w:line="360" w:lineRule="auto"/>
      <w:outlineLvl w:val="4"/>
    </w:pPr>
    <w:rPr>
      <w:rFonts w:eastAsia="黑体"/>
      <w:bCs/>
      <w:szCs w:val="28"/>
    </w:rPr>
  </w:style>
  <w:style w:type="paragraph" w:styleId="8">
    <w:name w:val="heading 6"/>
    <w:basedOn w:val="1"/>
    <w:next w:val="1"/>
    <w:qFormat/>
    <w:uiPriority w:val="0"/>
    <w:pPr>
      <w:keepNext/>
      <w:keepLines/>
      <w:spacing w:before="240" w:after="64" w:line="320" w:lineRule="auto"/>
      <w:outlineLvl w:val="5"/>
    </w:pPr>
    <w:rPr>
      <w:rFonts w:ascii="Arial" w:hAnsi="Arial" w:eastAsia="黑体"/>
      <w:b/>
      <w:bCs/>
      <w:sz w:val="24"/>
    </w:rPr>
  </w:style>
  <w:style w:type="paragraph" w:styleId="9">
    <w:name w:val="heading 7"/>
    <w:basedOn w:val="1"/>
    <w:next w:val="1"/>
    <w:qFormat/>
    <w:uiPriority w:val="0"/>
    <w:pPr>
      <w:keepNext/>
      <w:keepLines/>
      <w:spacing w:before="240" w:after="64" w:line="320" w:lineRule="auto"/>
      <w:outlineLvl w:val="6"/>
    </w:pPr>
    <w:rPr>
      <w:b/>
      <w:bCs/>
      <w:sz w:val="24"/>
    </w:rPr>
  </w:style>
  <w:style w:type="paragraph" w:styleId="10">
    <w:name w:val="heading 8"/>
    <w:basedOn w:val="1"/>
    <w:next w:val="1"/>
    <w:qFormat/>
    <w:uiPriority w:val="0"/>
    <w:pPr>
      <w:keepNext/>
      <w:keepLines/>
      <w:spacing w:before="240" w:after="64" w:line="320" w:lineRule="auto"/>
      <w:outlineLvl w:val="7"/>
    </w:pPr>
    <w:rPr>
      <w:rFonts w:ascii="Arial" w:hAnsi="Arial" w:eastAsia="黑体"/>
      <w:sz w:val="24"/>
    </w:rPr>
  </w:style>
  <w:style w:type="paragraph" w:styleId="11">
    <w:name w:val="heading 9"/>
    <w:basedOn w:val="1"/>
    <w:next w:val="1"/>
    <w:qFormat/>
    <w:uiPriority w:val="0"/>
    <w:pPr>
      <w:keepNext/>
      <w:keepLines/>
      <w:spacing w:before="240" w:after="64" w:line="320" w:lineRule="auto"/>
      <w:outlineLvl w:val="8"/>
    </w:pPr>
    <w:rPr>
      <w:rFonts w:ascii="Arial" w:hAnsi="Arial" w:eastAsia="黑体"/>
      <w:szCs w:val="21"/>
    </w:rPr>
  </w:style>
  <w:style w:type="character" w:default="1" w:styleId="122">
    <w:name w:val="Default Paragraph Font"/>
    <w:unhideWhenUsed/>
    <w:qFormat/>
    <w:uiPriority w:val="1"/>
  </w:style>
  <w:style w:type="table" w:default="1" w:styleId="77">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semiHidden/>
    <w:qFormat/>
    <w:uiPriority w:val="0"/>
    <w:pPr>
      <w:spacing w:after="120"/>
    </w:pPr>
  </w:style>
  <w:style w:type="paragraph" w:styleId="12">
    <w:name w:val="List 3"/>
    <w:basedOn w:val="1"/>
    <w:semiHidden/>
    <w:qFormat/>
    <w:uiPriority w:val="0"/>
    <w:pPr>
      <w:ind w:left="1260" w:hanging="420"/>
    </w:pPr>
  </w:style>
  <w:style w:type="paragraph" w:styleId="13">
    <w:name w:val="toc 7"/>
    <w:basedOn w:val="1"/>
    <w:next w:val="1"/>
    <w:qFormat/>
    <w:uiPriority w:val="0"/>
    <w:pPr>
      <w:ind w:left="1260"/>
      <w:jc w:val="left"/>
    </w:pPr>
    <w:rPr>
      <w:sz w:val="18"/>
      <w:szCs w:val="18"/>
    </w:rPr>
  </w:style>
  <w:style w:type="paragraph" w:styleId="14">
    <w:name w:val="List Number 2"/>
    <w:basedOn w:val="1"/>
    <w:semiHidden/>
    <w:qFormat/>
    <w:uiPriority w:val="0"/>
    <w:pPr>
      <w:tabs>
        <w:tab w:val="left" w:pos="780"/>
      </w:tabs>
      <w:ind w:left="780" w:hanging="360"/>
    </w:pPr>
  </w:style>
  <w:style w:type="paragraph" w:styleId="15">
    <w:name w:val="Note Heading"/>
    <w:basedOn w:val="1"/>
    <w:next w:val="1"/>
    <w:semiHidden/>
    <w:qFormat/>
    <w:uiPriority w:val="0"/>
    <w:pPr>
      <w:jc w:val="center"/>
    </w:pPr>
  </w:style>
  <w:style w:type="paragraph" w:styleId="16">
    <w:name w:val="List Bullet 4"/>
    <w:basedOn w:val="1"/>
    <w:semiHidden/>
    <w:qFormat/>
    <w:uiPriority w:val="0"/>
    <w:pPr>
      <w:tabs>
        <w:tab w:val="left" w:pos="1620"/>
      </w:tabs>
      <w:ind w:left="1620" w:hanging="360"/>
    </w:pPr>
  </w:style>
  <w:style w:type="paragraph" w:styleId="17">
    <w:name w:val="E-mail Signature"/>
    <w:basedOn w:val="1"/>
    <w:semiHidden/>
    <w:qFormat/>
    <w:uiPriority w:val="0"/>
  </w:style>
  <w:style w:type="paragraph" w:styleId="18">
    <w:name w:val="List Number"/>
    <w:basedOn w:val="1"/>
    <w:semiHidden/>
    <w:qFormat/>
    <w:uiPriority w:val="0"/>
    <w:pPr>
      <w:tabs>
        <w:tab w:val="left" w:pos="360"/>
      </w:tabs>
      <w:ind w:left="360" w:hanging="360"/>
    </w:pPr>
  </w:style>
  <w:style w:type="paragraph" w:styleId="19">
    <w:name w:val="Normal Indent"/>
    <w:basedOn w:val="1"/>
    <w:qFormat/>
    <w:uiPriority w:val="0"/>
    <w:pPr>
      <w:ind w:firstLine="420"/>
    </w:pPr>
  </w:style>
  <w:style w:type="paragraph" w:styleId="20">
    <w:name w:val="caption"/>
    <w:basedOn w:val="1"/>
    <w:next w:val="1"/>
    <w:qFormat/>
    <w:uiPriority w:val="0"/>
    <w:pPr>
      <w:spacing w:before="152" w:after="160"/>
    </w:pPr>
    <w:rPr>
      <w:rFonts w:ascii="Arial" w:hAnsi="Arial" w:eastAsia="黑体"/>
      <w:sz w:val="20"/>
      <w:szCs w:val="20"/>
    </w:rPr>
  </w:style>
  <w:style w:type="paragraph" w:styleId="21">
    <w:name w:val="List Bullet"/>
    <w:basedOn w:val="1"/>
    <w:semiHidden/>
    <w:qFormat/>
    <w:uiPriority w:val="0"/>
    <w:pPr>
      <w:tabs>
        <w:tab w:val="left" w:pos="360"/>
      </w:tabs>
      <w:ind w:left="360" w:hanging="360"/>
    </w:pPr>
  </w:style>
  <w:style w:type="paragraph" w:styleId="22">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3">
    <w:name w:val="Document Map"/>
    <w:basedOn w:val="1"/>
    <w:link w:val="152"/>
    <w:qFormat/>
    <w:uiPriority w:val="0"/>
    <w:rPr>
      <w:rFonts w:ascii="Tahoma" w:hAnsi="Tahoma"/>
      <w:sz w:val="16"/>
      <w:szCs w:val="16"/>
    </w:rPr>
  </w:style>
  <w:style w:type="paragraph" w:styleId="24">
    <w:name w:val="annotation text"/>
    <w:basedOn w:val="1"/>
    <w:link w:val="159"/>
    <w:qFormat/>
    <w:uiPriority w:val="99"/>
    <w:pPr>
      <w:jc w:val="left"/>
    </w:pPr>
    <w:rPr>
      <w:rFonts w:ascii="Calibri" w:hAnsi="Calibri"/>
    </w:rPr>
  </w:style>
  <w:style w:type="paragraph" w:styleId="25">
    <w:name w:val="Salutation"/>
    <w:basedOn w:val="1"/>
    <w:next w:val="1"/>
    <w:semiHidden/>
    <w:qFormat/>
    <w:uiPriority w:val="0"/>
  </w:style>
  <w:style w:type="paragraph" w:styleId="26">
    <w:name w:val="Body Text 3"/>
    <w:basedOn w:val="1"/>
    <w:semiHidden/>
    <w:qFormat/>
    <w:uiPriority w:val="0"/>
    <w:pPr>
      <w:spacing w:after="120"/>
    </w:pPr>
    <w:rPr>
      <w:sz w:val="16"/>
      <w:szCs w:val="16"/>
    </w:rPr>
  </w:style>
  <w:style w:type="paragraph" w:styleId="27">
    <w:name w:val="Closing"/>
    <w:basedOn w:val="1"/>
    <w:semiHidden/>
    <w:qFormat/>
    <w:uiPriority w:val="0"/>
    <w:pPr>
      <w:ind w:left="4320"/>
    </w:pPr>
  </w:style>
  <w:style w:type="paragraph" w:styleId="28">
    <w:name w:val="List Bullet 3"/>
    <w:basedOn w:val="1"/>
    <w:semiHidden/>
    <w:qFormat/>
    <w:uiPriority w:val="0"/>
    <w:pPr>
      <w:tabs>
        <w:tab w:val="left" w:pos="1200"/>
      </w:tabs>
      <w:ind w:left="1200" w:hanging="360"/>
    </w:pPr>
  </w:style>
  <w:style w:type="paragraph" w:styleId="29">
    <w:name w:val="Body Text Indent"/>
    <w:basedOn w:val="1"/>
    <w:semiHidden/>
    <w:qFormat/>
    <w:uiPriority w:val="0"/>
    <w:pPr>
      <w:spacing w:after="120"/>
      <w:ind w:left="420"/>
    </w:pPr>
  </w:style>
  <w:style w:type="paragraph" w:styleId="30">
    <w:name w:val="List Number 3"/>
    <w:basedOn w:val="1"/>
    <w:semiHidden/>
    <w:qFormat/>
    <w:uiPriority w:val="0"/>
    <w:pPr>
      <w:tabs>
        <w:tab w:val="left" w:pos="1200"/>
      </w:tabs>
      <w:ind w:left="1200" w:hanging="360"/>
    </w:pPr>
  </w:style>
  <w:style w:type="paragraph" w:styleId="31">
    <w:name w:val="List 2"/>
    <w:basedOn w:val="1"/>
    <w:semiHidden/>
    <w:qFormat/>
    <w:uiPriority w:val="0"/>
    <w:pPr>
      <w:ind w:left="840" w:hanging="420"/>
    </w:pPr>
  </w:style>
  <w:style w:type="paragraph" w:styleId="32">
    <w:name w:val="List Continue"/>
    <w:basedOn w:val="1"/>
    <w:semiHidden/>
    <w:qFormat/>
    <w:uiPriority w:val="0"/>
    <w:pPr>
      <w:spacing w:after="120"/>
      <w:ind w:left="420"/>
    </w:pPr>
  </w:style>
  <w:style w:type="paragraph" w:styleId="33">
    <w:name w:val="Block Text"/>
    <w:basedOn w:val="1"/>
    <w:semiHidden/>
    <w:qFormat/>
    <w:uiPriority w:val="0"/>
    <w:pPr>
      <w:spacing w:after="120"/>
      <w:ind w:left="1440" w:right="1440"/>
    </w:pPr>
  </w:style>
  <w:style w:type="paragraph" w:styleId="34">
    <w:name w:val="List Bullet 2"/>
    <w:basedOn w:val="1"/>
    <w:semiHidden/>
    <w:qFormat/>
    <w:uiPriority w:val="0"/>
    <w:pPr>
      <w:tabs>
        <w:tab w:val="left" w:pos="780"/>
      </w:tabs>
      <w:ind w:left="780" w:hanging="360"/>
    </w:pPr>
  </w:style>
  <w:style w:type="paragraph" w:styleId="35">
    <w:name w:val="HTML Address"/>
    <w:basedOn w:val="1"/>
    <w:semiHidden/>
    <w:qFormat/>
    <w:uiPriority w:val="0"/>
    <w:rPr>
      <w:i/>
      <w:iCs/>
    </w:rPr>
  </w:style>
  <w:style w:type="paragraph" w:styleId="36">
    <w:name w:val="toc 5"/>
    <w:basedOn w:val="1"/>
    <w:next w:val="1"/>
    <w:qFormat/>
    <w:uiPriority w:val="0"/>
    <w:pPr>
      <w:ind w:left="840"/>
      <w:jc w:val="left"/>
    </w:pPr>
    <w:rPr>
      <w:sz w:val="18"/>
      <w:szCs w:val="18"/>
    </w:rPr>
  </w:style>
  <w:style w:type="paragraph" w:styleId="37">
    <w:name w:val="toc 3"/>
    <w:basedOn w:val="1"/>
    <w:next w:val="1"/>
    <w:qFormat/>
    <w:uiPriority w:val="0"/>
    <w:pPr>
      <w:ind w:left="840" w:leftChars="400"/>
    </w:pPr>
  </w:style>
  <w:style w:type="paragraph" w:styleId="38">
    <w:name w:val="Plain Text"/>
    <w:basedOn w:val="1"/>
    <w:link w:val="161"/>
    <w:qFormat/>
    <w:uiPriority w:val="0"/>
    <w:rPr>
      <w:rFonts w:ascii="宋体" w:hAnsi="Courier New" w:cs="Courier New"/>
      <w:szCs w:val="21"/>
    </w:rPr>
  </w:style>
  <w:style w:type="paragraph" w:styleId="39">
    <w:name w:val="List Bullet 5"/>
    <w:basedOn w:val="1"/>
    <w:semiHidden/>
    <w:qFormat/>
    <w:uiPriority w:val="0"/>
    <w:pPr>
      <w:tabs>
        <w:tab w:val="left" w:pos="2040"/>
      </w:tabs>
      <w:ind w:left="2040" w:hanging="360"/>
    </w:pPr>
  </w:style>
  <w:style w:type="paragraph" w:styleId="40">
    <w:name w:val="List Number 4"/>
    <w:basedOn w:val="1"/>
    <w:semiHidden/>
    <w:qFormat/>
    <w:uiPriority w:val="0"/>
    <w:pPr>
      <w:tabs>
        <w:tab w:val="left" w:pos="1620"/>
      </w:tabs>
      <w:ind w:left="1620" w:hanging="360"/>
    </w:pPr>
  </w:style>
  <w:style w:type="paragraph" w:styleId="41">
    <w:name w:val="toc 8"/>
    <w:basedOn w:val="1"/>
    <w:next w:val="1"/>
    <w:qFormat/>
    <w:uiPriority w:val="0"/>
    <w:pPr>
      <w:ind w:left="1470"/>
      <w:jc w:val="left"/>
    </w:pPr>
    <w:rPr>
      <w:sz w:val="18"/>
      <w:szCs w:val="18"/>
    </w:rPr>
  </w:style>
  <w:style w:type="paragraph" w:styleId="42">
    <w:name w:val="Date"/>
    <w:basedOn w:val="1"/>
    <w:next w:val="1"/>
    <w:qFormat/>
    <w:uiPriority w:val="0"/>
    <w:pPr>
      <w:ind w:left="100" w:leftChars="2500"/>
    </w:pPr>
  </w:style>
  <w:style w:type="paragraph" w:styleId="43">
    <w:name w:val="Body Text Indent 2"/>
    <w:basedOn w:val="1"/>
    <w:link w:val="172"/>
    <w:qFormat/>
    <w:uiPriority w:val="0"/>
    <w:pPr>
      <w:autoSpaceDE w:val="0"/>
      <w:autoSpaceDN w:val="0"/>
      <w:adjustRightInd w:val="0"/>
      <w:spacing w:line="360" w:lineRule="auto"/>
      <w:ind w:firstLine="480" w:firstLineChars="200"/>
    </w:pPr>
    <w:rPr>
      <w:rFonts w:ascii="宋体" w:hAnsi="Calibri"/>
      <w:color w:val="000000"/>
      <w:sz w:val="24"/>
    </w:rPr>
  </w:style>
  <w:style w:type="paragraph" w:styleId="44">
    <w:name w:val="endnote text"/>
    <w:basedOn w:val="1"/>
    <w:qFormat/>
    <w:uiPriority w:val="0"/>
    <w:pPr>
      <w:snapToGrid w:val="0"/>
      <w:jc w:val="left"/>
    </w:pPr>
  </w:style>
  <w:style w:type="paragraph" w:styleId="45">
    <w:name w:val="List Continue 5"/>
    <w:basedOn w:val="1"/>
    <w:semiHidden/>
    <w:qFormat/>
    <w:uiPriority w:val="0"/>
    <w:pPr>
      <w:spacing w:after="120"/>
      <w:ind w:left="2100"/>
    </w:pPr>
  </w:style>
  <w:style w:type="paragraph" w:styleId="46">
    <w:name w:val="Balloon Text"/>
    <w:basedOn w:val="1"/>
    <w:link w:val="148"/>
    <w:qFormat/>
    <w:uiPriority w:val="0"/>
    <w:rPr>
      <w:rFonts w:ascii="Calibri" w:hAnsi="Calibri"/>
      <w:sz w:val="18"/>
      <w:szCs w:val="18"/>
    </w:rPr>
  </w:style>
  <w:style w:type="paragraph" w:styleId="47">
    <w:name w:val="footer"/>
    <w:basedOn w:val="1"/>
    <w:link w:val="145"/>
    <w:qFormat/>
    <w:uiPriority w:val="0"/>
    <w:pPr>
      <w:tabs>
        <w:tab w:val="center" w:pos="4153"/>
        <w:tab w:val="right" w:pos="8306"/>
      </w:tabs>
      <w:snapToGrid w:val="0"/>
      <w:jc w:val="left"/>
    </w:pPr>
    <w:rPr>
      <w:rFonts w:ascii="Calibri" w:hAnsi="Calibri"/>
      <w:sz w:val="18"/>
      <w:szCs w:val="18"/>
    </w:rPr>
  </w:style>
  <w:style w:type="paragraph" w:styleId="48">
    <w:name w:val="envelope return"/>
    <w:basedOn w:val="1"/>
    <w:semiHidden/>
    <w:qFormat/>
    <w:uiPriority w:val="0"/>
    <w:pPr>
      <w:snapToGrid w:val="0"/>
    </w:pPr>
    <w:rPr>
      <w:rFonts w:ascii="Arial" w:hAnsi="Arial" w:cs="Arial"/>
    </w:rPr>
  </w:style>
  <w:style w:type="paragraph" w:styleId="49">
    <w:name w:val="header"/>
    <w:basedOn w:val="1"/>
    <w:link w:val="143"/>
    <w:qFormat/>
    <w:uiPriority w:val="0"/>
    <w:pPr>
      <w:tabs>
        <w:tab w:val="center" w:pos="4320"/>
        <w:tab w:val="right" w:pos="8640"/>
      </w:tabs>
    </w:pPr>
    <w:rPr>
      <w:rFonts w:ascii="Calibri" w:hAnsi="Calibri"/>
    </w:rPr>
  </w:style>
  <w:style w:type="paragraph" w:styleId="50">
    <w:name w:val="Signature"/>
    <w:basedOn w:val="1"/>
    <w:semiHidden/>
    <w:qFormat/>
    <w:uiPriority w:val="0"/>
    <w:pPr>
      <w:ind w:left="4320"/>
    </w:pPr>
  </w:style>
  <w:style w:type="paragraph" w:styleId="51">
    <w:name w:val="toc 1"/>
    <w:basedOn w:val="1"/>
    <w:next w:val="1"/>
    <w:qFormat/>
    <w:uiPriority w:val="0"/>
    <w:rPr>
      <w:szCs w:val="20"/>
    </w:rPr>
  </w:style>
  <w:style w:type="paragraph" w:styleId="52">
    <w:name w:val="List Continue 4"/>
    <w:basedOn w:val="1"/>
    <w:semiHidden/>
    <w:qFormat/>
    <w:uiPriority w:val="0"/>
    <w:pPr>
      <w:spacing w:after="120"/>
      <w:ind w:left="1680"/>
    </w:pPr>
  </w:style>
  <w:style w:type="paragraph" w:styleId="53">
    <w:name w:val="toc 4"/>
    <w:basedOn w:val="1"/>
    <w:next w:val="1"/>
    <w:qFormat/>
    <w:uiPriority w:val="0"/>
    <w:pPr>
      <w:ind w:left="630"/>
      <w:jc w:val="left"/>
    </w:pPr>
    <w:rPr>
      <w:sz w:val="18"/>
      <w:szCs w:val="18"/>
    </w:rPr>
  </w:style>
  <w:style w:type="paragraph" w:styleId="54">
    <w:name w:val="index heading"/>
    <w:basedOn w:val="1"/>
    <w:next w:val="55"/>
    <w:semiHidden/>
    <w:qFormat/>
    <w:uiPriority w:val="0"/>
    <w:pPr>
      <w:adjustRightInd w:val="0"/>
      <w:spacing w:line="490" w:lineRule="exact"/>
      <w:ind w:firstLine="556"/>
      <w:textAlignment w:val="baseline"/>
    </w:pPr>
    <w:rPr>
      <w:rFonts w:eastAsia="仿宋_GB2312"/>
      <w:kern w:val="0"/>
      <w:sz w:val="28"/>
      <w:szCs w:val="20"/>
    </w:rPr>
  </w:style>
  <w:style w:type="paragraph" w:styleId="55">
    <w:name w:val="index 1"/>
    <w:basedOn w:val="1"/>
    <w:next w:val="1"/>
    <w:semiHidden/>
    <w:qFormat/>
    <w:uiPriority w:val="0"/>
  </w:style>
  <w:style w:type="paragraph" w:styleId="56">
    <w:name w:val="Subtitle"/>
    <w:basedOn w:val="1"/>
    <w:qFormat/>
    <w:uiPriority w:val="0"/>
    <w:pPr>
      <w:spacing w:before="240" w:after="60" w:line="312" w:lineRule="auto"/>
      <w:jc w:val="center"/>
      <w:outlineLvl w:val="1"/>
    </w:pPr>
    <w:rPr>
      <w:rFonts w:ascii="Arial" w:hAnsi="Arial" w:cs="Arial"/>
      <w:b/>
      <w:bCs/>
      <w:kern w:val="28"/>
      <w:sz w:val="32"/>
      <w:szCs w:val="32"/>
    </w:rPr>
  </w:style>
  <w:style w:type="paragraph" w:styleId="57">
    <w:name w:val="List Number 5"/>
    <w:basedOn w:val="1"/>
    <w:semiHidden/>
    <w:qFormat/>
    <w:uiPriority w:val="0"/>
    <w:pPr>
      <w:tabs>
        <w:tab w:val="left" w:pos="2040"/>
      </w:tabs>
      <w:ind w:left="2040" w:hanging="360"/>
    </w:pPr>
  </w:style>
  <w:style w:type="paragraph" w:styleId="58">
    <w:name w:val="List"/>
    <w:basedOn w:val="1"/>
    <w:semiHidden/>
    <w:qFormat/>
    <w:uiPriority w:val="0"/>
    <w:pPr>
      <w:ind w:left="420" w:hanging="420"/>
    </w:pPr>
  </w:style>
  <w:style w:type="paragraph" w:styleId="59">
    <w:name w:val="footnote text"/>
    <w:basedOn w:val="1"/>
    <w:link w:val="175"/>
    <w:qFormat/>
    <w:uiPriority w:val="0"/>
    <w:pPr>
      <w:snapToGrid w:val="0"/>
      <w:jc w:val="left"/>
    </w:pPr>
    <w:rPr>
      <w:rFonts w:ascii="Calibri" w:hAnsi="Calibri"/>
      <w:kern w:val="0"/>
      <w:sz w:val="18"/>
      <w:szCs w:val="20"/>
    </w:rPr>
  </w:style>
  <w:style w:type="paragraph" w:styleId="60">
    <w:name w:val="toc 6"/>
    <w:basedOn w:val="1"/>
    <w:next w:val="1"/>
    <w:qFormat/>
    <w:uiPriority w:val="0"/>
    <w:pPr>
      <w:ind w:left="1050"/>
      <w:jc w:val="left"/>
    </w:pPr>
    <w:rPr>
      <w:sz w:val="18"/>
      <w:szCs w:val="18"/>
    </w:rPr>
  </w:style>
  <w:style w:type="paragraph" w:styleId="61">
    <w:name w:val="List 5"/>
    <w:basedOn w:val="1"/>
    <w:semiHidden/>
    <w:qFormat/>
    <w:uiPriority w:val="0"/>
    <w:pPr>
      <w:ind w:left="2100" w:hanging="420"/>
    </w:pPr>
  </w:style>
  <w:style w:type="paragraph" w:styleId="62">
    <w:name w:val="Body Text Indent 3"/>
    <w:basedOn w:val="1"/>
    <w:semiHidden/>
    <w:qFormat/>
    <w:uiPriority w:val="0"/>
    <w:pPr>
      <w:spacing w:after="120"/>
      <w:ind w:left="420"/>
    </w:pPr>
    <w:rPr>
      <w:sz w:val="16"/>
      <w:szCs w:val="16"/>
    </w:rPr>
  </w:style>
  <w:style w:type="paragraph" w:styleId="63">
    <w:name w:val="table of figures"/>
    <w:basedOn w:val="1"/>
    <w:next w:val="1"/>
    <w:semiHidden/>
    <w:qFormat/>
    <w:uiPriority w:val="0"/>
    <w:pPr>
      <w:ind w:left="200" w:leftChars="200" w:hanging="200" w:hangingChars="200"/>
    </w:pPr>
  </w:style>
  <w:style w:type="paragraph" w:styleId="64">
    <w:name w:val="toc 2"/>
    <w:basedOn w:val="1"/>
    <w:next w:val="1"/>
    <w:qFormat/>
    <w:uiPriority w:val="0"/>
    <w:pPr>
      <w:ind w:left="420" w:leftChars="200"/>
    </w:pPr>
    <w:rPr>
      <w:szCs w:val="20"/>
    </w:rPr>
  </w:style>
  <w:style w:type="paragraph" w:styleId="65">
    <w:name w:val="toc 9"/>
    <w:basedOn w:val="1"/>
    <w:next w:val="1"/>
    <w:qFormat/>
    <w:uiPriority w:val="0"/>
    <w:pPr>
      <w:ind w:left="1680"/>
      <w:jc w:val="left"/>
    </w:pPr>
    <w:rPr>
      <w:sz w:val="18"/>
      <w:szCs w:val="18"/>
    </w:rPr>
  </w:style>
  <w:style w:type="paragraph" w:styleId="66">
    <w:name w:val="Body Text 2"/>
    <w:basedOn w:val="1"/>
    <w:semiHidden/>
    <w:qFormat/>
    <w:uiPriority w:val="0"/>
    <w:pPr>
      <w:spacing w:after="120" w:line="480" w:lineRule="auto"/>
    </w:pPr>
  </w:style>
  <w:style w:type="paragraph" w:styleId="67">
    <w:name w:val="List 4"/>
    <w:basedOn w:val="1"/>
    <w:semiHidden/>
    <w:qFormat/>
    <w:uiPriority w:val="0"/>
    <w:pPr>
      <w:ind w:left="1680" w:hanging="420"/>
    </w:pPr>
  </w:style>
  <w:style w:type="paragraph" w:styleId="68">
    <w:name w:val="List Continue 2"/>
    <w:basedOn w:val="1"/>
    <w:semiHidden/>
    <w:qFormat/>
    <w:uiPriority w:val="0"/>
    <w:pPr>
      <w:spacing w:after="120"/>
      <w:ind w:left="840"/>
    </w:pPr>
  </w:style>
  <w:style w:type="paragraph" w:styleId="69">
    <w:name w:val="Message Header"/>
    <w:basedOn w:val="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70">
    <w:name w:val="HTML Preformatted"/>
    <w:basedOn w:val="1"/>
    <w:semiHidden/>
    <w:qFormat/>
    <w:uiPriority w:val="0"/>
    <w:rPr>
      <w:rFonts w:ascii="Courier New" w:hAnsi="Courier New" w:cs="Courier New"/>
      <w:sz w:val="20"/>
      <w:szCs w:val="20"/>
    </w:rPr>
  </w:style>
  <w:style w:type="paragraph" w:styleId="7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72">
    <w:name w:val="List Continue 3"/>
    <w:basedOn w:val="1"/>
    <w:semiHidden/>
    <w:qFormat/>
    <w:uiPriority w:val="0"/>
    <w:pPr>
      <w:spacing w:after="120"/>
      <w:ind w:left="1260"/>
    </w:pPr>
  </w:style>
  <w:style w:type="paragraph" w:styleId="73">
    <w:name w:val="Title"/>
    <w:basedOn w:val="1"/>
    <w:next w:val="1"/>
    <w:qFormat/>
    <w:uiPriority w:val="0"/>
    <w:pPr>
      <w:spacing w:before="240" w:after="60"/>
      <w:jc w:val="center"/>
      <w:outlineLvl w:val="0"/>
    </w:pPr>
    <w:rPr>
      <w:rFonts w:ascii="Arial" w:hAnsi="Arial" w:cs="Arial"/>
      <w:b/>
      <w:bCs/>
      <w:sz w:val="32"/>
      <w:szCs w:val="32"/>
    </w:rPr>
  </w:style>
  <w:style w:type="paragraph" w:styleId="74">
    <w:name w:val="annotation subject"/>
    <w:basedOn w:val="24"/>
    <w:next w:val="24"/>
    <w:qFormat/>
    <w:uiPriority w:val="0"/>
    <w:rPr>
      <w:b/>
      <w:bCs/>
    </w:rPr>
  </w:style>
  <w:style w:type="paragraph" w:styleId="75">
    <w:name w:val="Body Text First Indent"/>
    <w:basedOn w:val="2"/>
    <w:semiHidden/>
    <w:qFormat/>
    <w:uiPriority w:val="0"/>
    <w:pPr>
      <w:ind w:firstLine="420"/>
    </w:pPr>
  </w:style>
  <w:style w:type="paragraph" w:styleId="76">
    <w:name w:val="Body Text First Indent 2"/>
    <w:basedOn w:val="29"/>
    <w:semiHidden/>
    <w:qFormat/>
    <w:uiPriority w:val="0"/>
    <w:pPr>
      <w:ind w:firstLine="420"/>
    </w:pPr>
  </w:style>
  <w:style w:type="table" w:styleId="78">
    <w:name w:val="Table Grid"/>
    <w:basedOn w:val="7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79">
    <w:name w:val="Table Theme"/>
    <w:basedOn w:val="77"/>
    <w:semiHidden/>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80">
    <w:name w:val="Table Colorful 1"/>
    <w:basedOn w:val="77"/>
    <w:semiHidden/>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Layout w:type="fixed"/>
      <w:tblCellMar>
        <w:top w:w="0" w:type="dxa"/>
        <w:left w:w="108" w:type="dxa"/>
        <w:bottom w:w="0" w:type="dxa"/>
        <w:right w:w="108" w:type="dxa"/>
      </w:tblCellMar>
    </w:tblPr>
    <w:tcPr>
      <w:shd w:val="solid" w:color="008080" w:fill="FFFFFF"/>
    </w:tcPr>
    <w:tblStylePr w:type="firstRow">
      <w:rPr>
        <w:b/>
        <w:bCs/>
        <w:i/>
        <w:iCs/>
      </w:rPr>
      <w:tblPr>
        <w:tblLayout w:type="fixed"/>
      </w:tblPr>
      <w:tcPr>
        <w:tcBorders>
          <w:top w:val="nil"/>
          <w:left w:val="nil"/>
          <w:bottom w:val="nil"/>
          <w:right w:val="nil"/>
          <w:insideH w:val="nil"/>
          <w:insideV w:val="nil"/>
          <w:tl2br w:val="nil"/>
          <w:tr2bl w:val="nil"/>
        </w:tcBorders>
        <w:shd w:val="solid" w:color="000000" w:fill="FFFFFF"/>
      </w:tcPr>
    </w:tblStylePr>
    <w:tblStylePr w:type="firstCol">
      <w:rPr>
        <w:b/>
        <w:bCs/>
        <w:i/>
        <w:iCs/>
      </w:rPr>
      <w:tblPr>
        <w:tblLayout w:type="fixed"/>
      </w:tblPr>
      <w:tcPr>
        <w:tcBorders>
          <w:top w:val="nil"/>
          <w:left w:val="nil"/>
          <w:bottom w:val="nil"/>
          <w:right w:val="nil"/>
          <w:insideH w:val="nil"/>
          <w:insideV w:val="nil"/>
          <w:tl2br w:val="nil"/>
          <w:tr2bl w:val="nil"/>
        </w:tcBorders>
        <w:shd w:val="solid" w:color="000080" w:fill="FFFFFF"/>
      </w:tcPr>
    </w:tblStylePr>
    <w:tblStylePr w:type="nwCell">
      <w:tblPr>
        <w:tblLayout w:type="fixed"/>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blLayout w:type="fixed"/>
      </w:tblPr>
      <w:tcPr>
        <w:tcBorders>
          <w:top w:val="nil"/>
          <w:left w:val="nil"/>
          <w:bottom w:val="nil"/>
          <w:right w:val="nil"/>
          <w:insideH w:val="nil"/>
          <w:insideV w:val="nil"/>
          <w:tl2br w:val="nil"/>
          <w:tr2bl w:val="nil"/>
        </w:tcBorders>
      </w:tcPr>
    </w:tblStylePr>
  </w:style>
  <w:style w:type="table" w:styleId="81">
    <w:name w:val="Table Colorful 2"/>
    <w:basedOn w:val="77"/>
    <w:semiHidden/>
    <w:qFormat/>
    <w:uiPriority w:val="0"/>
    <w:pPr>
      <w:widowControl w:val="0"/>
      <w:jc w:val="both"/>
    </w:pPr>
    <w:tblPr>
      <w:tblBorders>
        <w:bottom w:val="single" w:color="000000" w:sz="12" w:space="0"/>
      </w:tblBorders>
      <w:tblLayout w:type="fixed"/>
      <w:tblCellMar>
        <w:top w:w="0" w:type="dxa"/>
        <w:left w:w="108" w:type="dxa"/>
        <w:bottom w:w="0" w:type="dxa"/>
        <w:right w:w="108" w:type="dxa"/>
      </w:tblCellMar>
    </w:tblPr>
    <w:tcPr>
      <w:shd w:val="pct20" w:color="FFFF00" w:fill="FFFFFF"/>
    </w:tcPr>
    <w:tblStylePr w:type="firstRow">
      <w:rPr>
        <w:b/>
        <w:bCs/>
        <w:i/>
        <w:iCs/>
        <w:color w:val="FFFFFF"/>
      </w:rPr>
      <w:tblPr>
        <w:tblLayout w:type="fixed"/>
      </w:tblPr>
      <w:tcPr>
        <w:tcBorders>
          <w:top w:val="nil"/>
          <w:left w:val="single" w:color="000000" w:sz="12" w:space="0"/>
          <w:bottom w:val="nil"/>
          <w:right w:val="nil"/>
          <w:insideH w:val="nil"/>
          <w:insideV w:val="nil"/>
          <w:tl2br w:val="nil"/>
          <w:tr2bl w:val="nil"/>
        </w:tcBorders>
        <w:shd w:val="solid" w:color="800000" w:fill="FFFFFF"/>
      </w:tcPr>
    </w:tblStylePr>
    <w:tblStylePr w:type="firstCol">
      <w:rPr>
        <w:b/>
        <w:bCs/>
        <w:i/>
        <w:iCs/>
      </w:rPr>
      <w:tblPr>
        <w:tblLayout w:type="fixed"/>
      </w:tblPr>
      <w:tcPr>
        <w:tcBorders>
          <w:top w:val="nil"/>
          <w:left w:val="nil"/>
          <w:bottom w:val="nil"/>
          <w:right w:val="nil"/>
          <w:insideH w:val="nil"/>
          <w:insideV w:val="nil"/>
          <w:tl2br w:val="nil"/>
          <w:tr2bl w:val="nil"/>
        </w:tcBorders>
      </w:tcPr>
    </w:tblStylePr>
    <w:tblStylePr w:type="lastCol">
      <w:tblPr>
        <w:tblLayout w:type="fixed"/>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blLayout w:type="fixed"/>
      </w:tblPr>
      <w:tcPr>
        <w:tcBorders>
          <w:top w:val="nil"/>
          <w:left w:val="nil"/>
          <w:bottom w:val="nil"/>
          <w:right w:val="nil"/>
          <w:insideH w:val="nil"/>
          <w:insideV w:val="nil"/>
          <w:tl2br w:val="nil"/>
          <w:tr2bl w:val="nil"/>
        </w:tcBorders>
      </w:tcPr>
    </w:tblStylePr>
  </w:style>
  <w:style w:type="table" w:styleId="82">
    <w:name w:val="Table Colorful 3"/>
    <w:basedOn w:val="77"/>
    <w:semiHidden/>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Layout w:type="fixed"/>
      <w:tblCellMar>
        <w:top w:w="0" w:type="dxa"/>
        <w:left w:w="108" w:type="dxa"/>
        <w:bottom w:w="0" w:type="dxa"/>
        <w:right w:w="108" w:type="dxa"/>
      </w:tblCellMar>
    </w:tblPr>
    <w:tcPr>
      <w:shd w:val="pct25" w:color="008080" w:fill="FFFFFF"/>
    </w:tcPr>
    <w:tblStylePr w:type="firstRow">
      <w:tblPr>
        <w:tblLayout w:type="fixed"/>
      </w:tblPr>
      <w:tcPr>
        <w:tcBorders>
          <w:top w:val="nil"/>
          <w:left w:val="single" w:color="000000" w:sz="6" w:space="0"/>
          <w:bottom w:val="nil"/>
          <w:right w:val="nil"/>
          <w:insideH w:val="nil"/>
          <w:insideV w:val="nil"/>
          <w:tl2br w:val="nil"/>
          <w:tr2bl w:val="nil"/>
        </w:tcBorders>
        <w:shd w:val="solid" w:color="008080" w:fill="FFFFFF"/>
      </w:tcPr>
    </w:tblStylePr>
    <w:tblStylePr w:type="firstCol">
      <w:tblPr>
        <w:tblLayout w:type="fixed"/>
      </w:tblPr>
      <w:tcPr>
        <w:tcBorders>
          <w:top w:val="nil"/>
          <w:left w:val="nil"/>
          <w:bottom w:val="single" w:color="000000" w:sz="36" w:space="0"/>
          <w:right w:val="single" w:color="000000" w:sz="6" w:space="0"/>
          <w:insideH w:val="nil"/>
          <w:insideV w:val="nil"/>
          <w:tl2br w:val="nil"/>
          <w:tr2bl w:val="nil"/>
        </w:tcBorders>
        <w:shd w:val="solid" w:color="008080" w:fill="FFFFFF"/>
      </w:tcPr>
    </w:tblStylePr>
    <w:tblStylePr w:type="nwCell">
      <w:rPr>
        <w:b/>
        <w:bCs/>
        <w:color w:val="FFFFFF"/>
      </w:rPr>
      <w:tblPr>
        <w:tblLayout w:type="fixed"/>
      </w:tblPr>
      <w:tcPr>
        <w:tcBorders>
          <w:top w:val="nil"/>
          <w:left w:val="nil"/>
          <w:bottom w:val="nil"/>
          <w:right w:val="nil"/>
          <w:insideH w:val="nil"/>
          <w:insideV w:val="nil"/>
          <w:tl2br w:val="nil"/>
          <w:tr2bl w:val="nil"/>
        </w:tcBorders>
        <w:shd w:val="solid" w:color="000000" w:fill="FFFFFF"/>
      </w:tcPr>
    </w:tblStylePr>
  </w:style>
  <w:style w:type="table" w:styleId="83">
    <w:name w:val="Table Elegant"/>
    <w:basedOn w:val="77"/>
    <w:semiHidden/>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aps/>
        <w:color w:val="auto"/>
      </w:rPr>
      <w:tblPr>
        <w:tblLayout w:type="fixed"/>
      </w:tblPr>
      <w:tcPr>
        <w:tcBorders>
          <w:top w:val="nil"/>
          <w:left w:val="nil"/>
          <w:bottom w:val="nil"/>
          <w:right w:val="nil"/>
          <w:insideH w:val="nil"/>
          <w:insideV w:val="nil"/>
          <w:tl2br w:val="nil"/>
          <w:tr2bl w:val="nil"/>
        </w:tcBorders>
      </w:tcPr>
    </w:tblStylePr>
  </w:style>
  <w:style w:type="table" w:styleId="84">
    <w:name w:val="Table Classic 1"/>
    <w:basedOn w:val="77"/>
    <w:semiHidden/>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i/>
        <w:iCs/>
      </w:rPr>
      <w:tblPr>
        <w:tblLayout w:type="fixed"/>
      </w:tblPr>
      <w:tcPr>
        <w:tcBorders>
          <w:top w:val="nil"/>
          <w:left w:val="single" w:color="000000" w:sz="6" w:space="0"/>
          <w:bottom w:val="nil"/>
          <w:right w:val="nil"/>
          <w:insideH w:val="nil"/>
          <w:insideV w:val="nil"/>
          <w:tl2br w:val="nil"/>
          <w:tr2bl w:val="nil"/>
        </w:tcBorders>
      </w:tcPr>
    </w:tblStylePr>
    <w:tblStylePr w:type="lastRow">
      <w:rPr>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000000" w:sz="6" w:space="0"/>
          <w:insideH w:val="nil"/>
          <w:insideV w:val="nil"/>
          <w:tl2br w:val="nil"/>
          <w:tr2bl w:val="nil"/>
        </w:tcBorders>
      </w:tcPr>
    </w:tblStylePr>
    <w:tblStylePr w:type="neCell">
      <w:rPr>
        <w:b/>
        <w:bCs/>
        <w:i w:val="0"/>
        <w:iCs w:val="0"/>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85">
    <w:name w:val="Table Classic 2"/>
    <w:basedOn w:val="77"/>
    <w:semiHidden/>
    <w:qFormat/>
    <w:uiPriority w:val="0"/>
    <w:pPr>
      <w:widowControl w:val="0"/>
      <w:jc w:val="both"/>
    </w:pPr>
    <w:tblPr>
      <w:tblBorders>
        <w:top w:val="single" w:color="000000" w:sz="12" w:space="0"/>
        <w:bottom w:val="single" w:color="000000" w:sz="12" w:space="0"/>
      </w:tblBorders>
      <w:tblLayout w:type="fixed"/>
      <w:tblCellMar>
        <w:top w:w="0" w:type="dxa"/>
        <w:left w:w="108" w:type="dxa"/>
        <w:bottom w:w="0" w:type="dxa"/>
        <w:right w:w="108" w:type="dxa"/>
      </w:tblCellMar>
    </w:tblPr>
    <w:tcPr>
      <w:shd w:val="clear" w:color="auto" w:fill="auto"/>
    </w:tcPr>
    <w:tblStylePr w:type="firstRow">
      <w:rPr>
        <w:color w:val="FFFFFF"/>
      </w:rPr>
      <w:tblPr>
        <w:tblLayout w:type="fixed"/>
      </w:tblPr>
      <w:tcPr>
        <w:tcBorders>
          <w:top w:val="nil"/>
          <w:left w:val="single" w:color="000000" w:sz="6" w:space="0"/>
          <w:bottom w:val="nil"/>
          <w:right w:val="nil"/>
          <w:insideH w:val="nil"/>
          <w:insideV w:val="nil"/>
          <w:tl2br w:val="nil"/>
          <w:tr2bl w:val="nil"/>
        </w:tcBorders>
        <w:shd w:val="solid" w:color="800080" w:fill="FFFFFF"/>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shd w:val="solid" w:color="C0C0C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nil"/>
          <w:tr2bl w:val="nil"/>
        </w:tcBorders>
        <w:shd w:val="solid" w:color="800080" w:fill="FFFFFF"/>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86">
    <w:name w:val="Table Classic 3"/>
    <w:basedOn w:val="77"/>
    <w:semiHidden/>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cPr>
      <w:shd w:val="solid" w:color="C0C0C0" w:fill="FFFFFF"/>
    </w:tcPr>
    <w:tblStylePr w:type="firstRow">
      <w:rPr>
        <w:b/>
        <w:bCs/>
        <w:i/>
        <w:iCs/>
        <w:color w:val="FFFFFF"/>
      </w:rPr>
      <w:tblPr>
        <w:tblLayout w:type="fixed"/>
      </w:tblPr>
      <w:tcPr>
        <w:tcBorders>
          <w:top w:val="nil"/>
          <w:left w:val="single" w:color="000000" w:sz="6" w:space="0"/>
          <w:bottom w:val="nil"/>
          <w:right w:val="nil"/>
          <w:insideH w:val="nil"/>
          <w:insideV w:val="nil"/>
          <w:tl2br w:val="nil"/>
          <w:tr2bl w:val="nil"/>
        </w:tcBorders>
        <w:shd w:val="solid" w:color="000080" w:fill="FFFFFF"/>
      </w:tcPr>
    </w:tblStylePr>
    <w:tblStylePr w:type="lastRow">
      <w:rPr>
        <w:color w:val="000080"/>
      </w:rPr>
      <w:tblPr>
        <w:tblLayout w:type="fixed"/>
      </w:tblPr>
      <w:tcPr>
        <w:tcBorders>
          <w:top w:val="single" w:color="000000" w:sz="12" w:space="0"/>
          <w:left w:val="nil"/>
          <w:bottom w:val="nil"/>
          <w:right w:val="nil"/>
          <w:insideH w:val="nil"/>
          <w:insideV w:val="nil"/>
          <w:tl2br w:val="nil"/>
          <w:tr2bl w:val="nil"/>
        </w:tcBorders>
        <w:shd w:val="solid" w:color="FFFFFF" w:fill="FFFFFF"/>
      </w:tcPr>
    </w:tblStylePr>
    <w:tblStylePr w:type="firstCol">
      <w:rPr>
        <w:b/>
        <w:bCs/>
        <w:color w:val="000000"/>
      </w:rPr>
      <w:tblPr>
        <w:tblLayout w:type="fixed"/>
      </w:tblPr>
      <w:tcPr>
        <w:tcBorders>
          <w:top w:val="nil"/>
          <w:left w:val="nil"/>
          <w:bottom w:val="nil"/>
          <w:right w:val="nil"/>
          <w:insideH w:val="nil"/>
          <w:insideV w:val="nil"/>
          <w:tl2br w:val="nil"/>
          <w:tr2bl w:val="nil"/>
        </w:tcBorders>
      </w:tcPr>
    </w:tblStylePr>
  </w:style>
  <w:style w:type="table" w:styleId="87">
    <w:name w:val="Table Classic 4"/>
    <w:basedOn w:val="77"/>
    <w:semiHidden/>
    <w:qFormat/>
    <w:uiPriority w:val="0"/>
    <w:pPr>
      <w:widowControl w:val="0"/>
      <w:jc w:val="both"/>
    </w:pPr>
    <w:tblPr>
      <w:tblBorders>
        <w:top w:val="single" w:color="000000" w:sz="12" w:space="0"/>
        <w:left w:val="single" w:color="000000" w:sz="6" w:space="0"/>
        <w:bottom w:val="single" w:color="000000" w:sz="12" w:space="0"/>
        <w:right w:val="single" w:color="000000" w:sz="6" w:space="0"/>
      </w:tblBorders>
      <w:tblLayout w:type="fixed"/>
      <w:tblCellMar>
        <w:top w:w="0" w:type="dxa"/>
        <w:left w:w="108" w:type="dxa"/>
        <w:bottom w:w="0" w:type="dxa"/>
        <w:right w:w="108" w:type="dxa"/>
      </w:tblCellMar>
    </w:tblPr>
    <w:tcPr>
      <w:shd w:val="clear" w:color="auto" w:fill="auto"/>
    </w:tcPr>
    <w:tblStylePr w:type="firstRow">
      <w:rPr>
        <w:b/>
        <w:bCs/>
        <w:i/>
        <w:iCs/>
        <w:color w:val="FFFFFF"/>
      </w:rPr>
      <w:tblPr>
        <w:tblLayout w:type="fixed"/>
      </w:tblPr>
      <w:tcPr>
        <w:tcBorders>
          <w:top w:val="nil"/>
          <w:left w:val="single" w:color="000000" w:sz="6" w:space="0"/>
          <w:bottom w:val="nil"/>
          <w:right w:val="nil"/>
          <w:insideH w:val="nil"/>
          <w:insideV w:val="nil"/>
          <w:tl2br w:val="nil"/>
          <w:tr2bl w:val="nil"/>
        </w:tcBorders>
        <w:shd w:val="pct50" w:color="000080" w:fill="FFFFFF"/>
      </w:tcPr>
    </w:tblStylePr>
    <w:tblStylePr w:type="lastRow">
      <w:rPr>
        <w:color w:val="000080"/>
      </w:rPr>
      <w:tblPr>
        <w:tblLayout w:type="fixed"/>
      </w:tblPr>
      <w:tcPr>
        <w:tcBorders>
          <w:top w:val="nil"/>
          <w:left w:val="single" w:color="000000" w:sz="6" w:space="0"/>
          <w:bottom w:val="nil"/>
          <w:right w:val="nil"/>
          <w:insideH w:val="nil"/>
          <w:insideV w:val="nil"/>
          <w:tl2br w:val="nil"/>
          <w:tr2bl w:val="nil"/>
        </w:tcBorders>
        <w:shd w:val="pct50" w:color="000000" w:fill="FFFFFF"/>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nwCell">
      <w:rPr>
        <w:b/>
        <w:bCs/>
      </w:rPr>
      <w:tblPr>
        <w:tblLayout w:type="fixed"/>
      </w:tblPr>
      <w:tcPr>
        <w:tcBorders>
          <w:top w:val="nil"/>
          <w:left w:val="nil"/>
          <w:bottom w:val="nil"/>
          <w:right w:val="nil"/>
          <w:insideH w:val="nil"/>
          <w:insideV w:val="nil"/>
          <w:tl2br w:val="nil"/>
          <w:tr2bl w:val="nil"/>
        </w:tcBorders>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88">
    <w:name w:val="Table Simple 1"/>
    <w:basedOn w:val="77"/>
    <w:semiHidden/>
    <w:qFormat/>
    <w:uiPriority w:val="0"/>
    <w:pPr>
      <w:widowControl w:val="0"/>
      <w:jc w:val="both"/>
    </w:pPr>
    <w:tblPr>
      <w:tblBorders>
        <w:top w:val="single" w:color="008000" w:sz="12" w:space="0"/>
        <w:bottom w:val="single" w:color="008000" w:sz="12"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8000" w:sz="6" w:space="0"/>
          <w:bottom w:val="nil"/>
          <w:right w:val="nil"/>
          <w:insideH w:val="nil"/>
          <w:insideV w:val="nil"/>
          <w:tl2br w:val="nil"/>
          <w:tr2bl w:val="nil"/>
        </w:tcBorders>
      </w:tcPr>
    </w:tblStylePr>
    <w:tblStylePr w:type="lastRow">
      <w:tblPr>
        <w:tblLayout w:type="fixed"/>
      </w:tblPr>
      <w:tcPr>
        <w:tcBorders>
          <w:top w:val="single" w:color="008000" w:sz="6" w:space="0"/>
          <w:left w:val="nil"/>
          <w:bottom w:val="nil"/>
          <w:right w:val="nil"/>
          <w:insideH w:val="nil"/>
          <w:insideV w:val="nil"/>
          <w:tl2br w:val="nil"/>
          <w:tr2bl w:val="nil"/>
        </w:tcBorders>
      </w:tcPr>
    </w:tblStylePr>
  </w:style>
  <w:style w:type="table" w:styleId="89">
    <w:name w:val="Table Simple 2"/>
    <w:basedOn w:val="77"/>
    <w:semiHidden/>
    <w:qFormat/>
    <w:uiPriority w:val="0"/>
    <w:pPr>
      <w:widowControl w:val="0"/>
      <w:jc w:val="both"/>
    </w:pPr>
    <w:tblPr>
      <w:tblLayout w:type="fixed"/>
      <w:tblCellMar>
        <w:top w:w="0" w:type="dxa"/>
        <w:left w:w="108" w:type="dxa"/>
        <w:bottom w:w="0" w:type="dxa"/>
        <w:right w:w="108" w:type="dxa"/>
      </w:tblCellMar>
    </w:tbl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lastRow">
      <w:rPr>
        <w:b/>
        <w:bCs/>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000000" w:sz="12" w:space="0"/>
          <w:insideH w:val="nil"/>
          <w:insideV w:val="nil"/>
          <w:tl2br w:val="nil"/>
          <w:tr2bl w:val="nil"/>
        </w:tcBorders>
      </w:tcPr>
    </w:tblStylePr>
    <w:tblStylePr w:type="lastCol">
      <w:rPr>
        <w:b/>
        <w:bCs/>
      </w:rPr>
      <w:tblPr>
        <w:tblLayout w:type="fixed"/>
      </w:tblPr>
      <w:tcPr>
        <w:tcBorders>
          <w:top w:val="nil"/>
          <w:left w:val="nil"/>
          <w:bottom w:val="single" w:color="000000" w:sz="6" w:space="0"/>
          <w:right w:val="nil"/>
          <w:insideH w:val="nil"/>
          <w:insideV w:val="nil"/>
          <w:tl2br w:val="nil"/>
          <w:tr2bl w:val="nil"/>
        </w:tcBorders>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0">
    <w:name w:val="Table Simple 3"/>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nil"/>
          <w:bottom w:val="nil"/>
          <w:right w:val="nil"/>
          <w:insideH w:val="nil"/>
          <w:insideV w:val="nil"/>
          <w:tl2br w:val="nil"/>
          <w:tr2bl w:val="nil"/>
        </w:tcBorders>
        <w:shd w:val="solid" w:color="000000" w:fill="FFFFFF"/>
      </w:tcPr>
    </w:tblStylePr>
  </w:style>
  <w:style w:type="table" w:styleId="91">
    <w:name w:val="Table Subtle 1"/>
    <w:basedOn w:val="77"/>
    <w:semiHidden/>
    <w:qFormat/>
    <w:uiPriority w:val="0"/>
    <w:pPr>
      <w:widowControl w:val="0"/>
      <w:jc w:val="both"/>
    </w:pPr>
    <w:tblPr>
      <w:tblLayout w:type="fixed"/>
      <w:tblCellMar>
        <w:top w:w="0" w:type="dxa"/>
        <w:left w:w="108" w:type="dxa"/>
        <w:bottom w:w="0" w:type="dxa"/>
        <w:right w:w="108" w:type="dxa"/>
      </w:tblCellMar>
    </w:tblPr>
    <w:tblStylePr w:type="firstRow">
      <w:tblPr>
        <w:tblLayout w:type="fixed"/>
      </w:tblPr>
      <w:tcPr>
        <w:tcBorders>
          <w:top w:val="single" w:color="000000" w:sz="6" w:space="0"/>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shd w:val="pct25" w:color="800080" w:fill="FFFFFF"/>
      </w:tcPr>
    </w:tblStylePr>
    <w:tblStylePr w:type="firstCol">
      <w:tblPr>
        <w:tblLayout w:type="fixed"/>
      </w:tblPr>
      <w:tcPr>
        <w:tcBorders>
          <w:top w:val="nil"/>
          <w:left w:val="nil"/>
          <w:bottom w:val="nil"/>
          <w:right w:val="single" w:color="000000" w:sz="12" w:space="0"/>
          <w:insideH w:val="nil"/>
          <w:insideV w:val="nil"/>
          <w:tl2br w:val="nil"/>
          <w:tr2bl w:val="nil"/>
        </w:tcBorders>
      </w:tcPr>
    </w:tblStylePr>
    <w:tblStylePr w:type="lastCol">
      <w:tblPr>
        <w:tblLayout w:type="fixed"/>
      </w:tblPr>
      <w:tcPr>
        <w:tcBorders>
          <w:top w:val="nil"/>
          <w:left w:val="nil"/>
          <w:bottom w:val="single" w:color="000000" w:sz="12" w:space="0"/>
          <w:right w:val="nil"/>
          <w:insideH w:val="nil"/>
          <w:insideV w:val="nil"/>
          <w:tl2br w:val="nil"/>
          <w:tr2bl w:val="nil"/>
        </w:tcBorders>
      </w:tcPr>
    </w:tblStylePr>
    <w:tblStylePr w:type="band1Horz">
      <w:tblPr>
        <w:tblLayout w:type="fixed"/>
      </w:tblPr>
      <w:tcPr>
        <w:tcBorders>
          <w:top w:val="nil"/>
          <w:left w:val="single" w:color="000000" w:sz="6" w:space="0"/>
          <w:bottom w:val="nil"/>
          <w:right w:val="nil"/>
          <w:insideH w:val="nil"/>
          <w:insideV w:val="nil"/>
          <w:tl2br w:val="nil"/>
          <w:tr2bl w:val="nil"/>
        </w:tcBorders>
        <w:shd w:val="pct25" w:color="808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2">
    <w:name w:val="Table Subtle 2"/>
    <w:basedOn w:val="77"/>
    <w:semiHidden/>
    <w:qFormat/>
    <w:uiPriority w:val="0"/>
    <w:pPr>
      <w:widowControl w:val="0"/>
      <w:jc w:val="both"/>
    </w:pPr>
    <w:tblPr>
      <w:tblBorders>
        <w:left w:val="single" w:color="000000" w:sz="6" w:space="0"/>
        <w:right w:val="single" w:color="000000" w:sz="6" w:space="0"/>
      </w:tblBorders>
      <w:tblLayout w:type="fixed"/>
      <w:tblCellMar>
        <w:top w:w="0" w:type="dxa"/>
        <w:left w:w="108" w:type="dxa"/>
        <w:bottom w:w="0" w:type="dxa"/>
        <w:right w:w="108" w:type="dxa"/>
      </w:tblCellMar>
    </w:tblPr>
    <w:tblStylePr w:type="firstRow">
      <w:tblPr>
        <w:tblLayout w:type="fixed"/>
      </w:tblPr>
      <w:tcPr>
        <w:tcBorders>
          <w:top w:val="nil"/>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000000" w:sz="12" w:space="0"/>
          <w:insideH w:val="nil"/>
          <w:insideV w:val="nil"/>
          <w:tl2br w:val="nil"/>
          <w:tr2bl w:val="nil"/>
        </w:tcBorders>
        <w:shd w:val="pct25" w:color="008000" w:fill="FFFFFF"/>
      </w:tcPr>
    </w:tblStylePr>
    <w:tblStylePr w:type="lastCol">
      <w:tblPr>
        <w:tblLayout w:type="fixed"/>
      </w:tblPr>
      <w:tcPr>
        <w:tcBorders>
          <w:top w:val="nil"/>
          <w:left w:val="nil"/>
          <w:bottom w:val="single" w:color="000000" w:sz="12" w:space="0"/>
          <w:right w:val="nil"/>
          <w:insideH w:val="nil"/>
          <w:insideV w:val="nil"/>
          <w:tl2br w:val="nil"/>
          <w:tr2bl w:val="nil"/>
        </w:tcBorders>
        <w:shd w:val="pct25" w:color="808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3">
    <w:name w:val="Table 3D effects 1"/>
    <w:basedOn w:val="77"/>
    <w:semiHidden/>
    <w:qFormat/>
    <w:uiPriority w:val="0"/>
    <w:pPr>
      <w:widowControl w:val="0"/>
      <w:jc w:val="both"/>
    </w:pPr>
    <w:tblPr>
      <w:tblLayout w:type="fixed"/>
      <w:tblCellMar>
        <w:top w:w="0" w:type="dxa"/>
        <w:left w:w="108" w:type="dxa"/>
        <w:bottom w:w="0" w:type="dxa"/>
        <w:right w:w="108" w:type="dxa"/>
      </w:tblCellMar>
    </w:tblPr>
    <w:tcPr>
      <w:shd w:val="solid" w:color="C0C0C0" w:fill="FFFFFF"/>
    </w:tcPr>
    <w:tblStylePr w:type="firstRow">
      <w:rPr>
        <w:b/>
        <w:bCs/>
        <w:color w:val="800080"/>
      </w:rPr>
      <w:tblPr>
        <w:tblLayout w:type="fixed"/>
      </w:tblPr>
      <w:tcPr>
        <w:tcBorders>
          <w:top w:val="nil"/>
          <w:left w:val="single" w:color="808080" w:sz="6" w:space="0"/>
          <w:bottom w:val="nil"/>
          <w:right w:val="nil"/>
          <w:insideH w:val="nil"/>
          <w:insideV w:val="nil"/>
          <w:tl2br w:val="nil"/>
          <w:tr2bl w:val="nil"/>
        </w:tcBorders>
      </w:tcPr>
    </w:tblStylePr>
    <w:tblStylePr w:type="lastRow">
      <w:tblPr>
        <w:tblLayout w:type="fixed"/>
      </w:tblPr>
      <w:tcPr>
        <w:tcBorders>
          <w:top w:val="single" w:color="FFFFFF"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single" w:color="FFFFFF" w:sz="6" w:space="0"/>
          <w:right w:val="nil"/>
          <w:insideH w:val="nil"/>
          <w:insideV w:val="nil"/>
          <w:tl2br w:val="nil"/>
          <w:tr2bl w:val="nil"/>
        </w:tcBorders>
      </w:tcPr>
    </w:tblStylePr>
    <w:tblStylePr w:type="neCell">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nil"/>
          <w:tr2bl w:val="nil"/>
        </w:tcBorders>
      </w:tcPr>
    </w:tblStylePr>
    <w:tblStylePr w:type="seCell">
      <w:tblPr>
        <w:tblLayout w:type="fixed"/>
      </w:tblPr>
      <w:tcPr>
        <w:tcBorders>
          <w:top w:val="nil"/>
          <w:left w:val="nil"/>
          <w:bottom w:val="nil"/>
          <w:right w:val="nil"/>
          <w:insideH w:val="nil"/>
          <w:insideV w:val="nil"/>
          <w:tl2br w:val="nil"/>
          <w:tr2bl w:val="nil"/>
        </w:tcBorders>
      </w:tcPr>
    </w:tblStylePr>
    <w:tblStylePr w:type="swCell">
      <w:rPr>
        <w:color w:val="000080"/>
      </w:rPr>
      <w:tblPr>
        <w:tblLayout w:type="fixed"/>
      </w:tblPr>
      <w:tcPr>
        <w:tcBorders>
          <w:top w:val="nil"/>
          <w:left w:val="nil"/>
          <w:bottom w:val="nil"/>
          <w:right w:val="nil"/>
          <w:insideH w:val="nil"/>
          <w:insideV w:val="nil"/>
          <w:tl2br w:val="nil"/>
          <w:tr2bl w:val="nil"/>
        </w:tcBorders>
      </w:tcPr>
    </w:tblStylePr>
  </w:style>
  <w:style w:type="table" w:styleId="94">
    <w:name w:val="Table 3D effects 2"/>
    <w:basedOn w:val="77"/>
    <w:semiHidden/>
    <w:qFormat/>
    <w:uiPriority w:val="0"/>
    <w:pPr>
      <w:widowControl w:val="0"/>
      <w:jc w:val="both"/>
    </w:pPr>
    <w:tblPr>
      <w:tblLayout w:type="fixed"/>
      <w:tblCellMar>
        <w:top w:w="0" w:type="dxa"/>
        <w:left w:w="108" w:type="dxa"/>
        <w:bottom w:w="0" w:type="dxa"/>
        <w:right w:w="108" w:type="dxa"/>
      </w:tblCellMar>
    </w:tblPr>
    <w:tcPr>
      <w:shd w:val="solid" w:color="C0C0C0" w:fill="FFFFFF"/>
    </w:tcPr>
    <w:tblStylePr w:type="firstRow">
      <w:rPr>
        <w:b/>
        <w:bCs/>
      </w:rPr>
      <w:tblPr>
        <w:tblLayout w:type="fixed"/>
      </w:tblPr>
      <w:tcPr>
        <w:tcBorders>
          <w:top w:val="nil"/>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nil"/>
          <w:right w:val="single" w:color="FFFFFF" w:sz="6" w:space="0"/>
          <w:insideH w:val="nil"/>
          <w:insideV w:val="nil"/>
          <w:tl2br w:val="nil"/>
          <w:tr2bl w:val="nil"/>
        </w:tcBorders>
      </w:tcPr>
    </w:tblStylePr>
    <w:tblStylePr w:type="band1Horz">
      <w:tblPr>
        <w:tblLayout w:type="fixed"/>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5">
    <w:name w:val="Table 3D effects 3"/>
    <w:basedOn w:val="77"/>
    <w:semiHidden/>
    <w:qFormat/>
    <w:uiPriority w:val="0"/>
    <w:pPr>
      <w:widowControl w:val="0"/>
      <w:jc w:val="both"/>
    </w:pPr>
    <w:tblPr>
      <w:tblLayout w:type="fixed"/>
      <w:tblCellMar>
        <w:top w:w="0" w:type="dxa"/>
        <w:left w:w="108" w:type="dxa"/>
        <w:bottom w:w="0" w:type="dxa"/>
        <w:right w:w="108" w:type="dxa"/>
      </w:tblCellMar>
    </w:tblPr>
    <w:tblStylePr w:type="firstRow">
      <w:rPr>
        <w:b/>
        <w:bCs/>
      </w:rPr>
      <w:tblPr>
        <w:tblLayout w:type="fixed"/>
      </w:tblPr>
      <w:tcPr>
        <w:tcBorders>
          <w:top w:val="nil"/>
          <w:left w:val="nil"/>
          <w:bottom w:val="nil"/>
          <w:right w:val="nil"/>
          <w:insideH w:val="nil"/>
          <w:insideV w:val="nil"/>
          <w:tl2br w:val="nil"/>
          <w:tr2bl w:val="nil"/>
        </w:tcBorders>
      </w:tcPr>
    </w:tblStylePr>
    <w:tblStylePr w:type="firstCol">
      <w:tblPr>
        <w:tblLayout w:type="fixed"/>
      </w:tblPr>
      <w:tcPr>
        <w:tcBorders>
          <w:top w:val="nil"/>
          <w:left w:val="nil"/>
          <w:bottom w:val="nil"/>
          <w:right w:val="single" w:color="808080" w:sz="6" w:space="0"/>
          <w:insideH w:val="nil"/>
          <w:insideV w:val="nil"/>
          <w:tl2br w:val="nil"/>
          <w:tr2bl w:val="nil"/>
        </w:tcBorders>
      </w:tcPr>
    </w:tblStylePr>
    <w:tblStylePr w:type="lastCol">
      <w:tblPr>
        <w:tblLayout w:type="fixed"/>
      </w:tblPr>
      <w:tcPr>
        <w:tcBorders>
          <w:top w:val="nil"/>
          <w:left w:val="nil"/>
          <w:bottom w:val="nil"/>
          <w:right w:val="single" w:color="FFFFFF" w:sz="6" w:space="0"/>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Pr>
        <w:tblLayout w:type="fixed"/>
      </w:tblPr>
      <w:tcPr>
        <w:shd w:val="pct50" w:color="C0C0C0" w:fill="FFFFFF"/>
      </w:tcPr>
    </w:tblStylePr>
    <w:tblStylePr w:type="band1Horz">
      <w:tblPr>
        <w:tblLayout w:type="fixed"/>
      </w:tblPr>
      <w:tcPr>
        <w:tcBorders>
          <w:top w:val="single" w:color="808080" w:sz="6" w:space="0"/>
          <w:left w:val="single" w:color="FFFFFF" w:sz="6" w:space="0"/>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6">
    <w:name w:val="Table List 1"/>
    <w:basedOn w:val="77"/>
    <w:semiHidden/>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Layout w:type="fixed"/>
      <w:tblCellMar>
        <w:top w:w="0" w:type="dxa"/>
        <w:left w:w="108" w:type="dxa"/>
        <w:bottom w:w="0" w:type="dxa"/>
        <w:right w:w="108" w:type="dxa"/>
      </w:tblCellMar>
    </w:tblPr>
    <w:tblStylePr w:type="firstRow">
      <w:rPr>
        <w:b/>
        <w:bCs/>
        <w:i/>
        <w:iCs/>
        <w:color w:val="800000"/>
      </w:rPr>
      <w:tblPr>
        <w:tblLayout w:type="fixed"/>
      </w:tblPr>
      <w:tcPr>
        <w:tcBorders>
          <w:top w:val="nil"/>
          <w:left w:val="single" w:color="000000" w:sz="6" w:space="0"/>
          <w:bottom w:val="nil"/>
          <w:right w:val="nil"/>
          <w:insideH w:val="nil"/>
          <w:insideV w:val="nil"/>
          <w:tl2br w:val="nil"/>
          <w:tr2bl w:val="nil"/>
        </w:tcBorders>
        <w:shd w:val="solid" w:color="C0C0C0" w:fill="FFFFFF"/>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solid" w:color="C0C0C0" w:fill="FFFFFF"/>
      </w:tcPr>
    </w:tblStylePr>
    <w:tblStylePr w:type="band2Horz">
      <w:rPr>
        <w:color w:val="auto"/>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7">
    <w:name w:val="Table List 2"/>
    <w:basedOn w:val="77"/>
    <w:semiHidden/>
    <w:qFormat/>
    <w:uiPriority w:val="0"/>
    <w:pPr>
      <w:widowControl w:val="0"/>
      <w:jc w:val="both"/>
    </w:pPr>
    <w:tblPr>
      <w:tblBorders>
        <w:bottom w:val="single" w:color="808080" w:sz="12" w:space="0"/>
      </w:tblBorders>
      <w:tblLayout w:type="fixed"/>
      <w:tblCellMar>
        <w:top w:w="0" w:type="dxa"/>
        <w:left w:w="108" w:type="dxa"/>
        <w:bottom w:w="0" w:type="dxa"/>
        <w:right w:w="108" w:type="dxa"/>
      </w:tblCellMar>
    </w:tblPr>
    <w:tblStylePr w:type="firstRow">
      <w:rPr>
        <w:b/>
        <w:bCs/>
        <w:color w:val="FFFFFF"/>
      </w:rPr>
      <w:tblPr>
        <w:tblLayout w:type="fixed"/>
      </w:tblPr>
      <w:tcPr>
        <w:tcBorders>
          <w:top w:val="nil"/>
          <w:left w:val="single" w:color="000000" w:sz="6" w:space="0"/>
          <w:bottom w:val="nil"/>
          <w:right w:val="nil"/>
          <w:insideH w:val="nil"/>
          <w:insideV w:val="nil"/>
          <w:tl2br w:val="nil"/>
          <w:tr2bl w:val="nil"/>
        </w:tcBorders>
        <w:shd w:val="pct75" w:color="008080" w:fill="008000"/>
      </w:tcPr>
    </w:tblStylePr>
    <w:tblStylePr w:type="lastRow">
      <w:tblPr>
        <w:tblLayout w:type="fixed"/>
      </w:tblPr>
      <w:tcPr>
        <w:tcBorders>
          <w:top w:val="single" w:color="000000" w:sz="6" w:space="0"/>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0" w:color="00FF00" w:fill="FFFFFF"/>
      </w:tcPr>
    </w:tblStylePr>
    <w:tblStylePr w:type="band2Horz">
      <w:rPr>
        <w:color w:val="auto"/>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98">
    <w:name w:val="Table List 3"/>
    <w:basedOn w:val="77"/>
    <w:semiHidden/>
    <w:qFormat/>
    <w:uiPriority w:val="0"/>
    <w:pPr>
      <w:widowControl w:val="0"/>
      <w:jc w:val="both"/>
    </w:pPr>
    <w:tblPr>
      <w:tblBorders>
        <w:top w:val="single" w:color="000000" w:sz="12" w:space="0"/>
        <w:bottom w:val="single" w:color="000000" w:sz="12"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000080"/>
      </w:rPr>
      <w:tblPr>
        <w:tblLayout w:type="fixed"/>
      </w:tblPr>
      <w:tcPr>
        <w:tcBorders>
          <w:top w:val="nil"/>
          <w:left w:val="single" w:color="000000" w:sz="12" w:space="0"/>
          <w:bottom w:val="nil"/>
          <w:right w:val="nil"/>
          <w:insideH w:val="nil"/>
          <w:insideV w:val="nil"/>
          <w:tl2br w:val="nil"/>
          <w:tr2bl w:val="nil"/>
        </w:tcBorders>
      </w:tcPr>
    </w:tblStylePr>
    <w:tblStylePr w:type="lastRow">
      <w:tblPr>
        <w:tblLayout w:type="fixed"/>
      </w:tblPr>
      <w:tcPr>
        <w:tcBorders>
          <w:top w:val="single" w:color="000000" w:sz="12" w:space="0"/>
          <w:left w:val="nil"/>
          <w:bottom w:val="nil"/>
          <w:right w:val="nil"/>
          <w:insideH w:val="nil"/>
          <w:insideV w:val="nil"/>
          <w:tl2br w:val="nil"/>
          <w:tr2bl w:val="nil"/>
        </w:tcBorders>
      </w:tcPr>
    </w:tblStylePr>
    <w:tblStylePr w:type="swCell">
      <w:rPr>
        <w:i/>
        <w:iCs/>
        <w:color w:val="000080"/>
      </w:rPr>
      <w:tblPr>
        <w:tblLayout w:type="fixed"/>
      </w:tblPr>
      <w:tcPr>
        <w:tcBorders>
          <w:top w:val="nil"/>
          <w:left w:val="nil"/>
          <w:bottom w:val="nil"/>
          <w:right w:val="nil"/>
          <w:insideH w:val="nil"/>
          <w:insideV w:val="nil"/>
          <w:tl2br w:val="nil"/>
          <w:tr2bl w:val="nil"/>
        </w:tcBorders>
      </w:tcPr>
    </w:tblStylePr>
  </w:style>
  <w:style w:type="table" w:styleId="99">
    <w:name w:val="Table List 4"/>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single" w:color="000000" w:sz="12" w:space="0"/>
          <w:bottom w:val="nil"/>
          <w:right w:val="nil"/>
          <w:insideH w:val="nil"/>
          <w:insideV w:val="nil"/>
          <w:tl2br w:val="nil"/>
          <w:tr2bl w:val="nil"/>
        </w:tcBorders>
        <w:shd w:val="solid" w:color="808080" w:fill="FFFFFF"/>
      </w:tcPr>
    </w:tblStylePr>
  </w:style>
  <w:style w:type="table" w:styleId="100">
    <w:name w:val="Table List 5"/>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style>
  <w:style w:type="table" w:styleId="101">
    <w:name w:val="Table List 6"/>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Layout w:type="fixed"/>
      <w:tblCellMar>
        <w:top w:w="0" w:type="dxa"/>
        <w:left w:w="108" w:type="dxa"/>
        <w:bottom w:w="0" w:type="dxa"/>
        <w:right w:w="108" w:type="dxa"/>
      </w:tblCellMar>
    </w:tblPr>
    <w:tcPr>
      <w:shd w:val="pct50" w:color="000000" w:fill="FFFFFF"/>
    </w:tcPr>
    <w:tblStylePr w:type="firstRow">
      <w:rPr>
        <w:b/>
        <w:bCs/>
      </w:rPr>
      <w:tblPr>
        <w:tblLayout w:type="fixed"/>
      </w:tblPr>
      <w:tcPr>
        <w:tcBorders>
          <w:top w:val="nil"/>
          <w:left w:val="single" w:color="000000" w:sz="12" w:space="0"/>
          <w:bottom w:val="nil"/>
          <w:right w:val="nil"/>
          <w:insideH w:val="nil"/>
          <w:insideV w:val="nil"/>
          <w:tl2br w:val="nil"/>
          <w:tr2bl w:val="nil"/>
        </w:tcBorders>
      </w:tcPr>
    </w:tblStylePr>
    <w:tblStylePr w:type="firstCol">
      <w:rPr>
        <w:b/>
        <w:bCs/>
      </w:rPr>
      <w:tblPr>
        <w:tblLayout w:type="fixed"/>
      </w:tblPr>
      <w:tcPr>
        <w:tcBorders>
          <w:top w:val="nil"/>
          <w:left w:val="nil"/>
          <w:bottom w:val="nil"/>
          <w:right w:val="single" w:color="000000" w:sz="12" w:space="0"/>
          <w:insideH w:val="nil"/>
          <w:insideV w:val="nil"/>
          <w:tl2br w:val="nil"/>
          <w:tr2bl w:val="nil"/>
        </w:tcBorders>
      </w:tcPr>
    </w:tblStylePr>
    <w:tblStylePr w:type="band1Horz">
      <w:tblPr>
        <w:tblLayout w:type="fixed"/>
      </w:tblPr>
      <w:tcPr>
        <w:tcBorders>
          <w:top w:val="nil"/>
          <w:left w:val="nil"/>
          <w:bottom w:val="nil"/>
          <w:right w:val="nil"/>
          <w:insideH w:val="nil"/>
          <w:insideV w:val="nil"/>
          <w:tl2br w:val="nil"/>
          <w:tr2bl w:val="nil"/>
        </w:tcBorders>
        <w:shd w:val="pct25" w:color="000000" w:fill="FFFFFF"/>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02">
    <w:name w:val="Table List 7"/>
    <w:basedOn w:val="77"/>
    <w:semiHidden/>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Layout w:type="fixed"/>
      <w:tblCellMar>
        <w:top w:w="0" w:type="dxa"/>
        <w:left w:w="108" w:type="dxa"/>
        <w:bottom w:w="0" w:type="dxa"/>
        <w:right w:w="108" w:type="dxa"/>
      </w:tblCellMar>
    </w:tblPr>
    <w:tblStylePr w:type="firstRow">
      <w:rPr>
        <w:b/>
        <w:bCs/>
      </w:rPr>
      <w:tblPr>
        <w:tblLayout w:type="fixed"/>
      </w:tblPr>
      <w:tcPr>
        <w:tcBorders>
          <w:top w:val="nil"/>
          <w:left w:val="single" w:color="008000" w:sz="12" w:space="0"/>
          <w:bottom w:val="nil"/>
          <w:right w:val="nil"/>
          <w:insideH w:val="nil"/>
          <w:insideV w:val="nil"/>
          <w:tl2br w:val="nil"/>
          <w:tr2bl w:val="nil"/>
        </w:tcBorders>
        <w:shd w:val="solid" w:color="C0C0C0" w:fill="FFFFFF"/>
      </w:tcPr>
    </w:tblStylePr>
    <w:tblStylePr w:type="lastRow">
      <w:rPr>
        <w:b/>
        <w:bCs/>
      </w:rPr>
      <w:tblPr>
        <w:tblLayout w:type="fixed"/>
      </w:tblPr>
      <w:tcPr>
        <w:tcBorders>
          <w:top w:val="single" w:color="008000" w:sz="12"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0" w:color="000000" w:fill="FFFFFF"/>
      </w:tcPr>
    </w:tblStylePr>
    <w:tblStylePr w:type="band2Horz">
      <w:tblPr>
        <w:tblLayout w:type="fixed"/>
      </w:tblPr>
      <w:tcPr>
        <w:tcBorders>
          <w:top w:val="nil"/>
          <w:left w:val="nil"/>
          <w:bottom w:val="nil"/>
          <w:right w:val="nil"/>
          <w:insideH w:val="nil"/>
          <w:insideV w:val="nil"/>
          <w:tl2br w:val="nil"/>
          <w:tr2bl w:val="nil"/>
        </w:tcBorders>
        <w:shd w:val="pct25" w:color="FFFF00" w:fill="FFFFFF"/>
      </w:tcPr>
    </w:tblStylePr>
  </w:style>
  <w:style w:type="table" w:styleId="103">
    <w:name w:val="Table List 8"/>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Layout w:type="fixed"/>
      <w:tblCellMar>
        <w:top w:w="0" w:type="dxa"/>
        <w:left w:w="108" w:type="dxa"/>
        <w:bottom w:w="0" w:type="dxa"/>
        <w:right w:w="108" w:type="dxa"/>
      </w:tblCellMar>
    </w:tblPr>
    <w:tblStylePr w:type="firstRow">
      <w:rPr>
        <w:b/>
        <w:bCs/>
        <w:i/>
        <w:iCs/>
      </w:rPr>
      <w:tblPr>
        <w:tblLayout w:type="fixed"/>
      </w:tblPr>
      <w:tcPr>
        <w:tcBorders>
          <w:top w:val="nil"/>
          <w:left w:val="single" w:color="000000" w:sz="6" w:space="0"/>
          <w:bottom w:val="nil"/>
          <w:right w:val="nil"/>
          <w:insideH w:val="nil"/>
          <w:insideV w:val="nil"/>
          <w:tl2br w:val="nil"/>
          <w:tr2bl w:val="nil"/>
        </w:tcBorders>
        <w:shd w:val="solid" w:color="FFFF00" w:fill="FFFFFF"/>
      </w:tcPr>
    </w:tblStylePr>
    <w:tblStylePr w:type="lastRow">
      <w:rPr>
        <w:b/>
        <w:bCs/>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Horz">
      <w:rPr>
        <w:color w:val="auto"/>
      </w:rPr>
      <w:tblPr>
        <w:tblLayout w:type="fixed"/>
      </w:tblPr>
      <w:tcPr>
        <w:tcBorders>
          <w:top w:val="nil"/>
          <w:left w:val="nil"/>
          <w:bottom w:val="nil"/>
          <w:right w:val="nil"/>
          <w:insideH w:val="nil"/>
          <w:insideV w:val="nil"/>
          <w:tl2br w:val="nil"/>
          <w:tr2bl w:val="nil"/>
        </w:tcBorders>
        <w:shd w:val="pct25" w:color="FFFF00" w:fill="FFFFFF"/>
      </w:tcPr>
    </w:tblStylePr>
    <w:tblStylePr w:type="band2Horz">
      <w:tblPr>
        <w:tblLayout w:type="fixed"/>
      </w:tblPr>
      <w:tcPr>
        <w:tcBorders>
          <w:top w:val="nil"/>
          <w:left w:val="nil"/>
          <w:bottom w:val="nil"/>
          <w:right w:val="nil"/>
          <w:insideH w:val="nil"/>
          <w:insideV w:val="nil"/>
          <w:tl2br w:val="nil"/>
          <w:tr2bl w:val="nil"/>
        </w:tcBorders>
        <w:shd w:val="pct50" w:color="FF0000" w:fill="FFFFFF"/>
      </w:tcPr>
    </w:tblStylePr>
    <w:tblStylePr w:type="nwCell">
      <w:tblPr>
        <w:tblLayout w:type="fixed"/>
      </w:tblPr>
      <w:tcPr>
        <w:tcBorders>
          <w:top w:val="nil"/>
          <w:left w:val="nil"/>
          <w:bottom w:val="nil"/>
          <w:right w:val="nil"/>
          <w:insideH w:val="nil"/>
          <w:insideV w:val="nil"/>
          <w:tl2br w:val="single" w:color="auto" w:sz="6" w:space="0"/>
          <w:tr2bl w:val="nil"/>
        </w:tcBorders>
      </w:tcPr>
    </w:tblStylePr>
  </w:style>
  <w:style w:type="table" w:styleId="104">
    <w:name w:val="Table Contemporary"/>
    <w:basedOn w:val="77"/>
    <w:semiHidden/>
    <w:qFormat/>
    <w:uiPriority w:val="0"/>
    <w:pPr>
      <w:widowControl w:val="0"/>
      <w:jc w:val="both"/>
    </w:pPr>
    <w:tblPr>
      <w:tblBorders>
        <w:insideH w:val="single" w:color="FFFFFF" w:sz="18" w:space="0"/>
        <w:insideV w:val="single" w:color="FFFFFF" w:sz="18" w:space="0"/>
      </w:tblBorders>
      <w:tblLayout w:type="fixed"/>
      <w:tblCellMar>
        <w:top w:w="0" w:type="dxa"/>
        <w:left w:w="108" w:type="dxa"/>
        <w:bottom w:w="0" w:type="dxa"/>
        <w:right w:w="108" w:type="dxa"/>
      </w:tblCellMar>
    </w:tblPr>
    <w:tblStylePr w:type="firstRow">
      <w:rPr>
        <w:b/>
        <w:bCs/>
        <w:color w:val="auto"/>
      </w:rPr>
      <w:tblPr>
        <w:tblLayout w:type="fixed"/>
      </w:tblPr>
      <w:tcPr>
        <w:tcBorders>
          <w:top w:val="nil"/>
          <w:left w:val="nil"/>
          <w:bottom w:val="nil"/>
          <w:right w:val="nil"/>
          <w:insideH w:val="nil"/>
          <w:insideV w:val="nil"/>
          <w:tl2br w:val="nil"/>
          <w:tr2bl w:val="nil"/>
        </w:tcBorders>
        <w:shd w:val="pct20" w:color="000000" w:fill="FFFFFF"/>
      </w:tcPr>
    </w:tblStylePr>
    <w:tblStylePr w:type="band1Horz">
      <w:rPr>
        <w:color w:val="auto"/>
      </w:rPr>
      <w:tblPr>
        <w:tblLayout w:type="fixed"/>
      </w:tblPr>
      <w:tcPr>
        <w:tcBorders>
          <w:top w:val="nil"/>
          <w:left w:val="nil"/>
          <w:bottom w:val="nil"/>
          <w:right w:val="nil"/>
          <w:insideH w:val="nil"/>
          <w:insideV w:val="nil"/>
          <w:tl2br w:val="nil"/>
          <w:tr2bl w:val="nil"/>
        </w:tcBorders>
        <w:shd w:val="pct5" w:color="000000" w:fill="FFFFFF"/>
      </w:tcPr>
    </w:tblStylePr>
    <w:tblStylePr w:type="band2Horz">
      <w:rPr>
        <w:color w:val="auto"/>
      </w:rPr>
      <w:tblPr>
        <w:tblLayout w:type="fixed"/>
      </w:tblPr>
      <w:tcPr>
        <w:tcBorders>
          <w:top w:val="nil"/>
          <w:left w:val="nil"/>
          <w:bottom w:val="nil"/>
          <w:right w:val="nil"/>
          <w:insideH w:val="nil"/>
          <w:insideV w:val="nil"/>
          <w:tl2br w:val="nil"/>
          <w:tr2bl w:val="nil"/>
        </w:tcBorders>
        <w:shd w:val="pct20" w:color="000000" w:fill="FFFFFF"/>
      </w:tcPr>
    </w:tblStylePr>
  </w:style>
  <w:style w:type="table" w:styleId="105">
    <w:name w:val="Table Columns 1"/>
    <w:basedOn w:val="77"/>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Layout w:type="fixed"/>
      <w:tblCellMar>
        <w:top w:w="0" w:type="dxa"/>
        <w:left w:w="108" w:type="dxa"/>
        <w:bottom w:w="0" w:type="dxa"/>
        <w:right w:w="108" w:type="dxa"/>
      </w:tblCellMar>
    </w:tblPr>
    <w:tblStylePr w:type="firstRow">
      <w:rPr>
        <w:b w:val="0"/>
        <w:bCs w:val="0"/>
      </w:rPr>
      <w:tblPr>
        <w:tblLayout w:type="fixed"/>
      </w:tblPr>
      <w:tcPr>
        <w:tcBorders>
          <w:top w:val="nil"/>
          <w:left w:val="double" w:color="000000" w:sz="6" w:space="0"/>
          <w:bottom w:val="nil"/>
          <w:right w:val="nil"/>
          <w:insideH w:val="nil"/>
          <w:insideV w:val="nil"/>
          <w:tl2br w:val="nil"/>
          <w:tr2bl w:val="nil"/>
        </w:tcBorders>
      </w:tcPr>
    </w:tblStylePr>
    <w:tblStylePr w:type="lastRow">
      <w:rPr>
        <w:b w:val="0"/>
        <w:bCs w:val="0"/>
      </w:rPr>
      <w:tblPr>
        <w:tblLayout w:type="fixed"/>
      </w:tblPr>
      <w:tcPr>
        <w:tcBorders>
          <w:top w:val="nil"/>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25" w:color="000000" w:fill="FFFFFF"/>
      </w:tcPr>
    </w:tblStylePr>
    <w:tblStylePr w:type="band2Vert">
      <w:rPr>
        <w:color w:val="auto"/>
      </w:rPr>
      <w:tblPr>
        <w:tblLayout w:type="fixed"/>
      </w:tblPr>
      <w:tcPr>
        <w:shd w:val="pct25" w:color="FFFF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06">
    <w:name w:val="Table Columns 2"/>
    <w:basedOn w:val="77"/>
    <w:semiHidden/>
    <w:qFormat/>
    <w:uiPriority w:val="0"/>
    <w:pPr>
      <w:widowControl w:val="0"/>
      <w:jc w:val="both"/>
    </w:pPr>
    <w:rPr>
      <w:b/>
      <w:bCs/>
    </w:rPr>
    <w:tblPr>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blLayout w:type="fixed"/>
      </w:tblPr>
      <w:tcPr>
        <w:tcBorders>
          <w:top w:val="nil"/>
          <w:left w:val="nil"/>
          <w:bottom w:val="nil"/>
          <w:right w:val="nil"/>
          <w:insideH w:val="nil"/>
          <w:insideV w:val="nil"/>
          <w:tl2br w:val="nil"/>
          <w:tr2bl w:val="nil"/>
        </w:tcBorders>
      </w:tcPr>
    </w:tblStylePr>
    <w:tblStylePr w:type="firstCol">
      <w:rPr>
        <w:b w:val="0"/>
        <w:bCs w:val="0"/>
        <w:color w:val="00000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30" w:color="000000" w:fill="FFFFFF"/>
      </w:tcPr>
    </w:tblStylePr>
    <w:tblStylePr w:type="band2Vert">
      <w:rPr>
        <w:color w:val="auto"/>
      </w:rPr>
      <w:tblPr>
        <w:tblLayout w:type="fixed"/>
      </w:tblPr>
      <w:tcPr>
        <w:shd w:val="pct25" w:color="00FF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tblStylePr w:type="swCell">
      <w:rPr>
        <w:b/>
        <w:bCs/>
      </w:rPr>
      <w:tblPr>
        <w:tblLayout w:type="fixed"/>
      </w:tblPr>
      <w:tcPr>
        <w:tcBorders>
          <w:top w:val="nil"/>
          <w:left w:val="nil"/>
          <w:bottom w:val="nil"/>
          <w:right w:val="nil"/>
          <w:insideH w:val="nil"/>
          <w:insideV w:val="nil"/>
          <w:tl2br w:val="nil"/>
          <w:tr2bl w:val="nil"/>
        </w:tcBorders>
      </w:tcPr>
    </w:tblStylePr>
  </w:style>
  <w:style w:type="table" w:styleId="107">
    <w:name w:val="Table Columns 3"/>
    <w:basedOn w:val="77"/>
    <w:semiHidden/>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blLayout w:type="fixed"/>
      </w:tblPr>
      <w:tcPr>
        <w:tcBorders>
          <w:top w:val="single" w:color="000080" w:sz="6" w:space="0"/>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Pr>
        <w:tblLayout w:type="fixed"/>
      </w:tblPr>
      <w:tcPr>
        <w:shd w:val="pct10" w:color="000000" w:fill="FFFFFF"/>
      </w:tcPr>
    </w:tblStylePr>
    <w:tblStylePr w:type="neCell">
      <w:rPr>
        <w:b/>
        <w:bCs/>
      </w:rPr>
      <w:tblPr>
        <w:tblLayout w:type="fixed"/>
      </w:tblPr>
      <w:tcPr>
        <w:tcBorders>
          <w:top w:val="nil"/>
          <w:left w:val="nil"/>
          <w:bottom w:val="nil"/>
          <w:right w:val="nil"/>
          <w:insideH w:val="nil"/>
          <w:insideV w:val="nil"/>
          <w:tl2br w:val="nil"/>
          <w:tr2bl w:val="nil"/>
        </w:tcBorders>
      </w:tcPr>
    </w:tblStylePr>
  </w:style>
  <w:style w:type="table" w:styleId="108">
    <w:name w:val="Table Columns 4"/>
    <w:basedOn w:val="77"/>
    <w:semiHidden/>
    <w:qFormat/>
    <w:uiPriority w:val="0"/>
    <w:pPr>
      <w:widowControl w:val="0"/>
      <w:jc w:val="both"/>
    </w:pPr>
    <w:tblPr>
      <w:tblLayout w:type="fixed"/>
      <w:tblCellMar>
        <w:top w:w="0" w:type="dxa"/>
        <w:left w:w="108" w:type="dxa"/>
        <w:bottom w:w="0" w:type="dxa"/>
        <w:right w:w="108" w:type="dxa"/>
      </w:tblCellMar>
    </w:tblPr>
    <w:tblStylePr w:type="firstRow">
      <w:rPr>
        <w:color w:val="FFFFFF"/>
      </w:rPr>
      <w:tblPr>
        <w:tblLayout w:type="fixed"/>
      </w:tblPr>
      <w:tcPr>
        <w:tcBorders>
          <w:top w:val="nil"/>
          <w:left w:val="nil"/>
          <w:bottom w:val="nil"/>
          <w:right w:val="nil"/>
          <w:insideH w:val="nil"/>
          <w:insideV w:val="nil"/>
          <w:tl2br w:val="nil"/>
          <w:tr2bl w:val="nil"/>
        </w:tcBorders>
        <w:shd w:val="solid" w:color="000000" w:fill="FFFFFF"/>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pct50" w:color="008080" w:fill="FFFFFF"/>
      </w:tcPr>
    </w:tblStylePr>
    <w:tblStylePr w:type="band2Vert">
      <w:rPr>
        <w:color w:val="auto"/>
      </w:rPr>
      <w:tblPr>
        <w:tblLayout w:type="fixed"/>
      </w:tblPr>
      <w:tcPr>
        <w:shd w:val="pct10" w:color="000000" w:fill="FFFFFF"/>
      </w:tcPr>
    </w:tblStylePr>
  </w:style>
  <w:style w:type="table" w:styleId="109">
    <w:name w:val="Table Columns 5"/>
    <w:basedOn w:val="77"/>
    <w:semiHidden/>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Layout w:type="fixed"/>
      <w:tblCellMar>
        <w:top w:w="0" w:type="dxa"/>
        <w:left w:w="108" w:type="dxa"/>
        <w:bottom w:w="0" w:type="dxa"/>
        <w:right w:w="108" w:type="dxa"/>
      </w:tblCellMar>
    </w:tblPr>
    <w:tblStylePr w:type="firstRow">
      <w:rPr>
        <w:b/>
        <w:bCs/>
        <w:i/>
        <w:iCs/>
      </w:rPr>
      <w:tblPr>
        <w:tblLayout w:type="fixed"/>
      </w:tblPr>
      <w:tcPr>
        <w:tcBorders>
          <w:top w:val="nil"/>
          <w:left w:val="single" w:color="808080" w:sz="6" w:space="0"/>
          <w:bottom w:val="nil"/>
          <w:right w:val="nil"/>
          <w:insideH w:val="nil"/>
          <w:insideV w:val="nil"/>
          <w:tl2br w:val="nil"/>
          <w:tr2bl w:val="nil"/>
        </w:tcBorders>
      </w:tcPr>
    </w:tblStylePr>
    <w:tblStylePr w:type="lastRow">
      <w:rPr>
        <w:b/>
        <w:bCs/>
      </w:rPr>
      <w:tblPr>
        <w:tblLayout w:type="fixed"/>
      </w:tblPr>
      <w:tcPr>
        <w:tcBorders>
          <w:top w:val="single" w:color="80808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band1Vert">
      <w:rPr>
        <w:color w:val="auto"/>
      </w:rPr>
      <w:tblPr>
        <w:tblLayout w:type="fixed"/>
      </w:tblPr>
      <w:tcPr>
        <w:shd w:val="solid" w:color="C0C0C0" w:fill="FFFFFF"/>
      </w:tcPr>
    </w:tblStylePr>
    <w:tblStylePr w:type="band2Vert">
      <w:rPr>
        <w:color w:val="auto"/>
      </w:rPr>
    </w:tblStylePr>
  </w:style>
  <w:style w:type="table" w:styleId="110">
    <w:name w:val="Table Grid 1"/>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lastRow">
      <w:rPr>
        <w:i/>
        <w:iCs/>
      </w:rPr>
      <w:tblPr>
        <w:tblLayout w:type="fixed"/>
      </w:tblPr>
      <w:tcPr>
        <w:tcBorders>
          <w:top w:val="nil"/>
          <w:left w:val="nil"/>
          <w:bottom w:val="nil"/>
          <w:right w:val="nil"/>
          <w:insideH w:val="nil"/>
          <w:insideV w:val="nil"/>
          <w:tl2br w:val="nil"/>
          <w:tr2bl w:val="nil"/>
        </w:tcBorders>
      </w:tcPr>
    </w:tblStylePr>
    <w:tblStylePr w:type="lastCol">
      <w:rPr>
        <w:i/>
        <w:i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1">
    <w:name w:val="Table Grid 2"/>
    <w:basedOn w:val="77"/>
    <w:semiHidden/>
    <w:qFormat/>
    <w:uiPriority w:val="0"/>
    <w:pPr>
      <w:widowControl w:val="0"/>
      <w:jc w:val="both"/>
    </w:pPr>
    <w:tblPr>
      <w:tblBorders>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nil"/>
          <w:bottom w:val="nil"/>
          <w:right w:val="nil"/>
          <w:insideH w:val="nil"/>
          <w:insideV w:val="nil"/>
          <w:tl2br w:val="nil"/>
          <w:tr2bl w:val="nil"/>
        </w:tcBorders>
      </w:tcPr>
    </w:tblStylePr>
    <w:tblStylePr w:type="lastRow">
      <w:rPr>
        <w:b/>
        <w:bCs/>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style>
  <w:style w:type="table" w:styleId="112">
    <w:name w:val="Table Grid 3"/>
    <w:basedOn w:val="77"/>
    <w:semiHidden/>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3">
    <w:name w:val="Table Grid 4"/>
    <w:basedOn w:val="77"/>
    <w:semiHidden/>
    <w:qFormat/>
    <w:uiPriority w:val="0"/>
    <w:pPr>
      <w:widowControl w:val="0"/>
      <w:jc w:val="both"/>
    </w:pPr>
    <w:tblPr>
      <w:tblBorders>
        <w:left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color w:val="auto"/>
      </w:rPr>
      <w:tblPr>
        <w:tblLayout w:type="fixed"/>
      </w:tblPr>
      <w:tcPr>
        <w:tcBorders>
          <w:top w:val="nil"/>
          <w:left w:val="single" w:color="000000" w:sz="6" w:space="0"/>
          <w:bottom w:val="nil"/>
          <w:right w:val="nil"/>
          <w:insideH w:val="nil"/>
          <w:insideV w:val="nil"/>
          <w:tl2br w:val="nil"/>
          <w:tr2bl w:val="nil"/>
        </w:tcBorders>
        <w:shd w:val="pct30" w:color="FFFF00" w:fill="FFFFFF"/>
      </w:tcPr>
    </w:tblStylePr>
    <w:tblStylePr w:type="lastRow">
      <w:rPr>
        <w:b/>
        <w:bCs/>
        <w:color w:val="auto"/>
      </w:rPr>
      <w:tblPr>
        <w:tblLayout w:type="fixed"/>
      </w:tblPr>
      <w:tcPr>
        <w:tcBorders>
          <w:top w:val="single" w:color="000000" w:sz="6" w:space="0"/>
          <w:left w:val="nil"/>
          <w:bottom w:val="nil"/>
          <w:right w:val="nil"/>
          <w:insideH w:val="nil"/>
          <w:insideV w:val="nil"/>
          <w:tl2br w:val="nil"/>
          <w:tr2bl w:val="nil"/>
        </w:tcBorders>
        <w:shd w:val="pct30" w:color="FFFF00" w:fill="FFFFFF"/>
      </w:tcPr>
    </w:tblStylePr>
    <w:tblStylePr w:type="lastCol">
      <w:rPr>
        <w:b/>
        <w:bCs/>
        <w:color w:val="auto"/>
      </w:rPr>
      <w:tblPr>
        <w:tblLayout w:type="fixed"/>
      </w:tblPr>
      <w:tcPr>
        <w:tcBorders>
          <w:top w:val="nil"/>
          <w:left w:val="nil"/>
          <w:bottom w:val="nil"/>
          <w:right w:val="nil"/>
          <w:insideH w:val="nil"/>
          <w:insideV w:val="nil"/>
          <w:tl2br w:val="nil"/>
          <w:tr2bl w:val="nil"/>
        </w:tcBorders>
      </w:tcPr>
    </w:tblStylePr>
  </w:style>
  <w:style w:type="table" w:styleId="114">
    <w:name w:val="Table Grid 5"/>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tblPr>
        <w:tblLayout w:type="fixed"/>
      </w:tblPr>
      <w:tcPr>
        <w:tcBorders>
          <w:top w:val="nil"/>
          <w:left w:val="single" w:color="000000" w:sz="12" w:space="0"/>
          <w:bottom w:val="nil"/>
          <w:right w:val="nil"/>
          <w:insideH w:val="nil"/>
          <w:insideV w:val="nil"/>
          <w:tl2br w:val="nil"/>
          <w:tr2bl w:val="nil"/>
        </w:tcBorders>
      </w:tcPr>
    </w:tblStylePr>
    <w:tblStylePr w:type="lastRow">
      <w:rPr>
        <w:b/>
        <w:bCs/>
      </w:rPr>
      <w:tblPr>
        <w:tblLayout w:type="fixed"/>
      </w:tblPr>
      <w:tcPr>
        <w:tcBorders>
          <w:top w:val="nil"/>
          <w:left w:val="nil"/>
          <w:bottom w:val="nil"/>
          <w:right w:val="nil"/>
          <w:insideH w:val="nil"/>
          <w:insideV w:val="nil"/>
          <w:tl2br w:val="nil"/>
          <w:tr2bl w:val="nil"/>
        </w:tcBorders>
      </w:tcPr>
    </w:tblStylePr>
    <w:tblStylePr w:type="la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5">
    <w:name w:val="Table Grid 6"/>
    <w:basedOn w:val="77"/>
    <w:semiHidden/>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rPr>
      <w:tblPr>
        <w:tblLayout w:type="fixed"/>
      </w:tblPr>
      <w:tcPr>
        <w:tcBorders>
          <w:top w:val="nil"/>
          <w:left w:val="single" w:color="000000" w:sz="6" w:space="0"/>
          <w:bottom w:val="nil"/>
          <w:right w:val="nil"/>
          <w:insideH w:val="nil"/>
          <w:insideV w:val="nil"/>
          <w:tl2br w:val="nil"/>
          <w:tr2bl w:val="nil"/>
        </w:tcBorders>
      </w:tcPr>
    </w:tblStylePr>
    <w:tblStylePr w:type="lastRow">
      <w:rPr>
        <w:color w:val="auto"/>
      </w:rPr>
      <w:tblPr>
        <w:tblLayout w:type="fixed"/>
      </w:tblPr>
      <w:tcPr>
        <w:tcBorders>
          <w:top w:val="single" w:color="000000" w:sz="6" w:space="0"/>
          <w:left w:val="nil"/>
          <w:bottom w:val="nil"/>
          <w:right w:val="nil"/>
          <w:insideH w:val="nil"/>
          <w:insideV w:val="nil"/>
          <w:tl2br w:val="nil"/>
          <w:tr2bl w:val="nil"/>
        </w:tcBorders>
      </w:tcPr>
    </w:tblStylePr>
    <w:tblStylePr w:type="firstCol">
      <w:rPr>
        <w:b/>
        <w:bCs/>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6">
    <w:name w:val="Table Grid 7"/>
    <w:basedOn w:val="77"/>
    <w:semiHidden/>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val="0"/>
        <w:bCs w:val="0"/>
      </w:rPr>
      <w:tblPr>
        <w:tblLayout w:type="fixed"/>
      </w:tblPr>
      <w:tcPr>
        <w:tcBorders>
          <w:top w:val="nil"/>
          <w:left w:val="single" w:color="000000" w:sz="12" w:space="0"/>
          <w:bottom w:val="nil"/>
          <w:right w:val="nil"/>
          <w:insideH w:val="nil"/>
          <w:insideV w:val="nil"/>
          <w:tl2br w:val="nil"/>
          <w:tr2bl w:val="nil"/>
        </w:tcBorders>
      </w:tcPr>
    </w:tblStylePr>
    <w:tblStylePr w:type="lastRow">
      <w:rPr>
        <w:b w:val="0"/>
        <w:bCs w:val="0"/>
      </w:rPr>
      <w:tblPr>
        <w:tblLayout w:type="fixed"/>
      </w:tblPr>
      <w:tcPr>
        <w:tcBorders>
          <w:top w:val="single" w:color="000000" w:sz="6" w:space="0"/>
          <w:left w:val="nil"/>
          <w:bottom w:val="nil"/>
          <w:right w:val="nil"/>
          <w:insideH w:val="nil"/>
          <w:insideV w:val="nil"/>
          <w:tl2br w:val="nil"/>
          <w:tr2bl w:val="nil"/>
        </w:tcBorders>
      </w:tcPr>
    </w:tblStylePr>
    <w:tblStylePr w:type="firstCol">
      <w:rPr>
        <w:b w:val="0"/>
        <w:bCs w:val="0"/>
      </w:rPr>
      <w:tblPr>
        <w:tblLayout w:type="fixed"/>
      </w:tblPr>
      <w:tcPr>
        <w:tcBorders>
          <w:top w:val="nil"/>
          <w:left w:val="nil"/>
          <w:bottom w:val="nil"/>
          <w:right w:val="nil"/>
          <w:insideH w:val="nil"/>
          <w:insideV w:val="nil"/>
          <w:tl2br w:val="nil"/>
          <w:tr2bl w:val="nil"/>
        </w:tcBorders>
      </w:tcPr>
    </w:tblStylePr>
    <w:tblStylePr w:type="lastCol">
      <w:rPr>
        <w:b w:val="0"/>
        <w:bCs w:val="0"/>
      </w:rPr>
      <w:tblPr>
        <w:tblLayout w:type="fixed"/>
      </w:tblPr>
      <w:tcPr>
        <w:tcBorders>
          <w:top w:val="nil"/>
          <w:left w:val="nil"/>
          <w:bottom w:val="nil"/>
          <w:right w:val="nil"/>
          <w:insideH w:val="nil"/>
          <w:insideV w:val="nil"/>
          <w:tl2br w:val="nil"/>
          <w:tr2bl w:val="nil"/>
        </w:tcBorders>
      </w:tcPr>
    </w:tblStylePr>
    <w:tblStylePr w:type="nwCell">
      <w:tblPr>
        <w:tblLayout w:type="fixed"/>
      </w:tblPr>
      <w:tcPr>
        <w:tcBorders>
          <w:top w:val="nil"/>
          <w:left w:val="nil"/>
          <w:bottom w:val="nil"/>
          <w:right w:val="nil"/>
          <w:insideH w:val="nil"/>
          <w:insideV w:val="nil"/>
          <w:tl2br w:val="single" w:color="000000" w:sz="6" w:space="0"/>
          <w:tr2bl w:val="nil"/>
        </w:tcBorders>
      </w:tcPr>
    </w:tblStylePr>
  </w:style>
  <w:style w:type="table" w:styleId="117">
    <w:name w:val="Table Grid 8"/>
    <w:basedOn w:val="77"/>
    <w:semiHidden/>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Layout w:type="fixed"/>
      <w:tblCellMar>
        <w:top w:w="0" w:type="dxa"/>
        <w:left w:w="108" w:type="dxa"/>
        <w:bottom w:w="0" w:type="dxa"/>
        <w:right w:w="108" w:type="dxa"/>
      </w:tblCellMar>
    </w:tblPr>
    <w:tcPr>
      <w:shd w:val="clear" w:color="auto" w:fill="auto"/>
    </w:tcPr>
    <w:tblStylePr w:type="firstRow">
      <w:rPr>
        <w:b/>
        <w:bCs/>
        <w:color w:val="FFFFFF"/>
      </w:rPr>
      <w:tblPr>
        <w:tblLayout w:type="fixed"/>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blLayout w:type="fixed"/>
      </w:tblPr>
      <w:tcPr>
        <w:tcBorders>
          <w:top w:val="nil"/>
          <w:left w:val="nil"/>
          <w:bottom w:val="nil"/>
          <w:right w:val="nil"/>
          <w:insideH w:val="nil"/>
          <w:insideV w:val="nil"/>
          <w:tl2br w:val="nil"/>
          <w:tr2bl w:val="nil"/>
        </w:tcBorders>
      </w:tcPr>
    </w:tblStylePr>
    <w:tblStylePr w:type="lastCol">
      <w:rPr>
        <w:b/>
        <w:bCs/>
        <w:color w:val="auto"/>
      </w:rPr>
      <w:tblPr>
        <w:tblLayout w:type="fixed"/>
      </w:tblPr>
      <w:tcPr>
        <w:tcBorders>
          <w:top w:val="nil"/>
          <w:left w:val="nil"/>
          <w:bottom w:val="nil"/>
          <w:right w:val="nil"/>
          <w:insideH w:val="nil"/>
          <w:insideV w:val="nil"/>
          <w:tl2br w:val="nil"/>
          <w:tr2bl w:val="nil"/>
        </w:tcBorders>
      </w:tcPr>
    </w:tblStylePr>
  </w:style>
  <w:style w:type="table" w:styleId="118">
    <w:name w:val="Table Web 1"/>
    <w:basedOn w:val="77"/>
    <w:semiHidden/>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19">
    <w:name w:val="Table Web 2"/>
    <w:basedOn w:val="77"/>
    <w:semiHidden/>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20">
    <w:name w:val="Table Web 3"/>
    <w:basedOn w:val="77"/>
    <w:semiHidden/>
    <w:qFormat/>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Layout w:type="fixed"/>
      <w:tblCellMar>
        <w:top w:w="0" w:type="dxa"/>
        <w:left w:w="108" w:type="dxa"/>
        <w:bottom w:w="0" w:type="dxa"/>
        <w:right w:w="108" w:type="dxa"/>
      </w:tblCellMar>
    </w:tblPr>
    <w:trPr>
      <w:tblCellSpacing w:w="20" w:type="dxa"/>
    </w:trPr>
    <w:tcPr>
      <w:shd w:val="clear" w:color="auto" w:fill="auto"/>
    </w:tcPr>
    <w:tblStylePr w:type="firstRow">
      <w:rPr>
        <w:color w:val="auto"/>
      </w:rPr>
      <w:tblPr>
        <w:tblLayout w:type="fixed"/>
      </w:tblPr>
      <w:tcPr>
        <w:tcBorders>
          <w:top w:val="nil"/>
          <w:left w:val="nil"/>
          <w:bottom w:val="nil"/>
          <w:right w:val="nil"/>
          <w:insideH w:val="nil"/>
          <w:insideV w:val="nil"/>
          <w:tl2br w:val="nil"/>
          <w:tr2bl w:val="nil"/>
        </w:tcBorders>
      </w:tcPr>
    </w:tblStylePr>
  </w:style>
  <w:style w:type="table" w:styleId="121">
    <w:name w:val="Table Professional"/>
    <w:basedOn w:val="77"/>
    <w:semiHidden/>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cPr>
      <w:shd w:val="clear" w:color="auto" w:fill="auto"/>
    </w:tcPr>
    <w:tblStylePr w:type="firstRow">
      <w:rPr>
        <w:b/>
        <w:bCs/>
        <w:color w:val="auto"/>
      </w:rPr>
      <w:tblPr>
        <w:tblLayout w:type="fixed"/>
      </w:tblPr>
      <w:tcPr>
        <w:tcBorders>
          <w:top w:val="nil"/>
          <w:left w:val="nil"/>
          <w:bottom w:val="nil"/>
          <w:right w:val="nil"/>
          <w:insideH w:val="nil"/>
          <w:insideV w:val="nil"/>
          <w:tl2br w:val="nil"/>
          <w:tr2bl w:val="nil"/>
        </w:tcBorders>
        <w:shd w:val="solid" w:color="000000" w:fill="FFFFFF"/>
      </w:tcPr>
    </w:tblStylePr>
  </w:style>
  <w:style w:type="character" w:styleId="123">
    <w:name w:val="Strong"/>
    <w:qFormat/>
    <w:uiPriority w:val="0"/>
    <w:rPr>
      <w:b/>
      <w:bCs/>
    </w:rPr>
  </w:style>
  <w:style w:type="character" w:styleId="124">
    <w:name w:val="endnote reference"/>
    <w:qFormat/>
    <w:uiPriority w:val="0"/>
    <w:rPr>
      <w:vertAlign w:val="superscript"/>
    </w:rPr>
  </w:style>
  <w:style w:type="character" w:styleId="125">
    <w:name w:val="page number"/>
    <w:basedOn w:val="122"/>
    <w:qFormat/>
    <w:uiPriority w:val="0"/>
  </w:style>
  <w:style w:type="character" w:styleId="126">
    <w:name w:val="FollowedHyperlink"/>
    <w:semiHidden/>
    <w:qFormat/>
    <w:uiPriority w:val="99"/>
    <w:rPr>
      <w:color w:val="800080"/>
      <w:u w:val="single"/>
    </w:rPr>
  </w:style>
  <w:style w:type="character" w:styleId="127">
    <w:name w:val="Emphasis"/>
    <w:qFormat/>
    <w:uiPriority w:val="0"/>
    <w:rPr>
      <w:i/>
      <w:iCs/>
    </w:rPr>
  </w:style>
  <w:style w:type="character" w:styleId="128">
    <w:name w:val="line number"/>
    <w:basedOn w:val="122"/>
    <w:semiHidden/>
    <w:qFormat/>
    <w:uiPriority w:val="0"/>
  </w:style>
  <w:style w:type="character" w:styleId="129">
    <w:name w:val="HTML Definition"/>
    <w:semiHidden/>
    <w:qFormat/>
    <w:uiPriority w:val="0"/>
    <w:rPr>
      <w:i/>
      <w:iCs/>
    </w:rPr>
  </w:style>
  <w:style w:type="character" w:styleId="130">
    <w:name w:val="HTML Typewriter"/>
    <w:semiHidden/>
    <w:qFormat/>
    <w:uiPriority w:val="0"/>
    <w:rPr>
      <w:rFonts w:ascii="Courier New" w:hAnsi="Courier New" w:cs="Courier New"/>
      <w:sz w:val="20"/>
      <w:szCs w:val="20"/>
    </w:rPr>
  </w:style>
  <w:style w:type="character" w:styleId="131">
    <w:name w:val="HTML Acronym"/>
    <w:basedOn w:val="122"/>
    <w:semiHidden/>
    <w:qFormat/>
    <w:uiPriority w:val="0"/>
  </w:style>
  <w:style w:type="character" w:styleId="132">
    <w:name w:val="HTML Variable"/>
    <w:semiHidden/>
    <w:qFormat/>
    <w:uiPriority w:val="0"/>
    <w:rPr>
      <w:i/>
      <w:iCs/>
    </w:rPr>
  </w:style>
  <w:style w:type="character" w:styleId="133">
    <w:name w:val="Hyperlink"/>
    <w:qFormat/>
    <w:uiPriority w:val="99"/>
    <w:rPr>
      <w:color w:val="0000FF"/>
      <w:u w:val="single"/>
    </w:rPr>
  </w:style>
  <w:style w:type="character" w:styleId="134">
    <w:name w:val="HTML Code"/>
    <w:semiHidden/>
    <w:qFormat/>
    <w:uiPriority w:val="0"/>
    <w:rPr>
      <w:rFonts w:ascii="Courier New" w:hAnsi="Courier New" w:cs="Courier New"/>
      <w:sz w:val="20"/>
      <w:szCs w:val="20"/>
    </w:rPr>
  </w:style>
  <w:style w:type="character" w:styleId="135">
    <w:name w:val="annotation reference"/>
    <w:qFormat/>
    <w:uiPriority w:val="0"/>
    <w:rPr>
      <w:sz w:val="21"/>
      <w:szCs w:val="21"/>
    </w:rPr>
  </w:style>
  <w:style w:type="character" w:styleId="136">
    <w:name w:val="HTML Cite"/>
    <w:semiHidden/>
    <w:qFormat/>
    <w:uiPriority w:val="0"/>
    <w:rPr>
      <w:i/>
      <w:iCs/>
    </w:rPr>
  </w:style>
  <w:style w:type="character" w:styleId="137">
    <w:name w:val="footnote reference"/>
    <w:qFormat/>
    <w:uiPriority w:val="0"/>
    <w:rPr>
      <w:vertAlign w:val="superscript"/>
    </w:rPr>
  </w:style>
  <w:style w:type="character" w:styleId="138">
    <w:name w:val="HTML Keyboard"/>
    <w:semiHidden/>
    <w:qFormat/>
    <w:uiPriority w:val="0"/>
    <w:rPr>
      <w:rFonts w:ascii="Courier New" w:hAnsi="Courier New" w:cs="Courier New"/>
      <w:sz w:val="20"/>
      <w:szCs w:val="20"/>
    </w:rPr>
  </w:style>
  <w:style w:type="character" w:styleId="139">
    <w:name w:val="HTML Sample"/>
    <w:semiHidden/>
    <w:qFormat/>
    <w:uiPriority w:val="0"/>
    <w:rPr>
      <w:rFonts w:ascii="Courier New" w:hAnsi="Courier New" w:cs="Courier New"/>
    </w:rPr>
  </w:style>
  <w:style w:type="character" w:customStyle="1" w:styleId="140">
    <w:name w:val="标题 1 Char"/>
    <w:link w:val="3"/>
    <w:qFormat/>
    <w:uiPriority w:val="0"/>
    <w:rPr>
      <w:rFonts w:ascii="方正黑体_GBK" w:hAnsi="方正黑体_GBK" w:eastAsia="方正黑体_GBK"/>
      <w:bCs/>
      <w:kern w:val="44"/>
      <w:sz w:val="32"/>
      <w:szCs w:val="44"/>
      <w:lang w:val="en-US" w:eastAsia="zh-CN" w:bidi="ar-SA"/>
    </w:rPr>
  </w:style>
  <w:style w:type="character" w:customStyle="1" w:styleId="141">
    <w:name w:val="标题 2 Char"/>
    <w:qFormat/>
    <w:uiPriority w:val="0"/>
    <w:rPr>
      <w:rFonts w:ascii="Arial" w:hAnsi="Arial" w:eastAsia="黑体"/>
      <w:b/>
      <w:bCs/>
      <w:kern w:val="2"/>
      <w:sz w:val="32"/>
      <w:szCs w:val="32"/>
      <w:lang w:val="en-US" w:eastAsia="zh-CN" w:bidi="ar-SA"/>
    </w:rPr>
  </w:style>
  <w:style w:type="paragraph" w:customStyle="1" w:styleId="142">
    <w:name w:val="样式2"/>
    <w:basedOn w:val="4"/>
    <w:semiHidden/>
    <w:qFormat/>
    <w:uiPriority w:val="0"/>
    <w:pPr>
      <w:tabs>
        <w:tab w:val="left" w:pos="567"/>
        <w:tab w:val="left" w:pos="850"/>
      </w:tabs>
      <w:topLinePunct/>
      <w:spacing w:before="0" w:after="0" w:line="960" w:lineRule="auto"/>
      <w:ind w:firstLine="420"/>
      <w:jc w:val="left"/>
    </w:pPr>
    <w:rPr>
      <w:rFonts w:ascii="Times New Roman" w:hAnsi="Times New Roman"/>
      <w:bCs w:val="0"/>
      <w:sz w:val="36"/>
      <w:szCs w:val="36"/>
    </w:rPr>
  </w:style>
  <w:style w:type="character" w:customStyle="1" w:styleId="143">
    <w:name w:val="页眉 Char1"/>
    <w:link w:val="49"/>
    <w:qFormat/>
    <w:uiPriority w:val="0"/>
    <w:rPr>
      <w:rFonts w:eastAsia="宋体"/>
      <w:kern w:val="2"/>
      <w:sz w:val="21"/>
      <w:szCs w:val="24"/>
      <w:lang w:bidi="ar-SA"/>
    </w:rPr>
  </w:style>
  <w:style w:type="character" w:customStyle="1" w:styleId="144">
    <w:name w:val="标题 3 Char"/>
    <w:link w:val="5"/>
    <w:qFormat/>
    <w:uiPriority w:val="0"/>
    <w:rPr>
      <w:rFonts w:eastAsia="宋体"/>
      <w:b/>
      <w:bCs/>
      <w:kern w:val="2"/>
      <w:sz w:val="24"/>
      <w:szCs w:val="32"/>
      <w:lang w:val="en-US" w:eastAsia="zh-CN" w:bidi="ar-SA"/>
    </w:rPr>
  </w:style>
  <w:style w:type="character" w:customStyle="1" w:styleId="145">
    <w:name w:val="页脚 Char1"/>
    <w:link w:val="47"/>
    <w:qFormat/>
    <w:uiPriority w:val="0"/>
    <w:rPr>
      <w:rFonts w:eastAsia="宋体"/>
      <w:kern w:val="2"/>
      <w:sz w:val="18"/>
      <w:szCs w:val="18"/>
      <w:lang w:bidi="ar-SA"/>
    </w:rPr>
  </w:style>
  <w:style w:type="character" w:customStyle="1" w:styleId="146">
    <w:name w:val="样式 Arial"/>
    <w:qFormat/>
    <w:uiPriority w:val="0"/>
    <w:rPr>
      <w:rFonts w:hint="default" w:ascii="Times New Roman" w:hAnsi="Times New Roman" w:eastAsia="宋体" w:cs="Times New Roman"/>
      <w:sz w:val="21"/>
      <w:szCs w:val="21"/>
    </w:rPr>
  </w:style>
  <w:style w:type="character" w:customStyle="1" w:styleId="147">
    <w:name w:val="页脚 Char"/>
    <w:qFormat/>
    <w:uiPriority w:val="99"/>
    <w:rPr>
      <w:rFonts w:eastAsia="宋体"/>
      <w:kern w:val="2"/>
      <w:sz w:val="18"/>
      <w:lang w:val="en-US" w:eastAsia="zh-CN" w:bidi="ar-SA"/>
    </w:rPr>
  </w:style>
  <w:style w:type="character" w:customStyle="1" w:styleId="148">
    <w:name w:val="批注框文本 Char"/>
    <w:link w:val="46"/>
    <w:qFormat/>
    <w:uiPriority w:val="0"/>
    <w:rPr>
      <w:rFonts w:eastAsia="宋体"/>
      <w:kern w:val="2"/>
      <w:sz w:val="18"/>
      <w:szCs w:val="18"/>
      <w:lang w:val="en-US" w:eastAsia="zh-CN" w:bidi="ar-SA"/>
    </w:rPr>
  </w:style>
  <w:style w:type="character" w:customStyle="1" w:styleId="149">
    <w:name w:val="标题 2 Char1"/>
    <w:link w:val="4"/>
    <w:qFormat/>
    <w:uiPriority w:val="0"/>
    <w:rPr>
      <w:rFonts w:ascii="方正楷体_GBK" w:hAnsi="方正楷体_GBK" w:eastAsia="方正楷体_GBK"/>
      <w:bCs/>
      <w:kern w:val="2"/>
      <w:sz w:val="32"/>
      <w:szCs w:val="32"/>
      <w:lang w:val="en-US" w:eastAsia="zh-CN" w:bidi="ar-SA"/>
    </w:rPr>
  </w:style>
  <w:style w:type="character" w:customStyle="1" w:styleId="150">
    <w:name w:val="脚注文本 Char"/>
    <w:qFormat/>
    <w:uiPriority w:val="0"/>
    <w:rPr>
      <w:rFonts w:eastAsia="宋体"/>
      <w:kern w:val="2"/>
      <w:sz w:val="18"/>
      <w:lang w:val="en-US" w:eastAsia="zh-CN" w:bidi="ar-SA"/>
    </w:rPr>
  </w:style>
  <w:style w:type="character" w:customStyle="1" w:styleId="151">
    <w:name w:val="页眉 Char"/>
    <w:qFormat/>
    <w:uiPriority w:val="99"/>
    <w:rPr>
      <w:rFonts w:eastAsia="宋体"/>
      <w:kern w:val="2"/>
      <w:sz w:val="18"/>
      <w:lang w:val="en-US" w:eastAsia="zh-CN" w:bidi="ar-SA"/>
    </w:rPr>
  </w:style>
  <w:style w:type="character" w:customStyle="1" w:styleId="152">
    <w:name w:val="文档结构图 Char"/>
    <w:link w:val="23"/>
    <w:qFormat/>
    <w:uiPriority w:val="0"/>
    <w:rPr>
      <w:rFonts w:ascii="Tahoma" w:hAnsi="Tahoma" w:eastAsia="宋体"/>
      <w:kern w:val="2"/>
      <w:sz w:val="16"/>
      <w:szCs w:val="16"/>
      <w:lang w:bidi="ar-SA"/>
    </w:rPr>
  </w:style>
  <w:style w:type="character" w:customStyle="1" w:styleId="153">
    <w:name w:val="3z Char"/>
    <w:link w:val="154"/>
    <w:qFormat/>
    <w:locked/>
    <w:uiPriority w:val="0"/>
    <w:rPr>
      <w:rFonts w:ascii="EU-F1" w:eastAsia="黑体"/>
      <w:kern w:val="2"/>
      <w:sz w:val="21"/>
      <w:szCs w:val="21"/>
      <w:lang w:val="en-US" w:eastAsia="zh-CN" w:bidi="ar-SA"/>
    </w:rPr>
  </w:style>
  <w:style w:type="paragraph" w:customStyle="1" w:styleId="154">
    <w:name w:val="3z"/>
    <w:basedOn w:val="1"/>
    <w:link w:val="153"/>
    <w:qFormat/>
    <w:uiPriority w:val="0"/>
    <w:pPr>
      <w:topLinePunct/>
      <w:spacing w:line="312" w:lineRule="exact"/>
    </w:pPr>
    <w:rPr>
      <w:rFonts w:ascii="EU-F1" w:hAnsi="Calibri" w:eastAsia="黑体"/>
      <w:szCs w:val="21"/>
    </w:rPr>
  </w:style>
  <w:style w:type="character" w:customStyle="1" w:styleId="155">
    <w:name w:val="Char Char8"/>
    <w:qFormat/>
    <w:uiPriority w:val="0"/>
    <w:rPr>
      <w:rFonts w:ascii="Arial" w:hAnsi="Arial" w:eastAsia="黑体"/>
      <w:b/>
      <w:bCs/>
      <w:kern w:val="2"/>
      <w:sz w:val="32"/>
      <w:szCs w:val="32"/>
      <w:lang w:val="en-US" w:eastAsia="zh-CN" w:bidi="ar-SA"/>
    </w:rPr>
  </w:style>
  <w:style w:type="character" w:customStyle="1" w:styleId="156">
    <w:name w:val="font11"/>
    <w:basedOn w:val="122"/>
    <w:qFormat/>
    <w:uiPriority w:val="0"/>
    <w:rPr>
      <w:rFonts w:hint="eastAsia" w:ascii="宋体" w:hAnsi="宋体" w:eastAsia="宋体" w:cs="宋体"/>
      <w:color w:val="000000"/>
      <w:sz w:val="20"/>
      <w:szCs w:val="20"/>
      <w:u w:val="none"/>
    </w:rPr>
  </w:style>
  <w:style w:type="character" w:customStyle="1" w:styleId="157">
    <w:name w:val="样式6 Char"/>
    <w:link w:val="158"/>
    <w:qFormat/>
    <w:uiPriority w:val="0"/>
    <w:rPr>
      <w:rFonts w:eastAsia="黑体"/>
      <w:kern w:val="2"/>
      <w:sz w:val="21"/>
      <w:szCs w:val="21"/>
      <w:lang w:val="en-US" w:eastAsia="zh-CN" w:bidi="ar-SA"/>
    </w:rPr>
  </w:style>
  <w:style w:type="paragraph" w:customStyle="1" w:styleId="158">
    <w:name w:val="样式6"/>
    <w:basedOn w:val="1"/>
    <w:link w:val="157"/>
    <w:qFormat/>
    <w:uiPriority w:val="0"/>
    <w:pPr>
      <w:topLinePunct/>
      <w:spacing w:before="160" w:after="60"/>
      <w:jc w:val="center"/>
    </w:pPr>
    <w:rPr>
      <w:rFonts w:ascii="Calibri" w:hAnsi="Calibri" w:eastAsia="黑体"/>
      <w:szCs w:val="21"/>
    </w:rPr>
  </w:style>
  <w:style w:type="character" w:customStyle="1" w:styleId="159">
    <w:name w:val="批注文字 Char"/>
    <w:link w:val="24"/>
    <w:qFormat/>
    <w:uiPriority w:val="99"/>
    <w:rPr>
      <w:rFonts w:eastAsia="宋体"/>
      <w:kern w:val="2"/>
      <w:sz w:val="21"/>
      <w:szCs w:val="24"/>
      <w:lang w:val="en-US" w:eastAsia="zh-CN" w:bidi="ar-SA"/>
    </w:rPr>
  </w:style>
  <w:style w:type="character" w:customStyle="1" w:styleId="160">
    <w:name w:val="Char Char1"/>
    <w:qFormat/>
    <w:uiPriority w:val="0"/>
    <w:rPr>
      <w:rFonts w:eastAsia="华文仿宋"/>
      <w:kern w:val="2"/>
      <w:sz w:val="18"/>
      <w:lang w:val="en-US" w:eastAsia="zh-CN"/>
    </w:rPr>
  </w:style>
  <w:style w:type="character" w:customStyle="1" w:styleId="161">
    <w:name w:val="纯文本 Char"/>
    <w:link w:val="38"/>
    <w:qFormat/>
    <w:uiPriority w:val="0"/>
    <w:rPr>
      <w:rFonts w:ascii="宋体" w:hAnsi="Courier New" w:eastAsia="宋体" w:cs="Courier New"/>
      <w:kern w:val="2"/>
      <w:sz w:val="21"/>
      <w:szCs w:val="21"/>
      <w:lang w:val="en-US" w:eastAsia="zh-CN" w:bidi="ar-SA"/>
    </w:rPr>
  </w:style>
  <w:style w:type="character" w:customStyle="1" w:styleId="162">
    <w:name w:val="正文格式 Char"/>
    <w:link w:val="163"/>
    <w:qFormat/>
    <w:uiPriority w:val="0"/>
    <w:rPr>
      <w:rFonts w:ascii="宋体" w:hAnsi="宋体" w:eastAsia="宋体"/>
      <w:bCs/>
      <w:kern w:val="2"/>
      <w:sz w:val="21"/>
      <w:szCs w:val="21"/>
      <w:lang w:val="en-US" w:eastAsia="zh-CN" w:bidi="ar-SA"/>
    </w:rPr>
  </w:style>
  <w:style w:type="paragraph" w:customStyle="1" w:styleId="163">
    <w:name w:val="正文格式"/>
    <w:basedOn w:val="1"/>
    <w:link w:val="162"/>
    <w:qFormat/>
    <w:uiPriority w:val="0"/>
    <w:pPr>
      <w:topLinePunct/>
      <w:ind w:firstLine="420" w:firstLineChars="200"/>
    </w:pPr>
    <w:rPr>
      <w:rFonts w:ascii="宋体" w:hAnsi="宋体"/>
      <w:bCs/>
      <w:szCs w:val="21"/>
    </w:rPr>
  </w:style>
  <w:style w:type="character" w:customStyle="1" w:styleId="164">
    <w:name w:val="Char Char10"/>
    <w:qFormat/>
    <w:uiPriority w:val="0"/>
    <w:rPr>
      <w:b/>
      <w:kern w:val="2"/>
      <w:sz w:val="28"/>
    </w:rPr>
  </w:style>
  <w:style w:type="character" w:customStyle="1" w:styleId="165">
    <w:name w:val="jl 三级 Char Char"/>
    <w:link w:val="166"/>
    <w:qFormat/>
    <w:uiPriority w:val="0"/>
    <w:rPr>
      <w:rFonts w:ascii="宋体" w:hAnsi="宋体" w:eastAsia="宋体"/>
      <w:b/>
      <w:color w:val="000000"/>
      <w:kern w:val="2"/>
      <w:sz w:val="24"/>
      <w:szCs w:val="24"/>
      <w:lang w:val="en-US" w:eastAsia="zh-CN" w:bidi="ar-SA"/>
    </w:rPr>
  </w:style>
  <w:style w:type="paragraph" w:customStyle="1" w:styleId="166">
    <w:name w:val="jl 三级 Char"/>
    <w:basedOn w:val="1"/>
    <w:link w:val="165"/>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67">
    <w:name w:val="font41"/>
    <w:basedOn w:val="122"/>
    <w:qFormat/>
    <w:uiPriority w:val="0"/>
    <w:rPr>
      <w:rFonts w:hint="eastAsia" w:ascii="宋体" w:hAnsi="宋体" w:eastAsia="宋体" w:cs="宋体"/>
      <w:color w:val="000000"/>
      <w:sz w:val="36"/>
      <w:szCs w:val="36"/>
      <w:u w:val="none"/>
    </w:rPr>
  </w:style>
  <w:style w:type="character" w:customStyle="1" w:styleId="168">
    <w:name w:val="Char Char16"/>
    <w:qFormat/>
    <w:uiPriority w:val="0"/>
    <w:rPr>
      <w:rFonts w:ascii="Arial" w:hAnsi="Arial" w:eastAsia="黑体"/>
      <w:b/>
      <w:bCs/>
      <w:kern w:val="2"/>
      <w:sz w:val="32"/>
      <w:szCs w:val="32"/>
      <w:lang w:val="en-US" w:eastAsia="zh-CN" w:bidi="ar-SA"/>
    </w:rPr>
  </w:style>
  <w:style w:type="character" w:customStyle="1" w:styleId="169">
    <w:name w:val="Char Char9"/>
    <w:qFormat/>
    <w:uiPriority w:val="0"/>
    <w:rPr>
      <w:kern w:val="2"/>
      <w:sz w:val="18"/>
      <w:szCs w:val="18"/>
    </w:rPr>
  </w:style>
  <w:style w:type="character" w:customStyle="1" w:styleId="170">
    <w:name w:val="font21"/>
    <w:basedOn w:val="122"/>
    <w:qFormat/>
    <w:uiPriority w:val="0"/>
    <w:rPr>
      <w:rFonts w:ascii="Arial" w:hAnsi="Arial" w:cs="Arial"/>
      <w:color w:val="000000"/>
      <w:sz w:val="24"/>
      <w:szCs w:val="24"/>
      <w:u w:val="none"/>
    </w:rPr>
  </w:style>
  <w:style w:type="character" w:customStyle="1" w:styleId="171">
    <w:name w:val="Char Char11"/>
    <w:qFormat/>
    <w:uiPriority w:val="0"/>
    <w:rPr>
      <w:rFonts w:ascii="Arial" w:hAnsi="Arial" w:eastAsia="黑体"/>
      <w:b/>
      <w:kern w:val="2"/>
      <w:sz w:val="32"/>
    </w:rPr>
  </w:style>
  <w:style w:type="character" w:customStyle="1" w:styleId="172">
    <w:name w:val="正文文本缩进 2 Char"/>
    <w:link w:val="43"/>
    <w:semiHidden/>
    <w:qFormat/>
    <w:locked/>
    <w:uiPriority w:val="0"/>
    <w:rPr>
      <w:rFonts w:ascii="宋体" w:eastAsia="宋体"/>
      <w:color w:val="000000"/>
      <w:kern w:val="2"/>
      <w:sz w:val="24"/>
      <w:szCs w:val="24"/>
      <w:lang w:val="en-US" w:eastAsia="zh-CN" w:bidi="ar-SA"/>
    </w:rPr>
  </w:style>
  <w:style w:type="character" w:customStyle="1" w:styleId="173">
    <w:name w:val="Footnote Text Char1"/>
    <w:qFormat/>
    <w:uiPriority w:val="0"/>
    <w:rPr>
      <w:kern w:val="2"/>
    </w:rPr>
  </w:style>
  <w:style w:type="character" w:customStyle="1" w:styleId="174">
    <w:name w:val="脚注文本 Char1"/>
    <w:qFormat/>
    <w:uiPriority w:val="0"/>
    <w:rPr>
      <w:kern w:val="2"/>
      <w:sz w:val="18"/>
      <w:szCs w:val="18"/>
    </w:rPr>
  </w:style>
  <w:style w:type="character" w:customStyle="1" w:styleId="175">
    <w:name w:val="脚注文本 Char2"/>
    <w:link w:val="59"/>
    <w:qFormat/>
    <w:uiPriority w:val="0"/>
    <w:rPr>
      <w:sz w:val="18"/>
      <w:lang w:bidi="ar-SA"/>
    </w:rPr>
  </w:style>
  <w:style w:type="character" w:customStyle="1" w:styleId="176">
    <w:name w:val="jl 正文 Char Char Char"/>
    <w:link w:val="177"/>
    <w:qFormat/>
    <w:uiPriority w:val="0"/>
    <w:rPr>
      <w:rFonts w:ascii="宋体" w:eastAsia="宋体"/>
      <w:kern w:val="2"/>
      <w:sz w:val="24"/>
      <w:szCs w:val="24"/>
      <w:lang w:val="en-US" w:eastAsia="zh-CN" w:bidi="ar-SA"/>
    </w:rPr>
  </w:style>
  <w:style w:type="paragraph" w:customStyle="1" w:styleId="177">
    <w:name w:val="jl 正文 Char Char"/>
    <w:basedOn w:val="1"/>
    <w:link w:val="176"/>
    <w:semiHidden/>
    <w:qFormat/>
    <w:uiPriority w:val="0"/>
    <w:pPr>
      <w:autoSpaceDE w:val="0"/>
      <w:autoSpaceDN w:val="0"/>
      <w:adjustRightInd w:val="0"/>
      <w:ind w:firstLine="200" w:firstLineChars="200"/>
      <w:jc w:val="left"/>
      <w:textAlignment w:val="baseline"/>
    </w:pPr>
    <w:rPr>
      <w:rFonts w:ascii="宋体" w:hAnsi="Calibri"/>
      <w:sz w:val="24"/>
    </w:rPr>
  </w:style>
  <w:style w:type="character" w:customStyle="1" w:styleId="178">
    <w:name w:val="font01"/>
    <w:basedOn w:val="122"/>
    <w:qFormat/>
    <w:uiPriority w:val="0"/>
    <w:rPr>
      <w:rFonts w:hint="default" w:ascii="Arial" w:hAnsi="Arial" w:cs="Arial"/>
      <w:color w:val="000000"/>
      <w:sz w:val="20"/>
      <w:szCs w:val="20"/>
      <w:u w:val="none"/>
    </w:rPr>
  </w:style>
  <w:style w:type="character" w:customStyle="1" w:styleId="179">
    <w:name w:val="font31"/>
    <w:basedOn w:val="122"/>
    <w:qFormat/>
    <w:uiPriority w:val="0"/>
    <w:rPr>
      <w:rFonts w:ascii="Arial" w:hAnsi="Arial" w:cs="Arial"/>
      <w:color w:val="000000"/>
      <w:sz w:val="36"/>
      <w:szCs w:val="36"/>
      <w:u w:val="none"/>
    </w:rPr>
  </w:style>
  <w:style w:type="character" w:customStyle="1" w:styleId="180">
    <w:name w:val="Char Char7"/>
    <w:qFormat/>
    <w:uiPriority w:val="0"/>
    <w:rPr>
      <w:b/>
      <w:kern w:val="44"/>
      <w:sz w:val="44"/>
    </w:rPr>
  </w:style>
  <w:style w:type="character" w:customStyle="1" w:styleId="181">
    <w:name w:val="Char Char12"/>
    <w:qFormat/>
    <w:uiPriority w:val="0"/>
    <w:rPr>
      <w:b/>
      <w:kern w:val="44"/>
      <w:sz w:val="44"/>
    </w:rPr>
  </w:style>
  <w:style w:type="character" w:customStyle="1" w:styleId="182">
    <w:name w:val="表头 Char"/>
    <w:link w:val="183"/>
    <w:qFormat/>
    <w:uiPriority w:val="0"/>
    <w:rPr>
      <w:rFonts w:eastAsia="黑体"/>
      <w:kern w:val="2"/>
      <w:sz w:val="21"/>
      <w:szCs w:val="21"/>
      <w:lang w:val="en-US" w:eastAsia="zh-CN" w:bidi="ar-SA"/>
    </w:rPr>
  </w:style>
  <w:style w:type="paragraph" w:customStyle="1" w:styleId="183">
    <w:name w:val="表头"/>
    <w:basedOn w:val="1"/>
    <w:link w:val="182"/>
    <w:qFormat/>
    <w:uiPriority w:val="0"/>
    <w:pPr>
      <w:topLinePunct/>
      <w:spacing w:before="160" w:after="60"/>
      <w:jc w:val="center"/>
    </w:pPr>
    <w:rPr>
      <w:rFonts w:ascii="Calibri" w:hAnsi="Calibri" w:eastAsia="黑体"/>
      <w:szCs w:val="21"/>
    </w:rPr>
  </w:style>
  <w:style w:type="paragraph" w:customStyle="1" w:styleId="184">
    <w:name w:val="jl 正文"/>
    <w:basedOn w:val="1"/>
    <w:semiHidden/>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185">
    <w:name w:val="xl49"/>
    <w:basedOn w:val="1"/>
    <w:semiHidden/>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86">
    <w:name w:val="xl43"/>
    <w:basedOn w:val="1"/>
    <w:semiHidden/>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187">
    <w:name w:val="xl34"/>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szCs w:val="20"/>
    </w:rPr>
  </w:style>
  <w:style w:type="paragraph" w:customStyle="1" w:styleId="188">
    <w:name w:val="正文 New New New New New New New New New New New New New New New New New New New New New New New New New New New New New New New New New New New New New New New New New New New New New New New New"/>
    <w:qFormat/>
    <w:uiPriority w:val="0"/>
    <w:pPr>
      <w:widowControl w:val="0"/>
      <w:suppressAutoHyphens/>
      <w:jc w:val="both"/>
    </w:pPr>
    <w:rPr>
      <w:rFonts w:ascii="Calibri" w:hAnsi="Calibri" w:eastAsia="宋体" w:cs="Times New Roman"/>
      <w:kern w:val="1"/>
      <w:sz w:val="21"/>
      <w:lang w:val="en-US" w:eastAsia="ar-SA" w:bidi="ar-SA"/>
    </w:rPr>
  </w:style>
  <w:style w:type="paragraph" w:customStyle="1" w:styleId="189">
    <w:name w:val="节小标题"/>
    <w:basedOn w:val="10"/>
    <w:semiHidden/>
    <w:qFormat/>
    <w:uiPriority w:val="0"/>
    <w:pPr>
      <w:adjustRightInd w:val="0"/>
      <w:snapToGrid w:val="0"/>
      <w:spacing w:before="100" w:after="0" w:line="300" w:lineRule="auto"/>
      <w:ind w:firstLine="359"/>
      <w:outlineLvl w:val="9"/>
    </w:pPr>
    <w:rPr>
      <w:rFonts w:ascii="Times New Roman" w:hAnsi="Times New Roman" w:eastAsia="仿宋_GB2312"/>
      <w:sz w:val="30"/>
      <w:szCs w:val="20"/>
    </w:rPr>
  </w:style>
  <w:style w:type="paragraph" w:customStyle="1" w:styleId="190">
    <w:name w:val="样式7"/>
    <w:basedOn w:val="1"/>
    <w:qFormat/>
    <w:uiPriority w:val="0"/>
    <w:pPr>
      <w:snapToGrid w:val="0"/>
    </w:pPr>
  </w:style>
  <w:style w:type="paragraph" w:customStyle="1" w:styleId="191">
    <w:name w:val="xl28"/>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192">
    <w:name w:val="图形标题"/>
    <w:basedOn w:val="20"/>
    <w:semiHidden/>
    <w:qFormat/>
    <w:uiPriority w:val="0"/>
    <w:pPr>
      <w:spacing w:before="0" w:after="0"/>
      <w:jc w:val="center"/>
    </w:pPr>
    <w:rPr>
      <w:rFonts w:ascii="宋体" w:hAnsi="Plotter" w:eastAsia="宋体"/>
      <w:sz w:val="21"/>
    </w:rPr>
  </w:style>
  <w:style w:type="paragraph" w:customStyle="1" w:styleId="193">
    <w:name w:val="默认段落字体 Para Char Char Char Char"/>
    <w:basedOn w:val="1"/>
    <w:semiHidden/>
    <w:qFormat/>
    <w:uiPriority w:val="0"/>
    <w:rPr>
      <w:rFonts w:ascii="宋体" w:hAnsi="宋体"/>
      <w:b/>
      <w:color w:val="000000"/>
      <w:sz w:val="24"/>
    </w:rPr>
  </w:style>
  <w:style w:type="paragraph" w:customStyle="1" w:styleId="194">
    <w:name w:val="xl40"/>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95">
    <w:name w:val="xl55"/>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196">
    <w:name w:val="p15"/>
    <w:basedOn w:val="1"/>
    <w:qFormat/>
    <w:uiPriority w:val="0"/>
    <w:pPr>
      <w:widowControl/>
      <w:spacing w:before="100" w:after="100"/>
      <w:jc w:val="left"/>
    </w:pPr>
    <w:rPr>
      <w:rFonts w:ascii="宋体" w:hAnsi="宋体" w:cs="宋体"/>
      <w:kern w:val="0"/>
      <w:sz w:val="24"/>
    </w:rPr>
  </w:style>
  <w:style w:type="paragraph" w:customStyle="1" w:styleId="197">
    <w:name w:val="xl30"/>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98">
    <w:name w:val="样式 首行缩进:  0 厘米 行距: 单倍行距 Char"/>
    <w:basedOn w:val="1"/>
    <w:qFormat/>
    <w:uiPriority w:val="0"/>
    <w:pPr>
      <w:adjustRightInd w:val="0"/>
      <w:textAlignment w:val="baseline"/>
    </w:pPr>
    <w:rPr>
      <w:kern w:val="0"/>
      <w:szCs w:val="21"/>
    </w:rPr>
  </w:style>
  <w:style w:type="paragraph" w:customStyle="1" w:styleId="199">
    <w:name w:val="font7"/>
    <w:basedOn w:val="1"/>
    <w:qFormat/>
    <w:uiPriority w:val="0"/>
    <w:pPr>
      <w:widowControl/>
      <w:spacing w:before="100" w:beforeAutospacing="1" w:after="100" w:afterAutospacing="1"/>
      <w:jc w:val="left"/>
    </w:pPr>
    <w:rPr>
      <w:color w:val="000000"/>
      <w:kern w:val="0"/>
      <w:sz w:val="20"/>
      <w:szCs w:val="20"/>
    </w:rPr>
  </w:style>
  <w:style w:type="paragraph" w:customStyle="1" w:styleId="200">
    <w:name w:val="xl26"/>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01">
    <w:name w:val="xl29"/>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02">
    <w:name w:val="_Style 1"/>
    <w:basedOn w:val="1"/>
    <w:unhideWhenUsed/>
    <w:qFormat/>
    <w:uiPriority w:val="0"/>
    <w:pPr>
      <w:ind w:firstLine="420" w:firstLineChars="200"/>
    </w:pPr>
  </w:style>
  <w:style w:type="paragraph" w:customStyle="1" w:styleId="203">
    <w:name w:val="样式 标题 1 + 首行缩进:  2 字符 段前: 1 行 段后: 1 行"/>
    <w:basedOn w:val="3"/>
    <w:semiHidden/>
    <w:qFormat/>
    <w:uiPriority w:val="0"/>
    <w:pPr>
      <w:spacing w:beforeLines="100" w:afterLines="100"/>
      <w:ind w:firstLine="420"/>
    </w:pPr>
    <w:rPr>
      <w:bCs w:val="0"/>
      <w:sz w:val="28"/>
      <w:szCs w:val="20"/>
    </w:rPr>
  </w:style>
  <w:style w:type="paragraph" w:customStyle="1" w:styleId="204">
    <w:name w:val="xl36"/>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szCs w:val="20"/>
    </w:rPr>
  </w:style>
  <w:style w:type="paragraph" w:customStyle="1" w:styleId="205">
    <w:name w:val="Char Char Char"/>
    <w:basedOn w:val="1"/>
    <w:qFormat/>
    <w:uiPriority w:val="0"/>
  </w:style>
  <w:style w:type="paragraph" w:customStyle="1" w:styleId="206">
    <w:name w:val="xl56"/>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07">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4"/>
    </w:rPr>
  </w:style>
  <w:style w:type="paragraph" w:customStyle="1" w:styleId="208">
    <w:name w:val="xl25"/>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09">
    <w:name w:val="xl31"/>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10">
    <w:name w:val="xl3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11">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2">
    <w:name w:val="p0 New"/>
    <w:basedOn w:val="213"/>
    <w:qFormat/>
    <w:uiPriority w:val="0"/>
    <w:pPr>
      <w:widowControl/>
    </w:pPr>
    <w:rPr>
      <w:kern w:val="0"/>
      <w:szCs w:val="20"/>
    </w:rPr>
  </w:style>
  <w:style w:type="paragraph" w:customStyle="1" w:styleId="213">
    <w:name w:val="正文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14">
    <w:name w:val="xl44"/>
    <w:basedOn w:val="1"/>
    <w:semiHidden/>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15">
    <w:name w:val="样式 Arial 首行缩进:  2 字符"/>
    <w:basedOn w:val="1"/>
    <w:qFormat/>
    <w:uiPriority w:val="0"/>
    <w:pPr>
      <w:ind w:firstLine="403" w:firstLineChars="200"/>
    </w:pPr>
    <w:rPr>
      <w:rFonts w:cs="华文新魏"/>
      <w:szCs w:val="21"/>
    </w:rPr>
  </w:style>
  <w:style w:type="paragraph" w:customStyle="1" w:styleId="216">
    <w:name w:val="xl46"/>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17">
    <w:name w:val="样式 首行缩进:  0 厘米 行距: 单倍行距"/>
    <w:basedOn w:val="1"/>
    <w:semiHidden/>
    <w:qFormat/>
    <w:uiPriority w:val="0"/>
    <w:pPr>
      <w:adjustRightInd w:val="0"/>
      <w:textAlignment w:val="baseline"/>
    </w:pPr>
    <w:rPr>
      <w:kern w:val="0"/>
      <w:szCs w:val="20"/>
    </w:rPr>
  </w:style>
  <w:style w:type="paragraph" w:customStyle="1" w:styleId="218">
    <w:name w:val="xl39"/>
    <w:basedOn w:val="1"/>
    <w:semiHidden/>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219">
    <w:name w:val="xl50"/>
    <w:basedOn w:val="1"/>
    <w:semiHidden/>
    <w:qFormat/>
    <w:uiPriority w:val="0"/>
    <w:pPr>
      <w:widowControl/>
      <w:spacing w:before="100" w:beforeAutospacing="1" w:after="100" w:afterAutospacing="1"/>
      <w:jc w:val="center"/>
    </w:pPr>
    <w:rPr>
      <w:rFonts w:ascii="宋体" w:hAnsi="宋体"/>
      <w:kern w:val="0"/>
      <w:sz w:val="24"/>
    </w:rPr>
  </w:style>
  <w:style w:type="paragraph" w:customStyle="1" w:styleId="220">
    <w:name w:val="xl45"/>
    <w:basedOn w:val="1"/>
    <w:semiHidden/>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21">
    <w:name w:val="xl54"/>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2">
    <w:name w:val="xl48"/>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223">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24"/>
    </w:rPr>
  </w:style>
  <w:style w:type="paragraph" w:customStyle="1" w:styleId="224">
    <w:name w:val="样式 样式 标题 2 + 段前: 0.5 行 段后: 0.5 行 + 首行缩进:  2 字符 段前: 0.5 行 段后: 0..."/>
    <w:basedOn w:val="1"/>
    <w:semiHidden/>
    <w:qFormat/>
    <w:uiPriority w:val="0"/>
    <w:pPr>
      <w:keepNext/>
      <w:keepLines/>
      <w:adjustRightInd w:val="0"/>
      <w:spacing w:beforeLines="50" w:afterLines="50"/>
      <w:jc w:val="left"/>
      <w:textAlignment w:val="baseline"/>
      <w:outlineLvl w:val="1"/>
    </w:pPr>
    <w:rPr>
      <w:rFonts w:eastAsia="黑体"/>
      <w:kern w:val="0"/>
      <w:szCs w:val="20"/>
    </w:rPr>
  </w:style>
  <w:style w:type="paragraph" w:customStyle="1" w:styleId="225">
    <w:name w:val="List Paragraph1"/>
    <w:basedOn w:val="1"/>
    <w:qFormat/>
    <w:uiPriority w:val="0"/>
    <w:pPr>
      <w:ind w:firstLine="420" w:firstLineChars="200"/>
    </w:pPr>
    <w:rPr>
      <w:rFonts w:ascii="Calibri" w:hAnsi="Calibri"/>
      <w:szCs w:val="20"/>
    </w:rPr>
  </w:style>
  <w:style w:type="paragraph" w:customStyle="1" w:styleId="226">
    <w:name w:val="font6"/>
    <w:basedOn w:val="1"/>
    <w:qFormat/>
    <w:uiPriority w:val="0"/>
    <w:pPr>
      <w:widowControl/>
      <w:spacing w:before="100" w:beforeAutospacing="1" w:after="100" w:afterAutospacing="1"/>
      <w:jc w:val="left"/>
    </w:pPr>
    <w:rPr>
      <w:rFonts w:hint="eastAsia" w:ascii="宋体" w:hAnsi="宋体"/>
      <w:color w:val="000000"/>
      <w:kern w:val="0"/>
      <w:sz w:val="20"/>
      <w:szCs w:val="20"/>
    </w:rPr>
  </w:style>
  <w:style w:type="paragraph" w:customStyle="1" w:styleId="227">
    <w:name w:val="xl24"/>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228">
    <w:name w:val="样式3"/>
    <w:basedOn w:val="5"/>
    <w:semiHidden/>
    <w:qFormat/>
    <w:uiPriority w:val="0"/>
    <w:pPr>
      <w:tabs>
        <w:tab w:val="left" w:pos="709"/>
      </w:tabs>
      <w:topLinePunct/>
      <w:spacing w:line="720" w:lineRule="auto"/>
      <w:jc w:val="left"/>
    </w:pPr>
    <w:rPr>
      <w:rFonts w:ascii="Arial" w:hAnsi="Arial" w:eastAsia="黑体"/>
      <w:bCs w:val="0"/>
      <w:sz w:val="30"/>
      <w:szCs w:val="30"/>
    </w:rPr>
  </w:style>
  <w:style w:type="paragraph" w:customStyle="1" w:styleId="229">
    <w:name w:val="Char Char Char Char"/>
    <w:basedOn w:val="1"/>
    <w:qFormat/>
    <w:uiPriority w:val="0"/>
    <w:rPr>
      <w:snapToGrid w:val="0"/>
      <w:kern w:val="0"/>
      <w:szCs w:val="21"/>
    </w:rPr>
  </w:style>
  <w:style w:type="paragraph" w:customStyle="1" w:styleId="230">
    <w:name w:val="样式5"/>
    <w:semiHidden/>
    <w:qFormat/>
    <w:uiPriority w:val="0"/>
    <w:pPr>
      <w:snapToGrid w:val="0"/>
      <w:spacing w:before="160" w:after="40"/>
      <w:jc w:val="center"/>
    </w:pPr>
    <w:rPr>
      <w:rFonts w:ascii="Times New Roman" w:hAnsi="Times New Roman" w:eastAsia="宋体" w:cs="宋体"/>
      <w:kern w:val="2"/>
      <w:sz w:val="18"/>
      <w:lang w:val="en-US" w:eastAsia="zh-CN" w:bidi="ar-SA"/>
    </w:rPr>
  </w:style>
  <w:style w:type="paragraph" w:customStyle="1" w:styleId="231">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32">
    <w:name w:val="样式4"/>
    <w:basedOn w:val="6"/>
    <w:semiHidden/>
    <w:qFormat/>
    <w:uiPriority w:val="0"/>
    <w:pPr>
      <w:topLinePunct/>
      <w:spacing w:line="480" w:lineRule="auto"/>
      <w:ind w:firstLine="420"/>
    </w:pPr>
    <w:rPr>
      <w:rFonts w:ascii="Times New Roman" w:hAnsi="Times New Roman" w:eastAsia="楷体_GB2312"/>
      <w:b w:val="0"/>
      <w:bCs w:val="0"/>
      <w:sz w:val="24"/>
      <w:szCs w:val="20"/>
    </w:rPr>
  </w:style>
  <w:style w:type="paragraph" w:customStyle="1" w:styleId="233">
    <w:name w:val="xl52"/>
    <w:basedOn w:val="1"/>
    <w:semiHidden/>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34">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kern w:val="0"/>
      <w:sz w:val="24"/>
    </w:rPr>
  </w:style>
  <w:style w:type="paragraph" w:customStyle="1" w:styleId="235">
    <w:name w:val="Char Char2"/>
    <w:basedOn w:val="1"/>
    <w:qFormat/>
    <w:uiPriority w:val="0"/>
  </w:style>
  <w:style w:type="paragraph" w:customStyle="1" w:styleId="236">
    <w:name w:val="xl4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37">
    <w:name w:val="Char1 Char Char"/>
    <w:basedOn w:val="1"/>
    <w:qFormat/>
    <w:uiPriority w:val="0"/>
    <w:rPr>
      <w:szCs w:val="20"/>
    </w:rPr>
  </w:style>
  <w:style w:type="paragraph" w:customStyle="1" w:styleId="238">
    <w:name w:val="Char Char Char Char Char Char Char"/>
    <w:basedOn w:val="1"/>
    <w:semiHidden/>
    <w:qFormat/>
    <w:uiPriority w:val="0"/>
  </w:style>
  <w:style w:type="paragraph" w:customStyle="1" w:styleId="239">
    <w:name w:val="样式 标题 2 + 黑体 段前: 10.25 磅 段后: 10.25 磅 行距: 单倍行距"/>
    <w:basedOn w:val="4"/>
    <w:semiHidden/>
    <w:qFormat/>
    <w:uiPriority w:val="0"/>
    <w:pPr>
      <w:adjustRightInd w:val="0"/>
      <w:spacing w:beforeLines="50" w:afterLines="50" w:line="240" w:lineRule="auto"/>
      <w:ind w:firstLine="420"/>
      <w:jc w:val="left"/>
      <w:textAlignment w:val="baseline"/>
    </w:pPr>
    <w:rPr>
      <w:rFonts w:ascii="黑体" w:hAnsi="黑体"/>
      <w:bCs w:val="0"/>
      <w:kern w:val="0"/>
      <w:sz w:val="24"/>
      <w:szCs w:val="20"/>
    </w:rPr>
  </w:style>
  <w:style w:type="paragraph" w:customStyle="1" w:styleId="240">
    <w:name w:val="p0"/>
    <w:basedOn w:val="1"/>
    <w:qFormat/>
    <w:uiPriority w:val="0"/>
    <w:pPr>
      <w:widowControl/>
    </w:pPr>
    <w:rPr>
      <w:kern w:val="0"/>
      <w:szCs w:val="21"/>
    </w:rPr>
  </w:style>
  <w:style w:type="paragraph" w:customStyle="1" w:styleId="241">
    <w:name w:val="标题 3 + 小四 段前: 0 磅 段后: 0 磅 行距: 1.5 倍行距"/>
    <w:basedOn w:val="5"/>
    <w:next w:val="5"/>
    <w:semiHidden/>
    <w:qFormat/>
    <w:uiPriority w:val="0"/>
    <w:pPr>
      <w:jc w:val="center"/>
    </w:pPr>
    <w:rPr>
      <w:rFonts w:eastAsia="黑体" w:cs="宋体"/>
      <w:b w:val="0"/>
      <w:szCs w:val="20"/>
    </w:rPr>
  </w:style>
  <w:style w:type="paragraph" w:customStyle="1" w:styleId="242">
    <w:name w:val="xl41"/>
    <w:basedOn w:val="1"/>
    <w:semiHidden/>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43">
    <w:name w:val="xl33"/>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244">
    <w:name w:val="列出段落1"/>
    <w:basedOn w:val="1"/>
    <w:qFormat/>
    <w:uiPriority w:val="0"/>
    <w:pPr>
      <w:ind w:firstLine="420" w:firstLineChars="200"/>
    </w:pPr>
    <w:rPr>
      <w:rFonts w:ascii="Calibri" w:hAnsi="Calibri"/>
      <w:szCs w:val="22"/>
    </w:rPr>
  </w:style>
  <w:style w:type="paragraph" w:customStyle="1" w:styleId="245">
    <w:name w:val="Char"/>
    <w:basedOn w:val="1"/>
    <w:qFormat/>
    <w:uiPriority w:val="0"/>
  </w:style>
  <w:style w:type="paragraph" w:customStyle="1" w:styleId="246">
    <w:name w:val="默认段落字体 Para Char Char Char Char Char"/>
    <w:basedOn w:val="1"/>
    <w:qFormat/>
    <w:uiPriority w:val="0"/>
    <w:rPr>
      <w:rFonts w:ascii="宋体" w:hAnsi="宋体"/>
      <w:b/>
      <w:color w:val="000000"/>
      <w:sz w:val="24"/>
    </w:rPr>
  </w:style>
  <w:style w:type="paragraph" w:customStyle="1" w:styleId="247">
    <w:name w:val="表文"/>
    <w:basedOn w:val="1"/>
    <w:qFormat/>
    <w:uiPriority w:val="0"/>
    <w:pPr>
      <w:topLinePunct/>
      <w:spacing w:before="40" w:after="40"/>
    </w:pPr>
    <w:rPr>
      <w:sz w:val="18"/>
      <w:szCs w:val="18"/>
    </w:rPr>
  </w:style>
  <w:style w:type="paragraph" w:customStyle="1" w:styleId="248">
    <w:name w:val="xl32"/>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249">
    <w:name w:val="xl35"/>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50">
    <w:name w:val="xl42"/>
    <w:basedOn w:val="1"/>
    <w:semiHidden/>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251">
    <w:name w:val="p82"/>
    <w:basedOn w:val="1"/>
    <w:semiHidden/>
    <w:qFormat/>
    <w:uiPriority w:val="0"/>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252">
    <w:name w:val="xl27"/>
    <w:basedOn w:val="1"/>
    <w:semiHidden/>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szCs w:val="16"/>
    </w:rPr>
  </w:style>
  <w:style w:type="paragraph" w:customStyle="1" w:styleId="253">
    <w:name w:val="图说"/>
    <w:basedOn w:val="1"/>
    <w:semiHidden/>
    <w:qFormat/>
    <w:uiPriority w:val="0"/>
    <w:pPr>
      <w:topLinePunct/>
      <w:spacing w:before="40" w:after="160"/>
      <w:jc w:val="center"/>
    </w:pPr>
    <w:rPr>
      <w:rFonts w:cs="宋体"/>
      <w:sz w:val="18"/>
      <w:szCs w:val="20"/>
    </w:rPr>
  </w:style>
  <w:style w:type="paragraph" w:customStyle="1" w:styleId="254">
    <w:name w:val="Normal1"/>
    <w:basedOn w:val="255"/>
    <w:semiHidden/>
    <w:qFormat/>
    <w:uiPriority w:val="0"/>
    <w:pPr>
      <w:tabs>
        <w:tab w:val="left" w:pos="2160"/>
        <w:tab w:val="center" w:pos="4153"/>
        <w:tab w:val="right" w:pos="8306"/>
      </w:tabs>
      <w:adjustRightInd w:val="0"/>
      <w:spacing w:line="490" w:lineRule="exact"/>
      <w:jc w:val="center"/>
      <w:textAlignment w:val="baseline"/>
    </w:pPr>
    <w:rPr>
      <w:rFonts w:ascii="仿宋_GB2312" w:eastAsia="仿宋_GB2312"/>
      <w:kern w:val="0"/>
      <w:sz w:val="34"/>
      <w:szCs w:val="20"/>
    </w:rPr>
  </w:style>
  <w:style w:type="paragraph" w:customStyle="1" w:styleId="255">
    <w:name w:val="样式1"/>
    <w:basedOn w:val="47"/>
    <w:qFormat/>
    <w:uiPriority w:val="0"/>
    <w:rPr>
      <w:sz w:val="28"/>
    </w:rPr>
  </w:style>
  <w:style w:type="paragraph" w:customStyle="1" w:styleId="256">
    <w:name w:val="xl53"/>
    <w:basedOn w:val="1"/>
    <w:semiHidden/>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57">
    <w:name w:val="TOC 标题1"/>
    <w:basedOn w:val="3"/>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258">
    <w:name w:val="xl38"/>
    <w:basedOn w:val="1"/>
    <w:semiHidden/>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szCs w:val="16"/>
    </w:rPr>
  </w:style>
  <w:style w:type="paragraph" w:customStyle="1" w:styleId="259">
    <w:name w:val="附录"/>
    <w:basedOn w:val="3"/>
    <w:qFormat/>
    <w:uiPriority w:val="0"/>
    <w:pPr>
      <w:topLinePunct/>
      <w:spacing w:line="960" w:lineRule="auto"/>
      <w:ind w:firstLine="420"/>
      <w:jc w:val="center"/>
      <w:textAlignment w:val="baseline"/>
    </w:pPr>
    <w:rPr>
      <w:rFonts w:eastAsia="黑体"/>
      <w:bCs w:val="0"/>
      <w:kern w:val="2"/>
      <w:sz w:val="28"/>
      <w:szCs w:val="28"/>
    </w:rPr>
  </w:style>
  <w:style w:type="paragraph" w:customStyle="1" w:styleId="260">
    <w:name w:val="xl51"/>
    <w:basedOn w:val="1"/>
    <w:semiHidden/>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261">
    <w:name w:val="xl66"/>
    <w:basedOn w:val="1"/>
    <w:qFormat/>
    <w:uiPriority w:val="0"/>
    <w:pPr>
      <w:widowControl/>
      <w:pBdr>
        <w:left w:val="single" w:color="000000" w:sz="8" w:space="0"/>
        <w:bottom w:val="single" w:color="000000" w:sz="8" w:space="0"/>
        <w:right w:val="single" w:color="000000" w:sz="8"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2">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3">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264">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5">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6">
    <w:name w:val="xl7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7">
    <w:name w:val="xl72"/>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8">
    <w:name w:val="xl73"/>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69">
    <w:name w:val="xl74"/>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70">
    <w:name w:val="font8"/>
    <w:basedOn w:val="1"/>
    <w:qFormat/>
    <w:uiPriority w:val="0"/>
    <w:pPr>
      <w:widowControl/>
      <w:spacing w:before="100" w:beforeAutospacing="1" w:after="100" w:afterAutospacing="1"/>
      <w:jc w:val="left"/>
    </w:pPr>
    <w:rPr>
      <w:rFonts w:ascii="Arial" w:hAnsi="Arial" w:cs="Arial"/>
      <w:kern w:val="0"/>
      <w:sz w:val="20"/>
      <w:szCs w:val="20"/>
    </w:rPr>
  </w:style>
  <w:style w:type="paragraph" w:customStyle="1" w:styleId="271">
    <w:name w:val="font9"/>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2">
    <w:name w:val="xl7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Arial" w:hAnsi="Arial" w:cs="Arial"/>
      <w:kern w:val="0"/>
      <w:sz w:val="20"/>
      <w:szCs w:val="20"/>
    </w:rPr>
  </w:style>
  <w:style w:type="paragraph" w:customStyle="1" w:styleId="273">
    <w:name w:val="列出段落2"/>
    <w:basedOn w:val="1"/>
    <w:unhideWhenUsed/>
    <w:qFormat/>
    <w:uiPriority w:val="0"/>
    <w:pPr>
      <w:ind w:firstLine="420" w:firstLineChars="200"/>
    </w:pPr>
  </w:style>
  <w:style w:type="paragraph" w:customStyle="1" w:styleId="274">
    <w:name w:val="Default"/>
    <w:unhideWhenUsed/>
    <w:qFormat/>
    <w:uiPriority w:val="99"/>
    <w:pPr>
      <w:widowControl w:val="0"/>
      <w:autoSpaceDE w:val="0"/>
      <w:autoSpaceDN w:val="0"/>
      <w:adjustRightInd w:val="0"/>
    </w:pPr>
    <w:rPr>
      <w:rFonts w:hint="eastAsia" w:ascii="宋体" w:hAnsi="宋体" w:eastAsia="宋体" w:cs="Times New Roman"/>
      <w:color w:val="000000"/>
      <w:sz w:val="24"/>
      <w:lang w:val="en-US" w:eastAsia="zh-CN" w:bidi="ar-SA"/>
    </w:rPr>
  </w:style>
  <w:style w:type="character" w:customStyle="1" w:styleId="275">
    <w:name w:val="selecthover"/>
    <w:basedOn w:val="122"/>
    <w:qFormat/>
    <w:uiPriority w:val="0"/>
    <w:rPr>
      <w:color w:val="FFFFFF"/>
      <w:shd w:val="clear" w:color="auto" w:fill="316AC5"/>
    </w:rPr>
  </w:style>
  <w:style w:type="character" w:customStyle="1" w:styleId="276">
    <w:name w:val="font101"/>
    <w:basedOn w:val="122"/>
    <w:qFormat/>
    <w:uiPriority w:val="0"/>
    <w:rPr>
      <w:rFonts w:hint="eastAsia" w:ascii="宋体" w:hAnsi="宋体" w:eastAsia="宋体" w:cs="宋体"/>
      <w:color w:val="000000"/>
      <w:sz w:val="20"/>
      <w:szCs w:val="20"/>
      <w:u w:val="none"/>
    </w:rPr>
  </w:style>
  <w:style w:type="paragraph" w:customStyle="1" w:styleId="277">
    <w:name w:val="List Paragraph"/>
    <w:basedOn w:val="1"/>
    <w:unhideWhenUsed/>
    <w:qFormat/>
    <w:uiPriority w:val="99"/>
    <w:pPr>
      <w:ind w:firstLine="420" w:firstLineChars="200"/>
    </w:pPr>
  </w:style>
  <w:style w:type="character" w:customStyle="1" w:styleId="278">
    <w:name w:val="font61"/>
    <w:basedOn w:val="122"/>
    <w:qFormat/>
    <w:uiPriority w:val="0"/>
    <w:rPr>
      <w:rFonts w:hint="eastAsia" w:ascii="宋体" w:hAnsi="宋体" w:eastAsia="宋体" w:cs="宋体"/>
      <w:color w:val="000000"/>
      <w:sz w:val="18"/>
      <w:szCs w:val="18"/>
      <w:u w:val="none"/>
    </w:rPr>
  </w:style>
  <w:style w:type="character" w:customStyle="1" w:styleId="279">
    <w:name w:val="font51"/>
    <w:basedOn w:val="122"/>
    <w:uiPriority w:val="0"/>
    <w:rPr>
      <w:rFonts w:ascii="font-weight : 400" w:hAnsi="font-weight : 400" w:eastAsia="font-weight : 400" w:cs="font-weight : 400"/>
      <w:color w:val="000000"/>
      <w:sz w:val="20"/>
      <w:szCs w:val="20"/>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4DB4E5-E7FE-4F39-A542-ADBD9296DFDB}">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11</Pages>
  <Words>7830</Words>
  <Characters>2954</Characters>
  <Lines>24</Lines>
  <Paragraphs>21</Paragraphs>
  <TotalTime>6</TotalTime>
  <ScaleCrop>false</ScaleCrop>
  <LinksUpToDate>false</LinksUpToDate>
  <CharactersWithSpaces>10763</CharactersWithSpaces>
  <Application>WPS Office_11.8.2.8276_F1E327BC-269C-435d-A152-05C5408002CA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2019-03-15T02:50:00Z</dcterms:created>
  <dc:creator>hzhong</dc:creator>
  <cp:lastModifiedBy>wf</cp:lastModifiedBy>
  <cp:lastPrinted>2021-04-26T07:14:00Z</cp:lastPrinted>
  <dcterms:modified xsi:type="dcterms:W3CDTF">2022-04-29T03:30:53Z</dcterms:modified>
  <dc:title>第二章  投标人须知</dc:title>
  <cp:revision>259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ies>
</file>